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6F83B" w14:textId="77777777" w:rsidR="007B1B83" w:rsidRPr="00CF0E64" w:rsidRDefault="007B1B83" w:rsidP="007B1B83">
      <w:pPr>
        <w:suppressAutoHyphens/>
        <w:spacing w:before="120" w:after="0" w:line="252" w:lineRule="auto"/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</w:pPr>
      <w:r w:rsidRPr="00CF0E64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Osobitná časť</w:t>
      </w:r>
    </w:p>
    <w:p w14:paraId="6E1D9C3D" w14:textId="77777777" w:rsidR="007B1B83" w:rsidRPr="00CF0E64" w:rsidRDefault="007B1B83" w:rsidP="007B1B83">
      <w:pPr>
        <w:suppressAutoHyphens/>
        <w:spacing w:before="120" w:after="0" w:line="252" w:lineRule="auto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CF0E64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K Čl. I</w:t>
      </w:r>
    </w:p>
    <w:p w14:paraId="00FFC1D5" w14:textId="5FE8CFD8" w:rsidR="007B1B83" w:rsidRPr="00CF0E64" w:rsidRDefault="007B1B83" w:rsidP="007B1B83">
      <w:pPr>
        <w:suppressAutoHyphens/>
        <w:spacing w:before="120" w:after="0" w:line="252" w:lineRule="auto"/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</w:pPr>
      <w:r w:rsidRPr="00CF0E64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K</w:t>
      </w:r>
      <w:r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 bodu 1</w:t>
      </w:r>
      <w:r w:rsidRPr="00CF0E64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 – § 1: </w:t>
      </w:r>
    </w:p>
    <w:p w14:paraId="308D6FFA" w14:textId="3CDCF868" w:rsidR="007B1B83" w:rsidRPr="00CF0E64" w:rsidRDefault="007B1B83" w:rsidP="007B1B83">
      <w:pPr>
        <w:spacing w:after="0" w:line="252" w:lineRule="auto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</w:pPr>
      <w:r w:rsidRPr="00CF0E64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Predmet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vyhlášky</w:t>
      </w:r>
      <w:r w:rsidRPr="00CF0E64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sa dopĺňa o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 podrobnosti preverovania </w:t>
      </w:r>
      <w:r w:rsidRPr="007B1B83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na účely oznamovania informácií o </w:t>
      </w:r>
      <w:proofErr w:type="spellStart"/>
      <w:r w:rsidRPr="007B1B83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kryptoaktívach</w:t>
      </w:r>
      <w:proofErr w:type="spellEnd"/>
      <w:r w:rsidRPr="00CF0E64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nadväzne na rozšírenie automatickej výmeny informácií v rámci smernice Rady 2023/2226/EÚ, ktorou sa mení a dopĺňa smernica 2011/16/EÚ o administratívnej spolupráci v oblasti daní (Ú. v.</w:t>
      </w:r>
      <w:r w:rsidR="00C12C9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</w:t>
      </w:r>
      <w:r w:rsidRPr="00CF0E64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EÚ L 119, 24. 10. 2023), tzv. smernica DAC8 (ďalej len „smernica (EÚ) 2023/2226“) o </w:t>
      </w:r>
      <w:proofErr w:type="spellStart"/>
      <w:r w:rsidRPr="00CF0E64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kryptoaktíva</w:t>
      </w:r>
      <w:r w:rsidR="008220AB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ch</w:t>
      </w:r>
      <w:proofErr w:type="spellEnd"/>
      <w:r w:rsidRPr="00CF0E64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a prepojenie s automatickou výmenou informácií o finančných účtoch. Pravidlá upravené v predmetnej smernici vychádzajú z globálneho rámca </w:t>
      </w:r>
      <w:r w:rsidR="00BA6F6E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vytvoreného</w:t>
      </w:r>
      <w:r w:rsidRPr="00CF0E64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na úrovni Organizácie pre hospodársku spoluprácu a rozvoj (OECD) pre automatickú výmenu informácií o </w:t>
      </w:r>
      <w:proofErr w:type="spellStart"/>
      <w:r w:rsidRPr="00CF0E64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kryptoaktívach</w:t>
      </w:r>
      <w:proofErr w:type="spellEnd"/>
      <w:r w:rsidRPr="00CF0E64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(ďalej len „globálny </w:t>
      </w:r>
      <w:r w:rsidR="00DB2A50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rámec</w:t>
      </w:r>
      <w:r w:rsidR="00DB2A50" w:rsidRPr="00CF0E64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</w:t>
      </w:r>
      <w:r w:rsidRPr="00CF0E64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CARF“). </w:t>
      </w:r>
    </w:p>
    <w:p w14:paraId="3D0DA383" w14:textId="1CA38696" w:rsidR="007B1B83" w:rsidRPr="00CF0E64" w:rsidRDefault="007B1B83" w:rsidP="007B1B83">
      <w:pPr>
        <w:suppressAutoHyphens/>
        <w:spacing w:before="120" w:after="0" w:line="252" w:lineRule="auto"/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</w:pPr>
      <w:r w:rsidRPr="00CF0E64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K bodu </w:t>
      </w:r>
      <w:r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2</w:t>
      </w:r>
      <w:r w:rsidRPr="00CF0E64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 – § </w:t>
      </w:r>
      <w:r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5 ods. 2</w:t>
      </w:r>
      <w:r w:rsidRPr="00CF0E64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:</w:t>
      </w:r>
    </w:p>
    <w:p w14:paraId="4F469C53" w14:textId="21C60DB8" w:rsidR="007B1B83" w:rsidRPr="00CF0E64" w:rsidRDefault="007B1B83" w:rsidP="007B1B83">
      <w:pPr>
        <w:spacing w:after="0" w:line="252" w:lineRule="auto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</w:pPr>
      <w:r w:rsidRPr="00CF0E64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Spresňuj</w:t>
      </w:r>
      <w:r w:rsidR="00D251BF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ú</w:t>
      </w:r>
      <w:r w:rsidRPr="00CF0E64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sa </w:t>
      </w:r>
      <w:r w:rsidR="00D251BF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požiadavky na údaj</w:t>
      </w:r>
      <w:r w:rsidR="0054286B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o daňovej rezidencii</w:t>
      </w:r>
      <w:r w:rsidR="00D251BF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v čestnom vyhlásení </w:t>
      </w:r>
      <w:r w:rsidR="008B59BE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pri otváraní nového finančného účtu fyzickej osob</w:t>
      </w:r>
      <w:r w:rsidR="00BA6F6E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y</w:t>
      </w:r>
      <w:r w:rsidR="00B318B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. D</w:t>
      </w:r>
      <w:r w:rsidR="00D251BF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ržiteľ finančného účtu </w:t>
      </w:r>
      <w:r w:rsidR="005A4FD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– fyzická osoba </w:t>
      </w:r>
      <w:r w:rsidR="00B318B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môže byť</w:t>
      </w:r>
      <w:r w:rsidR="00FE0F8F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</w:t>
      </w:r>
      <w:r w:rsidR="00D251BF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rezidentom pre daňové účely vo viacerých krajinách</w:t>
      </w:r>
      <w:r w:rsidR="00D052CF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na základe ich</w:t>
      </w:r>
      <w:r w:rsidR="00B318B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v</w:t>
      </w:r>
      <w:r w:rsidR="00B318B5" w:rsidRPr="00B318B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nútroštátn</w:t>
      </w:r>
      <w:r w:rsidR="00D052CF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ych</w:t>
      </w:r>
      <w:r w:rsidR="00B318B5" w:rsidRPr="00B318B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zákon</w:t>
      </w:r>
      <w:r w:rsidR="00D052CF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ov, ktoré</w:t>
      </w:r>
      <w:r w:rsidR="00B318B5" w:rsidRPr="00B318B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stanovujú podmienky</w:t>
      </w:r>
      <w:r w:rsidR="00B318B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alebo</w:t>
      </w:r>
      <w:r w:rsidR="00B318B5" w:rsidRPr="00B318B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formy väzby, </w:t>
      </w:r>
      <w:r w:rsidR="00B318B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na základe</w:t>
      </w:r>
      <w:r w:rsidR="00B318B5" w:rsidRPr="00B318B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ktorých sa má</w:t>
      </w:r>
      <w:r w:rsidR="008220AB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s fyzickou osobou</w:t>
      </w:r>
      <w:r w:rsidR="00B318B5" w:rsidRPr="00B318B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</w:t>
      </w:r>
      <w:r w:rsidR="00B318B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v danej krajine </w:t>
      </w:r>
      <w:r w:rsidR="00B318B5" w:rsidRPr="00B318B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zaobchádzať ako s daňovým rezidentom.</w:t>
      </w:r>
      <w:r w:rsidR="00B318B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V čestnom vyhlásení sa uvedú všetky </w:t>
      </w:r>
      <w:r w:rsidR="00BC2878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štáty,</w:t>
      </w:r>
      <w:r w:rsidR="00B318B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</w:t>
      </w:r>
      <w:r w:rsidR="00BC2878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v ktorých </w:t>
      </w:r>
      <w:r w:rsidR="00B318B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je</w:t>
      </w:r>
      <w:r w:rsidR="00D052CF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fyzická osoba</w:t>
      </w:r>
      <w:r w:rsidR="00B318B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rezidentom pre daňové účely. </w:t>
      </w:r>
      <w:r w:rsidR="00D251BF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Spresnenie vychádza z</w:t>
      </w:r>
      <w:r w:rsidRPr="00CF0E64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požiadaviek </w:t>
      </w:r>
      <w:r w:rsidR="000A0852" w:rsidRPr="00CF0E6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dodatku k spoločnému štandardu oznamovania (CRS)</w:t>
      </w:r>
      <w:r w:rsidRPr="00CF0E64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. </w:t>
      </w:r>
    </w:p>
    <w:p w14:paraId="62E7FDC8" w14:textId="1369E5B8" w:rsidR="007B1B83" w:rsidRPr="00CF0E64" w:rsidRDefault="007B1B83" w:rsidP="007B1B83">
      <w:pPr>
        <w:suppressAutoHyphens/>
        <w:spacing w:before="120" w:after="0" w:line="252" w:lineRule="auto"/>
        <w:jc w:val="both"/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</w:pPr>
      <w:r w:rsidRPr="00CF0E64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K bodu </w:t>
      </w:r>
      <w:r w:rsidR="00D251BF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3</w:t>
      </w:r>
      <w:r w:rsidRPr="00CF0E64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 – § </w:t>
      </w:r>
      <w:r w:rsidR="00D251BF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6</w:t>
      </w:r>
      <w:r w:rsidR="00D251BF" w:rsidRPr="00D251BF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 ods. 1 písm. c) bod 2b</w:t>
      </w:r>
      <w:r w:rsidRPr="00CF0E64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:</w:t>
      </w:r>
    </w:p>
    <w:p w14:paraId="7831E7C7" w14:textId="52DDB8F2" w:rsidR="000A0852" w:rsidRPr="000A0852" w:rsidRDefault="00E12875" w:rsidP="007B1B83">
      <w:pPr>
        <w:spacing w:before="120" w:after="0" w:line="252" w:lineRule="auto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Spresnenie vychádza z</w:t>
      </w:r>
      <w:r w:rsidRPr="00CF0E64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požiadaviek </w:t>
      </w:r>
      <w:r w:rsidRPr="00CF0E6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dodatku </w:t>
      </w:r>
      <w:r w:rsidR="00493DC3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a komentára </w:t>
      </w:r>
      <w:r w:rsidRPr="00CF0E6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k</w:t>
      </w:r>
      <w:r w:rsidR="00BC287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 </w:t>
      </w:r>
      <w:r w:rsidRPr="00CF0E6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CRS</w:t>
      </w:r>
      <w:r w:rsidR="00BC287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a smernice (EÚ) 2023/2226</w:t>
      </w:r>
      <w:r w:rsidRPr="00CF0E64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.</w:t>
      </w:r>
    </w:p>
    <w:p w14:paraId="7335EF93" w14:textId="4414CBB7" w:rsidR="007B1B83" w:rsidRPr="00CF0E64" w:rsidRDefault="007B1B83" w:rsidP="007B1B83">
      <w:pPr>
        <w:spacing w:before="120" w:after="0" w:line="252" w:lineRule="auto"/>
        <w:jc w:val="both"/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  <w:lang w:eastAsia="ar-SA"/>
        </w:rPr>
      </w:pPr>
      <w:r w:rsidRPr="00CF0E64"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  <w:lang w:eastAsia="ar-SA"/>
        </w:rPr>
        <w:t xml:space="preserve">K bodu </w:t>
      </w:r>
      <w:r w:rsidR="000A0852"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  <w:lang w:eastAsia="ar-SA"/>
        </w:rPr>
        <w:t>4</w:t>
      </w:r>
      <w:r w:rsidRPr="00CF0E64"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  <w:lang w:eastAsia="ar-SA"/>
        </w:rPr>
        <w:t xml:space="preserve"> - § </w:t>
      </w:r>
      <w:r w:rsidR="000A0852"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  <w:lang w:eastAsia="ar-SA"/>
        </w:rPr>
        <w:t>6</w:t>
      </w:r>
      <w:r w:rsidRPr="00CF0E64"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  <w:lang w:eastAsia="ar-SA"/>
        </w:rPr>
        <w:t xml:space="preserve"> ods. </w:t>
      </w:r>
      <w:r w:rsidR="000A0852"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  <w:lang w:eastAsia="ar-SA"/>
        </w:rPr>
        <w:t>4:</w:t>
      </w:r>
    </w:p>
    <w:p w14:paraId="7734D954" w14:textId="72B7252D" w:rsidR="007B1B83" w:rsidRPr="00CF0E64" w:rsidRDefault="00E12875" w:rsidP="007B1B83">
      <w:pPr>
        <w:spacing w:after="0" w:line="252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E1287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Na účely určenia ovládajúcich osôb držiteľa účtu sa oznamujúca finančná inštitúcia môže spoliehať na informácie zhromaždené a uchovávané podľa postupov </w:t>
      </w:r>
      <w:r w:rsidR="00BA6F6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na</w:t>
      </w:r>
      <w:r w:rsidRPr="00E1287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predchádzanie a odhaľovanie príjmov z trestnej činnosti a financovania terorizmu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</w:t>
      </w:r>
      <w:r w:rsidRPr="00E1287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Ak oznamujúca finančná inštitúcia nie je </w:t>
      </w:r>
      <w:r w:rsidR="008545B3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povinnou osobou podľa zákona č. 279/2008 Z. z. </w:t>
      </w:r>
      <w:r w:rsidR="008545B3" w:rsidRPr="008545B3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o ochrane pred legalizáciou príjmov z trestnej činnosti a o ochrane pred financovaním terorizmu a o zmene a doplnení niektorých zákonov v znení neskorších predpisov</w:t>
      </w:r>
      <w:r w:rsidR="008545B3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(ďalej len „zákon č. 297/2008 Z. z.“)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</w:t>
      </w:r>
      <w:r w:rsidRPr="00E1287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uplat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n</w:t>
      </w:r>
      <w:r w:rsidR="00BA6F6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ia sa</w:t>
      </w:r>
      <w:r w:rsidRPr="00E1287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="00BC287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v podstate </w:t>
      </w:r>
      <w:r w:rsidR="0025339B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(substantívne) </w:t>
      </w:r>
      <w:r w:rsidR="00BC287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podobné </w:t>
      </w:r>
      <w:r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postupy</w:t>
      </w:r>
      <w:r w:rsidR="0025339B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, ako sú uvedené v zákone č. 297/2008 Z. z.</w:t>
      </w:r>
      <w:r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</w:t>
      </w:r>
    </w:p>
    <w:p w14:paraId="41826054" w14:textId="77777777" w:rsidR="007B1B83" w:rsidRPr="00CF0E64" w:rsidRDefault="007B1B83" w:rsidP="007B1B83">
      <w:pPr>
        <w:spacing w:after="0" w:line="252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14:paraId="41B65740" w14:textId="49CFCDBE" w:rsidR="007B1B83" w:rsidRPr="00CF0E64" w:rsidRDefault="007B1B83" w:rsidP="007B1B83">
      <w:pPr>
        <w:spacing w:after="0" w:line="252" w:lineRule="auto"/>
        <w:jc w:val="both"/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  <w:lang w:eastAsia="ar-SA"/>
        </w:rPr>
      </w:pPr>
      <w:r w:rsidRPr="00CF0E64"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  <w:lang w:eastAsia="ar-SA"/>
        </w:rPr>
        <w:t xml:space="preserve">K bodu </w:t>
      </w:r>
      <w:r w:rsidR="000A0852"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  <w:lang w:eastAsia="ar-SA"/>
        </w:rPr>
        <w:t>5</w:t>
      </w:r>
      <w:r w:rsidRPr="00CF0E64"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  <w:lang w:eastAsia="ar-SA"/>
        </w:rPr>
        <w:t xml:space="preserve"> - § </w:t>
      </w:r>
      <w:r w:rsidR="000A0852"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  <w:lang w:eastAsia="ar-SA"/>
        </w:rPr>
        <w:t>7</w:t>
      </w:r>
      <w:r w:rsidRPr="00CF0E64"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  <w:lang w:eastAsia="ar-SA"/>
        </w:rPr>
        <w:t xml:space="preserve"> ods. </w:t>
      </w:r>
      <w:r w:rsidR="000A0852"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  <w:lang w:eastAsia="ar-SA"/>
        </w:rPr>
        <w:t>3:</w:t>
      </w:r>
    </w:p>
    <w:p w14:paraId="3BF1B808" w14:textId="74920975" w:rsidR="007B1B83" w:rsidRDefault="00493DC3" w:rsidP="007B1B83">
      <w:pPr>
        <w:spacing w:after="0" w:line="252" w:lineRule="auto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V súlade s požiadavkami dodatku a komentára k CRS sa s</w:t>
      </w:r>
      <w:r w:rsidR="000A0852" w:rsidRPr="00CF0E64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presňuj</w:t>
      </w:r>
      <w:r w:rsidR="000A0852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ú</w:t>
      </w:r>
      <w:r w:rsidR="000A0852" w:rsidRPr="00CF0E64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</w:t>
      </w:r>
      <w:r w:rsidR="000A0852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požiadavky na údaj</w:t>
      </w:r>
      <w:r w:rsidR="0054286B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o daňovej rezidencii</w:t>
      </w:r>
      <w:r w:rsidR="000A0852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v čestnom vyhlásení pri otváraní nového finančného účtu</w:t>
      </w:r>
      <w:r w:rsidR="008B59BE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</w:t>
      </w:r>
      <w:r w:rsidR="00FE0F8F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subjekt</w:t>
      </w:r>
      <w:r w:rsidR="005A4FD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u. Obdobne ako fyzick</w:t>
      </w:r>
      <w:r w:rsidR="00077C29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á</w:t>
      </w:r>
      <w:r w:rsidR="005A4FD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osob</w:t>
      </w:r>
      <w:r w:rsidR="00077C29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a</w:t>
      </w:r>
      <w:r w:rsidR="005A4FD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, aj subjekt môže byť rezidentom pre daňové účely vo viac ako </w:t>
      </w:r>
      <w:r w:rsidR="00D052CF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jednej</w:t>
      </w:r>
      <w:r w:rsidR="005A4FD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krajine. </w:t>
      </w:r>
      <w:r w:rsidR="005A4FDA" w:rsidRPr="005A4FD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Vnútroštátne zákony rôznych </w:t>
      </w:r>
      <w:r w:rsidR="00BC2878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štátov</w:t>
      </w:r>
      <w:r w:rsidR="00BC2878" w:rsidRPr="005A4FD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</w:t>
      </w:r>
      <w:r w:rsidR="005A4FDA" w:rsidRPr="005A4FD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stanovujú podmienky, za ktorých sa má subjekt považovať za </w:t>
      </w:r>
      <w:r w:rsidR="005A4FD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daňového </w:t>
      </w:r>
      <w:r w:rsidR="005A4FDA" w:rsidRPr="005A4FD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rezidenta</w:t>
      </w:r>
      <w:r w:rsidR="00D052CF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v</w:t>
      </w:r>
      <w:r w:rsidR="00BE4FC7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 danom štáte</w:t>
      </w:r>
      <w:r w:rsidR="000A0852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. </w:t>
      </w:r>
      <w:r w:rsidR="00EE27F3" w:rsidRPr="00EE27F3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Vo všeobecnosti </w:t>
      </w:r>
      <w:r w:rsidR="00EE27F3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môže byť</w:t>
      </w:r>
      <w:r w:rsidR="00EE27F3" w:rsidRPr="00EE27F3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subjekt rezidentom na daňové účely v</w:t>
      </w:r>
      <w:r w:rsidR="00EE27F3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 danej krajine </w:t>
      </w:r>
      <w:r w:rsidR="00EE27F3" w:rsidRPr="00EE27F3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z dôvodu </w:t>
      </w:r>
      <w:r w:rsidR="00EE27F3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sídla</w:t>
      </w:r>
      <w:r w:rsidR="00EE27F3" w:rsidRPr="00EE27F3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, miesta vedenia alebo založenia spoločnosti alebo akéhokoľvek iného kritéria podobnej povahy, a nielen </w:t>
      </w:r>
      <w:r w:rsidR="008220AB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na základe príjmov </w:t>
      </w:r>
      <w:r w:rsidR="00EE27F3" w:rsidRPr="00EE27F3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zo zdrojov v tejto </w:t>
      </w:r>
      <w:r w:rsidR="00EE27F3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krajine.</w:t>
      </w:r>
      <w:r w:rsidR="00EE27F3" w:rsidRPr="00EE27F3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</w:t>
      </w:r>
      <w:r w:rsidR="005A4FD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V čestnom vyhlásení sa uvedú všetky </w:t>
      </w:r>
      <w:r w:rsidR="00BC2878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štáty</w:t>
      </w:r>
      <w:r w:rsidR="005A4FD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, </w:t>
      </w:r>
      <w:r w:rsidR="00BC2878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v ktorých </w:t>
      </w:r>
      <w:r w:rsidR="005A4FD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je </w:t>
      </w:r>
      <w:r w:rsidR="00D052CF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subjekt </w:t>
      </w:r>
      <w:r w:rsidR="005A4FD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rezidentom pre daňové účely. Spresnenie vychádza z</w:t>
      </w:r>
      <w:r w:rsidR="005A4FDA" w:rsidRPr="00CF0E64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požiadaviek </w:t>
      </w:r>
      <w:r w:rsidR="005A4FDA" w:rsidRPr="00CF0E6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dodatku k</w:t>
      </w:r>
      <w:r w:rsidR="00BC287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 </w:t>
      </w:r>
      <w:r w:rsidR="005A4FDA" w:rsidRPr="00CF0E6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CRS</w:t>
      </w:r>
      <w:r w:rsidR="00BC287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a príslušného komentára</w:t>
      </w:r>
      <w:r w:rsidR="005A4FDA" w:rsidRPr="00CF0E64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.</w:t>
      </w:r>
    </w:p>
    <w:p w14:paraId="48DA27CF" w14:textId="77777777" w:rsidR="005A4FDA" w:rsidRPr="00CF0E64" w:rsidRDefault="005A4FDA" w:rsidP="007B1B83">
      <w:pPr>
        <w:spacing w:after="0" w:line="252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14:paraId="432DEBF0" w14:textId="14C91D21" w:rsidR="007B1B83" w:rsidRPr="00CF0E64" w:rsidRDefault="007B1B83" w:rsidP="007B1B83">
      <w:pPr>
        <w:spacing w:after="0" w:line="252" w:lineRule="auto"/>
        <w:jc w:val="both"/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</w:pPr>
      <w:r w:rsidRPr="00CF0E64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K bodu </w:t>
      </w:r>
      <w:r w:rsidR="008B59BE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6</w:t>
      </w:r>
      <w:r w:rsidRPr="00CF0E64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 - § </w:t>
      </w:r>
      <w:r w:rsidR="008B59BE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8</w:t>
      </w:r>
      <w:r w:rsidRPr="00CF0E64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 ods. </w:t>
      </w:r>
      <w:r w:rsidR="008B59BE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2 až 5:</w:t>
      </w:r>
    </w:p>
    <w:p w14:paraId="504469B3" w14:textId="7E37181D" w:rsidR="00025D41" w:rsidRDefault="00E72508" w:rsidP="007B1B83">
      <w:pPr>
        <w:spacing w:after="0" w:line="252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S</w:t>
      </w:r>
      <w:r w:rsidR="001B1F39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presňujú </w:t>
      </w:r>
      <w:r w:rsidR="00025D41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sa osobitné pravidlá preverovania finančných účtov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pre niektoré konkrétne situácie, ktoré môžu nastať,</w:t>
      </w:r>
      <w:r w:rsidR="00025D41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="005D6711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ako ich upravuje</w:t>
      </w:r>
      <w:r w:rsidR="001B1F39" w:rsidRPr="00CF0E6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="00BE4FC7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dodatok k </w:t>
      </w:r>
      <w:r w:rsidR="001B1F39" w:rsidRPr="00CF0E6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CRS</w:t>
      </w:r>
      <w:r w:rsidR="00BE4FC7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a príslušné komentáre</w:t>
      </w:r>
      <w:r w:rsidR="001B1F39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</w:t>
      </w:r>
    </w:p>
    <w:p w14:paraId="6F116B5E" w14:textId="77777777" w:rsidR="00EA69E3" w:rsidRDefault="00EA69E3" w:rsidP="007B1B83">
      <w:pPr>
        <w:spacing w:after="0" w:line="252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14:paraId="7CF05556" w14:textId="77777777" w:rsidR="00EA69E3" w:rsidRDefault="00EA69E3" w:rsidP="007B1B83">
      <w:pPr>
        <w:spacing w:after="0" w:line="252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14:paraId="72834F51" w14:textId="6A7A23E4" w:rsidR="00F1406D" w:rsidRPr="001E2C90" w:rsidRDefault="00F1406D" w:rsidP="007B1B83">
      <w:pPr>
        <w:spacing w:after="0" w:line="252" w:lineRule="auto"/>
        <w:jc w:val="both"/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  <w:lastRenderedPageBreak/>
        <w:t xml:space="preserve">§ 8 ods. </w:t>
      </w:r>
      <w:r w:rsidRPr="001E2C90"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  <w:t>2:</w:t>
      </w:r>
    </w:p>
    <w:p w14:paraId="4C7A042B" w14:textId="006F3B0D" w:rsidR="00EE27F3" w:rsidRDefault="00F1406D" w:rsidP="005E1362">
      <w:pPr>
        <w:spacing w:after="0" w:line="252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Upravuje sa</w:t>
      </w:r>
      <w:r w:rsidR="00BE4FC7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postup v prípade, ak držiteľ finančného účtu alebo ovládajúca osoba získali štátnu príslušnosť alebo rezidenciu na základe investície (CBI/RBI schémy). 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Takáto situácia si vyžaduje dôkladnejšie preskúmanie, keďže CBI/RBI schémy môžu byť potenciálne využité na obchádzanie oznamovacích povinností podľa CRS. </w:t>
      </w:r>
      <w:r w:rsidR="005E1362" w:rsidRPr="005E136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Postup </w:t>
      </w:r>
      <w:r w:rsidR="005E136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detailnejšieho </w:t>
      </w:r>
      <w:r w:rsidR="005E1362" w:rsidRPr="005E136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preverovania</w:t>
      </w:r>
      <w:r w:rsidR="00BE4FC7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="005E1362" w:rsidRPr="005E136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je </w:t>
      </w:r>
      <w:r w:rsidR="005E136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obsiahnutý v</w:t>
      </w:r>
      <w:r w:rsidR="00077C29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="005E1362" w:rsidRPr="005E136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Informáci</w:t>
      </w:r>
      <w:r w:rsidR="00EE27F3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i</w:t>
      </w:r>
      <w:r w:rsidR="005E1362" w:rsidRPr="005E136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a odporúčan</w:t>
      </w:r>
      <w:r w:rsidR="00077C29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om</w:t>
      </w:r>
      <w:r w:rsidR="005E1362" w:rsidRPr="005E136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postup</w:t>
      </w:r>
      <w:r w:rsidR="00077C29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</w:t>
      </w:r>
      <w:r w:rsidR="005E1362" w:rsidRPr="005E136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detailnejšieho preverenia v</w:t>
      </w:r>
      <w:r w:rsidR="00EE27F3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 </w:t>
      </w:r>
      <w:r w:rsidR="005E1362" w:rsidRPr="005E136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prípade</w:t>
      </w:r>
      <w:r w:rsidR="00EE27F3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="005E1362" w:rsidRPr="005E136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schém získania štátnej príslušnosti alebo rezidencie na základe investície </w:t>
      </w:r>
      <w:r w:rsidR="00077C29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zverejnenom na webovej stránke </w:t>
      </w:r>
      <w:r w:rsidR="00BA6F6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M</w:t>
      </w:r>
      <w:r w:rsidR="00077C29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inisterstva </w:t>
      </w:r>
      <w:r w:rsidR="005D72D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financií</w:t>
      </w:r>
      <w:r w:rsidR="00BA6F6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Slovenskej republiky</w:t>
      </w:r>
      <w:r w:rsidR="005D72D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="00EE27F3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a je </w:t>
      </w:r>
      <w:r w:rsidR="00BE4FC7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založený </w:t>
      </w:r>
      <w:r w:rsidR="00EE27F3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na zodpovedaní </w:t>
      </w:r>
      <w:r w:rsidR="006D756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štyroch </w:t>
      </w:r>
      <w:r w:rsidR="00EE27F3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otázok týkajúcich sa dokladov na základe </w:t>
      </w:r>
      <w:r w:rsidR="00EE27F3" w:rsidRPr="005E136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CBI/RBI</w:t>
      </w:r>
      <w:r w:rsidR="00077C29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schém</w:t>
      </w:r>
      <w:r w:rsidR="00EE27F3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daňovej rezidencie v iných štátoch, zdržiavania sa v iných štátoch a podávania daňových priznaní v iných štátoch. </w:t>
      </w:r>
    </w:p>
    <w:p w14:paraId="7721CD21" w14:textId="77777777" w:rsidR="00EA69E3" w:rsidRPr="005E1362" w:rsidRDefault="00EA69E3" w:rsidP="005E1362">
      <w:pPr>
        <w:spacing w:after="0" w:line="252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14:paraId="5E1A1A35" w14:textId="56975B90" w:rsidR="00FD13E3" w:rsidRDefault="00F1406D" w:rsidP="005E1362">
      <w:pPr>
        <w:spacing w:after="0" w:line="252" w:lineRule="auto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§ 8 ods. 3:</w:t>
      </w:r>
    </w:p>
    <w:p w14:paraId="184E65D7" w14:textId="79650EAB" w:rsidR="00FD13E3" w:rsidRDefault="00FD13E3" w:rsidP="005E1362">
      <w:pPr>
        <w:spacing w:after="0" w:line="252" w:lineRule="auto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</w:pPr>
      <w:r w:rsidRPr="00FD13E3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Oznamujúca finančná inštitúcia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môže považovať</w:t>
      </w:r>
      <w:r w:rsidRPr="00FD13E3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čestné vyhlásenie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za</w:t>
      </w:r>
      <w:r w:rsidRPr="00FD13E3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nesp</w:t>
      </w:r>
      <w:r w:rsidR="00DC5792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rávne</w:t>
      </w:r>
      <w:r w:rsidRPr="00FD13E3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alebo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pochybné</w:t>
      </w:r>
      <w:r w:rsidRPr="00FD13E3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, ak neobsahuje </w:t>
      </w:r>
      <w:r w:rsidR="00BA6F6E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daňové identifikačné číslo (</w:t>
      </w:r>
      <w:r w:rsidRPr="00FD13E3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DIČ</w:t>
      </w:r>
      <w:r w:rsidR="00BA6F6E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)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, pričom informácie </w:t>
      </w:r>
      <w:r w:rsidR="00F1406D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uvedené na webovom sídle OECD indikujú</w:t>
      </w:r>
      <w:r w:rsidRPr="00FD13E3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, že </w:t>
      </w:r>
      <w:r w:rsidR="00F1406D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oznamovaný štát</w:t>
      </w:r>
      <w:r w:rsidRPr="00FD13E3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vydáva DIČ všetkým daňovým rezidentom. Oznamujúce finančné inštitúcie môžu </w:t>
      </w:r>
      <w:r w:rsidR="00F1406D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v rámci postupov preverovania </w:t>
      </w:r>
      <w:r w:rsidRPr="00FD13E3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použiť </w:t>
      </w:r>
      <w:r w:rsidR="00F1406D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tiež </w:t>
      </w:r>
      <w:r w:rsidRPr="00FD13E3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regionálne a národné webové stránky, ktoré poskytujú </w:t>
      </w:r>
      <w:r w:rsidR="00111583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nástroje </w:t>
      </w:r>
      <w:r w:rsidRPr="00FD13E3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na kontrolu DIČ na účely ďalšieho overenia </w:t>
      </w:r>
      <w:r w:rsidR="00EE021B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správno</w:t>
      </w:r>
      <w:r w:rsidRPr="00FD13E3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sti DIČ uvedeného v čestnom vyhlásení</w:t>
      </w:r>
      <w:r w:rsidR="0025339B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(napr. webové sídlo Európskej komisie (TIN on </w:t>
      </w:r>
      <w:proofErr w:type="spellStart"/>
      <w:r w:rsidR="0025339B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the</w:t>
      </w:r>
      <w:proofErr w:type="spellEnd"/>
      <w:r w:rsidR="0025339B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Web)</w:t>
      </w:r>
      <w:r w:rsidR="00BA6F6E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)</w:t>
      </w:r>
      <w:r w:rsidRPr="00FD13E3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.</w:t>
      </w:r>
    </w:p>
    <w:p w14:paraId="17608EDE" w14:textId="77777777" w:rsidR="00EA69E3" w:rsidRPr="00FD13E3" w:rsidRDefault="00EA69E3" w:rsidP="005E1362">
      <w:pPr>
        <w:spacing w:after="0" w:line="252" w:lineRule="auto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</w:pPr>
    </w:p>
    <w:p w14:paraId="7EAD9999" w14:textId="37946471" w:rsidR="005E1362" w:rsidRDefault="00F1406D" w:rsidP="005E1362">
      <w:pPr>
        <w:spacing w:after="0" w:line="252" w:lineRule="auto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§ 8 ods. 4:</w:t>
      </w:r>
    </w:p>
    <w:p w14:paraId="5755DEDC" w14:textId="581E7231" w:rsidR="000F1AD5" w:rsidRDefault="003726F8" w:rsidP="005E1362">
      <w:pPr>
        <w:spacing w:after="0" w:line="252" w:lineRule="auto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Upravuje sa postup v prípade zmien </w:t>
      </w:r>
      <w:r w:rsidR="000F1AD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v </w:t>
      </w:r>
      <w:r w:rsidR="000F1AD5" w:rsidRPr="00E1287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postupo</w:t>
      </w:r>
      <w:r w:rsidR="000F1AD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ch</w:t>
      </w:r>
      <w:r w:rsidR="000F1AD5" w:rsidRPr="00E1287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="00BA6F6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na</w:t>
      </w:r>
      <w:r w:rsidR="000F1AD5" w:rsidRPr="00E1287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predchádzanie a odhaľovanie príjmov z trestnej činnosti a financovania terorizmu</w:t>
      </w:r>
      <w:r w:rsidR="000F1AD5" w:rsidRPr="000F1AD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, ktorým oznamujúca finančná inštitúcia podlieha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. </w:t>
      </w:r>
      <w:r w:rsidR="000F1AD5" w:rsidRPr="000F1AD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D</w:t>
      </w:r>
      <w:r w:rsidR="000F1AD5" w:rsidRPr="000F1AD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odatočné informácie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získané </w:t>
      </w:r>
      <w:r w:rsidR="000F1AD5" w:rsidRPr="000F1AD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podľa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týchto aktualizovaných</w:t>
      </w:r>
      <w:r w:rsidR="000F1AD5" w:rsidRPr="000F1AD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postupov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sa využijú </w:t>
      </w:r>
      <w:r w:rsidR="00EA3051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za účelom</w:t>
      </w:r>
      <w:r w:rsidR="000F1AD5" w:rsidRPr="000F1AD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určeni</w:t>
      </w:r>
      <w:r w:rsidR="00EA3051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a</w:t>
      </w:r>
      <w:r w:rsidR="000F1AD5" w:rsidRPr="000F1AD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, či došlo k zmene okolností držiteľov účtov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a/</w:t>
      </w:r>
      <w:r w:rsidR="000F1AD5" w:rsidRPr="000F1AD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alebo ovládajúcich osôb. </w:t>
      </w:r>
      <w:r w:rsidR="000F1AD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A</w:t>
      </w:r>
      <w:r w:rsidR="000F1AD5" w:rsidRPr="000F1AD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k sú získané dodatočné informácie v rozpore s tvrdeniami uvedenými v čestnom vyhlásení, potom došlo k zmene okolností a oznamujúca finančná inštitúcia </w:t>
      </w:r>
      <w:r w:rsidR="000F1AD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môže považovať</w:t>
      </w:r>
      <w:r w:rsidR="000F1AD5" w:rsidRPr="00FD13E3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čestné vyhlásenie </w:t>
      </w:r>
      <w:r w:rsidR="000F1AD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za</w:t>
      </w:r>
      <w:r w:rsidR="000F1AD5" w:rsidRPr="00FD13E3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nesp</w:t>
      </w:r>
      <w:r w:rsidR="000F1AD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rávne</w:t>
      </w:r>
      <w:r w:rsidR="000F1AD5" w:rsidRPr="00FD13E3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alebo </w:t>
      </w:r>
      <w:r w:rsidR="000F1AD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pochybné</w:t>
      </w:r>
      <w:r w:rsidR="000F1AD5" w:rsidRPr="000F1AD5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.</w:t>
      </w:r>
    </w:p>
    <w:p w14:paraId="4B3B3270" w14:textId="77777777" w:rsidR="00EA69E3" w:rsidRPr="000F1AD5" w:rsidRDefault="00EA69E3" w:rsidP="005E1362">
      <w:pPr>
        <w:spacing w:after="0" w:line="252" w:lineRule="auto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</w:pPr>
    </w:p>
    <w:p w14:paraId="0FE53711" w14:textId="4CAE9952" w:rsidR="005E1362" w:rsidRDefault="005E1362" w:rsidP="005E1362">
      <w:pPr>
        <w:spacing w:after="0" w:line="252" w:lineRule="auto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D052CF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 xml:space="preserve">§ 8 ods. </w:t>
      </w:r>
      <w:r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5</w:t>
      </w:r>
      <w:r w:rsidR="007F6E78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:</w:t>
      </w:r>
    </w:p>
    <w:p w14:paraId="3C418B97" w14:textId="07CDF554" w:rsidR="007B4A8E" w:rsidRDefault="007B4A8E" w:rsidP="005E1362">
      <w:pPr>
        <w:spacing w:after="0" w:line="252" w:lineRule="auto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</w:pPr>
      <w:r w:rsidRPr="007B4A8E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Odsek obsahuje osobitný postup, ktorý sa dočasne u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platňuje</w:t>
      </w:r>
      <w:r w:rsidRPr="007B4A8E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za výnimočných okolností</w:t>
      </w:r>
      <w:r w:rsidR="00B86972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(napr. nedostupnosť fyzickej osoby z dôvodu choroby alebo núdzovej situácie, komplexnosť klienta z hľadiska určenia daňovej rezidencie)</w:t>
      </w:r>
      <w:r w:rsidRPr="007B4A8E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, keď oznamujúca finančná inštitúcia nemôže včas získať a overiť čestné vyhlásenie v súvislosti s novým účtom, aby splnila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povinnosti vyplývajúce z postupov preverovania</w:t>
      </w:r>
      <w:r w:rsidRPr="007B4A8E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a oznamovania týkajúce sa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oznamovaného</w:t>
      </w:r>
      <w:r w:rsidRPr="007B4A8E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obdobia, počas ktorého bol účet otvorený. Ak čestné vyhlásenie nemožno získať a overiť v súvislosti s novým účtom fyzickej osoby,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dočasne </w:t>
      </w:r>
      <w:r w:rsidR="00BA6F6E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sa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uplatn</w:t>
      </w:r>
      <w:r w:rsidR="00BA6F6E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ia</w:t>
      </w:r>
      <w:r w:rsidRPr="007B4A8E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postupy pre existujúce účty fyzických osôb. Podobne, ak nemožno získať a overiť čestné vyhlásenie v súvislosti s novým účtom subjektu,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dočasne </w:t>
      </w:r>
      <w:r w:rsidR="00BA6F6E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sa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uplatn</w:t>
      </w:r>
      <w:r w:rsidR="00BA6F6E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ia</w:t>
      </w:r>
      <w:r w:rsidRPr="007B4A8E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postupy pre existujúce účty subjektov.</w:t>
      </w:r>
    </w:p>
    <w:p w14:paraId="4BF75381" w14:textId="77777777" w:rsidR="007B4A8E" w:rsidRDefault="007B4A8E" w:rsidP="005E1362">
      <w:pPr>
        <w:spacing w:after="0" w:line="252" w:lineRule="auto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</w:pPr>
    </w:p>
    <w:p w14:paraId="3AD2FECC" w14:textId="2AF4B63B" w:rsidR="007B1B83" w:rsidRPr="00CF0E64" w:rsidRDefault="007B1B83" w:rsidP="007B1B83">
      <w:pPr>
        <w:spacing w:after="0" w:line="252" w:lineRule="auto"/>
        <w:jc w:val="both"/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  <w:lang w:eastAsia="ar-SA"/>
        </w:rPr>
      </w:pPr>
      <w:r w:rsidRPr="00CF0E64"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  <w:lang w:eastAsia="ar-SA"/>
        </w:rPr>
        <w:t xml:space="preserve">K bodu </w:t>
      </w:r>
      <w:r w:rsidR="008B59BE"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  <w:lang w:eastAsia="ar-SA"/>
        </w:rPr>
        <w:t>7</w:t>
      </w:r>
      <w:r w:rsidRPr="00CF0E64"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  <w:lang w:eastAsia="ar-SA"/>
        </w:rPr>
        <w:t xml:space="preserve"> - §</w:t>
      </w:r>
      <w:r w:rsidR="001B1F39"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  <w:lang w:eastAsia="ar-SA"/>
        </w:rPr>
        <w:t xml:space="preserve"> 18</w:t>
      </w:r>
      <w:r w:rsidR="00406836"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  <w:lang w:eastAsia="ar-SA"/>
        </w:rPr>
        <w:t>b</w:t>
      </w:r>
      <w:r w:rsidR="001B1F39"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  <w:lang w:eastAsia="ar-SA"/>
        </w:rPr>
        <w:t xml:space="preserve"> až 18d:</w:t>
      </w:r>
      <w:r w:rsidRPr="00CF0E64"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  <w:lang w:eastAsia="ar-SA"/>
        </w:rPr>
        <w:t xml:space="preserve"> </w:t>
      </w:r>
    </w:p>
    <w:p w14:paraId="4B85AB0E" w14:textId="72A14D26" w:rsidR="007B1B83" w:rsidRDefault="00485D0D" w:rsidP="007534B7">
      <w:pPr>
        <w:spacing w:after="0" w:line="252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Nadväzne na rozšírenie rozsahu zákona č. 359/2015 Z. z. o automatickej výmene informácií o finančných účtoch </w:t>
      </w:r>
      <w:r w:rsidRPr="00485D0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na účely správy daní a o zmene a doplnení niektorých zákonov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v znení neskorších predpisov </w:t>
      </w:r>
      <w:r w:rsidR="003F377F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(ďalej len „zákon č. 359/2015 Z. z.) </w:t>
      </w:r>
      <w:r w:rsidR="00471DF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o oblasť automatickej výmeny informácií o </w:t>
      </w:r>
      <w:proofErr w:type="spellStart"/>
      <w:r w:rsidR="00471DF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kryptoaktívach</w:t>
      </w:r>
      <w:proofErr w:type="spellEnd"/>
      <w:r w:rsidR="00471DF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sa v</w:t>
      </w:r>
      <w:r w:rsidR="002800D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yhlášk</w:t>
      </w:r>
      <w:r w:rsidR="00B73DE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a</w:t>
      </w:r>
      <w:r w:rsidR="002800D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dopĺňa</w:t>
      </w:r>
      <w:r w:rsidR="00B73DE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o</w:t>
      </w:r>
      <w:r w:rsidR="002800D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ustanovenia o podrobnostiach 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týkajúcich sa </w:t>
      </w:r>
      <w:r w:rsidR="002800D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požiadav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iek</w:t>
      </w:r>
      <w:r w:rsidR="002800D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a postupo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v</w:t>
      </w:r>
      <w:r w:rsidR="002800D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preverovania a oznamovania o </w:t>
      </w:r>
      <w:proofErr w:type="spellStart"/>
      <w:r w:rsidR="002800D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kryptoaktívach</w:t>
      </w:r>
      <w:proofErr w:type="spellEnd"/>
      <w:r w:rsidR="002800D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a požiadav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iek</w:t>
      </w:r>
      <w:r w:rsidR="002800D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na platnosť čestných vyhlásení</w:t>
      </w:r>
      <w:r w:rsidR="0040683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</w:t>
      </w:r>
    </w:p>
    <w:p w14:paraId="1252F3A5" w14:textId="77777777" w:rsidR="00471DFE" w:rsidRDefault="00471DFE" w:rsidP="007534B7">
      <w:pPr>
        <w:spacing w:after="0" w:line="252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14:paraId="4932A9C9" w14:textId="77777777" w:rsidR="00965D5E" w:rsidRDefault="00965D5E" w:rsidP="007534B7">
      <w:pPr>
        <w:spacing w:after="0" w:line="252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14:paraId="5759913B" w14:textId="7B93562B" w:rsidR="00471DFE" w:rsidRDefault="006050DB">
      <w:pPr>
        <w:contextualSpacing/>
        <w:jc w:val="both"/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</w:pPr>
      <w:r w:rsidRPr="006050DB"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  <w:lastRenderedPageBreak/>
        <w:t>§ 18b</w:t>
      </w:r>
      <w:r w:rsidR="00471DFE"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  <w:t xml:space="preserve">: </w:t>
      </w:r>
    </w:p>
    <w:p w14:paraId="5EFDCF92" w14:textId="79A202FD" w:rsidR="00471DFE" w:rsidRPr="001E2C90" w:rsidRDefault="00471DFE" w:rsidP="001E2C90">
      <w:pPr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Upravuje podrobnosti o požiadavkách preverovania a oznamovania </w:t>
      </w:r>
      <w:proofErr w:type="spellStart"/>
      <w:r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kryptoaktív</w:t>
      </w:r>
      <w:proofErr w:type="spellEnd"/>
      <w:r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</w:t>
      </w:r>
    </w:p>
    <w:p w14:paraId="4E065A25" w14:textId="64B7BB61" w:rsidR="006320E3" w:rsidRPr="006320E3" w:rsidRDefault="006320E3" w:rsidP="001E2C90">
      <w:pPr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471DF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V odseku 1 sa stanovuje</w:t>
      </w:r>
      <w:r w:rsidR="00471DF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že </w:t>
      </w:r>
      <w:r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používateľ </w:t>
      </w:r>
      <w:proofErr w:type="spellStart"/>
      <w:r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kryptoaktív</w:t>
      </w:r>
      <w:proofErr w:type="spellEnd"/>
      <w:r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="00471DF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sa </w:t>
      </w:r>
      <w:r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považuje za používateľa podli</w:t>
      </w:r>
      <w:r w:rsidR="00C70A18"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</w:t>
      </w:r>
      <w:r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hajúceho oznamovaniu</w:t>
      </w:r>
      <w:r w:rsidRPr="00471DF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="00471DF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od dátumu, keď je identifikovaný ako oznamovaný podľa vyhlášky. Stanovujú sa </w:t>
      </w:r>
      <w:r w:rsidRPr="00471DF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aj podmienky </w:t>
      </w:r>
      <w:r w:rsidR="00471DF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oznamovania </w:t>
      </w:r>
      <w:r w:rsidRPr="00471DF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informácií</w:t>
      </w:r>
      <w:r w:rsidR="00471DF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o používateľovi podliehajúcom oznamovaniu</w:t>
      </w:r>
      <w:r w:rsidRPr="00471DF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</w:t>
      </w:r>
      <w:r w:rsidRPr="006320E3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</w:p>
    <w:p w14:paraId="5628576B" w14:textId="71613957" w:rsidR="006050DB" w:rsidRDefault="006320E3">
      <w:pPr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6320E3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Odsek 2 umožňuje oznamujúci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m</w:t>
      </w:r>
      <w:r w:rsidRPr="006320E3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poskytovateľ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om</w:t>
      </w:r>
      <w:r w:rsidRPr="006320E3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služieb </w:t>
      </w:r>
      <w:proofErr w:type="spellStart"/>
      <w:r w:rsidRPr="006320E3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kryptoaktív</w:t>
      </w:r>
      <w:proofErr w:type="spellEnd"/>
      <w:r w:rsidRPr="006320E3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, ktor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í sú</w:t>
      </w:r>
      <w:r w:rsidRPr="006320E3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zároveň finančnou inštitúciou podľa zákona</w:t>
      </w:r>
      <w:r w:rsidR="00471DF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(napr. banky)</w:t>
      </w:r>
      <w:r w:rsidRPr="006320E3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, použiť postupy preverovania pre oblasť výmeny informácií o finančných účtoch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a</w:t>
      </w:r>
      <w:r w:rsidRPr="006320E3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využiť čestné vyhlásenie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poskytnuté k finančnému účtu, ak </w:t>
      </w:r>
      <w:r w:rsidRPr="006320E3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spĺňa požiadavky </w:t>
      </w:r>
      <w:r w:rsidR="00BA6F6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uvedené v</w:t>
      </w:r>
      <w:r w:rsidRPr="006320E3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§ 18e</w:t>
      </w:r>
      <w:r w:rsidR="00471DF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vyhlášky.</w:t>
      </w:r>
    </w:p>
    <w:p w14:paraId="450B0B3A" w14:textId="31A41D2F" w:rsidR="00471DFE" w:rsidRDefault="00965D5E" w:rsidP="001E2C90">
      <w:pPr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V odseku 3 sa umožňuje využitie čestného vyhlásenia, </w:t>
      </w:r>
      <w:r w:rsidRPr="00965D5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ktoré už bolo získané na iné daňové účely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(napr. na účely automatickej výmeny informácií o finančných účtoch). T</w:t>
      </w:r>
      <w:r w:rsidRPr="00965D5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akéto čestné vyhlásenie 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však musí </w:t>
      </w:r>
      <w:r w:rsidRPr="00965D5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spĺňa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ť</w:t>
      </w:r>
      <w:r w:rsidRPr="00965D5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požiadavky </w:t>
      </w:r>
      <w:r w:rsidR="009672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uvedené v</w:t>
      </w:r>
      <w:r w:rsidRPr="00965D5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§ 18e.</w:t>
      </w:r>
    </w:p>
    <w:p w14:paraId="69241D7F" w14:textId="77777777" w:rsidR="00965D5E" w:rsidRPr="006320E3" w:rsidRDefault="00965D5E" w:rsidP="001E2C90">
      <w:pPr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14:paraId="3C6DDEA2" w14:textId="77777777" w:rsidR="00471DFE" w:rsidRDefault="006050DB">
      <w:pPr>
        <w:contextualSpacing/>
        <w:jc w:val="both"/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</w:pPr>
      <w:r w:rsidRPr="006050DB"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  <w:t>§ 18</w:t>
      </w:r>
      <w:r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  <w:t>c</w:t>
      </w:r>
      <w:r w:rsidRPr="006050DB"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  <w:t xml:space="preserve"> </w:t>
      </w:r>
    </w:p>
    <w:p w14:paraId="1541BEFB" w14:textId="779C5525" w:rsidR="006050DB" w:rsidRPr="001E2C90" w:rsidRDefault="00471DFE" w:rsidP="001E2C90">
      <w:pPr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Upravuje p</w:t>
      </w:r>
      <w:r w:rsidR="006050DB"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odrobnosti postupov preverovania pre používateľov </w:t>
      </w:r>
      <w:proofErr w:type="spellStart"/>
      <w:r w:rsidR="006050DB"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kryptoaktív</w:t>
      </w:r>
      <w:proofErr w:type="spellEnd"/>
      <w:r w:rsidR="006050DB"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, ktorí sú fyzickými osobami</w:t>
      </w:r>
      <w:r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</w:t>
      </w:r>
    </w:p>
    <w:p w14:paraId="388A3889" w14:textId="7998AA34" w:rsidR="00117758" w:rsidRDefault="009764B6" w:rsidP="001E2C90">
      <w:pPr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471DF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V </w:t>
      </w:r>
      <w:r w:rsidR="00566149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písmene</w:t>
      </w:r>
      <w:r w:rsidR="00566149" w:rsidRPr="00471DF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Pr="00471DF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a) sa stanovuje postup</w:t>
      </w:r>
      <w:r w:rsidRPr="009764B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určenia</w:t>
      </w:r>
      <w:r w:rsidR="00471DF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,</w:t>
      </w:r>
      <w:r w:rsidRPr="009764B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či používateľ </w:t>
      </w:r>
      <w:proofErr w:type="spellStart"/>
      <w:r w:rsidRPr="009764B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kryptoaktív</w:t>
      </w:r>
      <w:proofErr w:type="spellEnd"/>
      <w:r w:rsidRPr="009764B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ktorý je fyzickou osobou, 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je </w:t>
      </w:r>
      <w:r w:rsidRPr="009764B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používateľom podliehajúcim oznamovaniu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, na základe čestného vyhlásenia</w:t>
      </w:r>
      <w:r w:rsidR="001177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</w:t>
      </w:r>
      <w:r w:rsidR="00117758" w:rsidRPr="001177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ktoré umožní určiť rezidenciu na daňové účely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Čestné vyhlásenie sa v prípade nových používateľov </w:t>
      </w:r>
      <w:proofErr w:type="spellStart"/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kry</w:t>
      </w:r>
      <w:r w:rsidR="00471DF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pt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oaktív</w:t>
      </w:r>
      <w:proofErr w:type="spellEnd"/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získa pri uzatvorení obchodného vzťahu </w:t>
      </w:r>
      <w:r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(napr. </w:t>
      </w:r>
      <w:r w:rsidR="00C463F1"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pri prvotnej registrácii na webovom sídle poskytovateľa služieb </w:t>
      </w:r>
      <w:proofErr w:type="spellStart"/>
      <w:r w:rsidR="00C463F1"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kryptoaktív</w:t>
      </w:r>
      <w:proofErr w:type="spellEnd"/>
      <w:r w:rsidR="00C463F1"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alebo </w:t>
      </w:r>
      <w:proofErr w:type="spellStart"/>
      <w:r w:rsidR="00C463F1"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kryptoburze</w:t>
      </w:r>
      <w:proofErr w:type="spellEnd"/>
      <w:r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)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Pr="009764B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a v prípade existujúcich používateľov </w:t>
      </w:r>
      <w:proofErr w:type="spellStart"/>
      <w:r w:rsidRPr="009764B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kryptoaktív</w:t>
      </w:r>
      <w:proofErr w:type="spellEnd"/>
      <w:r w:rsidRPr="009764B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do 1. januára 2027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</w:t>
      </w:r>
      <w:r w:rsidR="001177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Primeranosť takéhoto čestného vyhlásenia sa potvrdí na základe </w:t>
      </w:r>
      <w:r w:rsidR="00117758" w:rsidRPr="001177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získaných informácií vrátane dokumentácie zozbieranej na základe </w:t>
      </w:r>
      <w:r w:rsidR="00117758" w:rsidRPr="00CF0E6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postup</w:t>
      </w:r>
      <w:r w:rsidR="001177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ov</w:t>
      </w:r>
      <w:r w:rsidR="00117758" w:rsidRPr="00CF0E6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v oblasti boja proti legalizácii príjmov z trestnej činnosti a financovania terorizmu (upravené smernicou (EÚ) 2015/849, ktorá je v Slovenskej republike transponovaná do zákona č. 297/2008 Z. z.) alebo </w:t>
      </w:r>
      <w:r w:rsidR="00471DF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v podstate </w:t>
      </w:r>
      <w:r w:rsidR="00117758" w:rsidRPr="00CF0E6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podobn</w:t>
      </w:r>
      <w:r w:rsidR="0059775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ým</w:t>
      </w:r>
      <w:r w:rsidR="00067E4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i</w:t>
      </w:r>
      <w:r w:rsidR="0059775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postup</w:t>
      </w:r>
      <w:r w:rsidR="00067E4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mi</w:t>
      </w:r>
      <w:r w:rsidR="00117758" w:rsidRPr="00CF0E6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</w:t>
      </w:r>
    </w:p>
    <w:p w14:paraId="3A561BA1" w14:textId="5FBC3672" w:rsidR="003516E1" w:rsidRDefault="003516E1">
      <w:pPr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Bod b) stanovuje postup </w:t>
      </w:r>
      <w:r w:rsidR="00067E4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v situácii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, ak sa čestné vyhlásenie stane nesprávnym alebo pochybným z dôvod</w:t>
      </w:r>
      <w:r w:rsidR="00067E4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u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zm</w:t>
      </w:r>
      <w:r w:rsidR="00067E4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eny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okolností.</w:t>
      </w:r>
    </w:p>
    <w:p w14:paraId="677C60DA" w14:textId="77777777" w:rsidR="00067E4C" w:rsidRPr="009764B6" w:rsidRDefault="00067E4C" w:rsidP="001E2C90">
      <w:pPr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14:paraId="2549B7A5" w14:textId="2FB1A255" w:rsidR="00067E4C" w:rsidRDefault="006050DB">
      <w:pPr>
        <w:contextualSpacing/>
        <w:jc w:val="both"/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</w:pPr>
      <w:r w:rsidRPr="006050DB"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  <w:t>§ 18</w:t>
      </w:r>
      <w:r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  <w:t>d</w:t>
      </w:r>
      <w:r w:rsidR="007F0808"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  <w:t>:</w:t>
      </w:r>
    </w:p>
    <w:p w14:paraId="00F23781" w14:textId="4CAD72F7" w:rsidR="006050DB" w:rsidRPr="001E2C90" w:rsidRDefault="00067E4C" w:rsidP="001E2C90">
      <w:pPr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Upravuje p</w:t>
      </w:r>
      <w:r w:rsidR="006050DB"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odrobnosti postupov preverovania pre používateľov </w:t>
      </w:r>
      <w:proofErr w:type="spellStart"/>
      <w:r w:rsidR="006050DB"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kryptoaktív</w:t>
      </w:r>
      <w:proofErr w:type="spellEnd"/>
      <w:r w:rsidR="006050DB"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, ktorí sú subjektmi</w:t>
      </w:r>
      <w:r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</w:t>
      </w:r>
    </w:p>
    <w:p w14:paraId="52858586" w14:textId="32394220" w:rsidR="007F0808" w:rsidRDefault="007F0808" w:rsidP="007F0808">
      <w:pPr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471DF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V</w:t>
      </w:r>
      <w:r w:rsidR="0065112B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 odseku 1 písm. </w:t>
      </w:r>
      <w:r w:rsidRPr="00471DF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a) sa stanovuje postup</w:t>
      </w:r>
      <w:r w:rsidRPr="009764B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určenia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,</w:t>
      </w:r>
      <w:r w:rsidRPr="009764B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či používateľ </w:t>
      </w:r>
      <w:proofErr w:type="spellStart"/>
      <w:r w:rsidRPr="009764B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kryptoaktív</w:t>
      </w:r>
      <w:proofErr w:type="spellEnd"/>
      <w:r w:rsidRPr="009764B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ktorý je 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subjektom</w:t>
      </w:r>
      <w:r w:rsidRPr="009764B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je </w:t>
      </w:r>
      <w:r w:rsidRPr="009764B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používateľom podliehajúcim oznamovaniu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alebo subjektom iným ako vylúčená osoba</w:t>
      </w:r>
      <w:r w:rsidR="009672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alebo aktívny subjekt s jednou </w:t>
      </w:r>
      <w:r w:rsidR="00967265" w:rsidRPr="009672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alebo viacerými ovládajúcimi osobami, ktoré sú osobami podliehajúcimi oznamovaniu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na základe čestného vyhlásenia, </w:t>
      </w:r>
      <w:r w:rsidRPr="001177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ktoré umožní určiť rezidenciu</w:t>
      </w:r>
      <w:r w:rsidR="00E705D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(rezidencie)</w:t>
      </w:r>
      <w:r w:rsidRPr="001177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na daňové účely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Čestné vyhlásenie sa v prípade nových používateľov </w:t>
      </w:r>
      <w:proofErr w:type="spellStart"/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kryptoaktív</w:t>
      </w:r>
      <w:proofErr w:type="spellEnd"/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získa pri uzatvorení obchodného vzťahu </w:t>
      </w:r>
      <w:r w:rsidRPr="009764B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a v prípade existujúcich používateľov </w:t>
      </w:r>
      <w:proofErr w:type="spellStart"/>
      <w:r w:rsidRPr="009764B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kryptoaktív</w:t>
      </w:r>
      <w:proofErr w:type="spellEnd"/>
      <w:r w:rsidRPr="009764B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do 1. januára 2027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Primeranosť čestného vyhlásenia sa potvrdí na základe </w:t>
      </w:r>
      <w:r w:rsidRPr="001177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získaných informácií vrátane dokumentácie zozbieranej na základe </w:t>
      </w:r>
      <w:r w:rsidRPr="00CF0E6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postup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ov</w:t>
      </w:r>
      <w:r w:rsidRPr="00CF0E6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v oblasti boja proti legalizácii príjmov z trestnej činnosti a financovania terorizmu alebo 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v podstate </w:t>
      </w:r>
      <w:r w:rsidRPr="00CF0E6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podobn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ými postupmi</w:t>
      </w:r>
      <w:r w:rsidRPr="00CF0E6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</w:t>
      </w:r>
      <w:r w:rsidR="00566149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</w:p>
    <w:p w14:paraId="0E2591A3" w14:textId="69523846" w:rsidR="00566149" w:rsidRDefault="00566149" w:rsidP="007F0808">
      <w:pPr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V</w:t>
      </w:r>
      <w:r w:rsidR="0065112B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 odseku 1</w:t>
      </w:r>
      <w:r w:rsidR="00207D2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 písm</w:t>
      </w:r>
      <w:r w:rsidR="0065112B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</w:t>
      </w:r>
      <w:r w:rsidR="00207D2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b) sa ustanovuje postup v situácii, ak používateľ </w:t>
      </w:r>
      <w:proofErr w:type="spellStart"/>
      <w:r w:rsidR="00207D2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kryptoaktív</w:t>
      </w:r>
      <w:proofErr w:type="spellEnd"/>
      <w:r w:rsidR="00207D2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, ktorý je subjektom, potvrdí v čestnom vyhlásení, že nemá rezidenciu na daňové</w:t>
      </w:r>
      <w:r w:rsidR="0065112B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účely. V tomto prípade možno na účely určenia rezidencie na daňové účely využiť miesto jeho skutočného vedenia alebo adresu sídla. </w:t>
      </w:r>
    </w:p>
    <w:p w14:paraId="27E30FC3" w14:textId="2ECC8898" w:rsidR="0065112B" w:rsidRDefault="0065112B" w:rsidP="007F0808">
      <w:pPr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V písmene c) sa ustanovuje postup, ak používateľ </w:t>
      </w:r>
      <w:proofErr w:type="spellStart"/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kryptoaktív</w:t>
      </w:r>
      <w:proofErr w:type="spellEnd"/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ktorý je subjektom, potvrdí v čestnom vyhlásení, že je rezidentom na daňové účely v oznamovanom štáte, považuje sa za používateľa podliehajúceho oznamovaniu, pokiaľ </w:t>
      </w:r>
      <w:r w:rsidR="009672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sa 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na základe čestného vyhlásenia alebo z informácií, ktoré sú k dispozícii alebo sú verejne dostupné, neurčí, že je vylúčená osoba. </w:t>
      </w:r>
    </w:p>
    <w:p w14:paraId="2594AAA5" w14:textId="21DE8E2C" w:rsidR="0065112B" w:rsidRDefault="0065112B" w:rsidP="007F0808">
      <w:pPr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lastRenderedPageBreak/>
        <w:t xml:space="preserve">V odseku 2 sa stanovuje postup určenia, či je používateľ, ktorý je subjektom, používateľom </w:t>
      </w:r>
      <w:proofErr w:type="spellStart"/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kryptoaktív</w:t>
      </w:r>
      <w:proofErr w:type="spellEnd"/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s jednou alebo viacerými ovládajúcimi osobami, ktoré sú osobami podliehajúcimi oznamovaniu. </w:t>
      </w:r>
    </w:p>
    <w:p w14:paraId="66A3C81A" w14:textId="775D4498" w:rsidR="0065112B" w:rsidRDefault="0065112B">
      <w:pPr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V odseku 3 sa upravuje postup v prípade zmeny okolností u používateľa </w:t>
      </w:r>
      <w:proofErr w:type="spellStart"/>
      <w:r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kryptoaktív</w:t>
      </w:r>
      <w:proofErr w:type="spellEnd"/>
      <w:r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alebo jeho ovládajúcich osôb. Ak sa v dôsledku zmeny okolností zistí, že pôvodné čestné vyhlásenie je nesprávne alebo pochybné, získa sa nové čestné vyhlásenie alebo odôvodnenie k pôvodnému čestnému vyhláseniu </w:t>
      </w:r>
      <w:r w:rsidR="004F0A11"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a</w:t>
      </w:r>
      <w:r w:rsidR="009672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 v náležitých prípadoch </w:t>
      </w:r>
      <w:r w:rsidR="004F0A11"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dokumentácia, kto</w:t>
      </w:r>
      <w:r w:rsidR="005D72D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rá</w:t>
      </w:r>
      <w:r w:rsidR="004F0A11"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potvrdzuje platnosť pôvodného čestného vyhlásenia. </w:t>
      </w:r>
    </w:p>
    <w:p w14:paraId="1182FB3D" w14:textId="77777777" w:rsidR="004F0A11" w:rsidRDefault="004F0A11">
      <w:pPr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14:paraId="5ED87030" w14:textId="77777777" w:rsidR="007F0808" w:rsidRDefault="006050DB">
      <w:pPr>
        <w:contextualSpacing/>
        <w:jc w:val="both"/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</w:pPr>
      <w:r w:rsidRPr="006050DB"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  <w:t>§ 18</w:t>
      </w:r>
      <w:r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  <w:t>e</w:t>
      </w:r>
      <w:r w:rsidR="007F0808">
        <w:rPr>
          <w:rFonts w:ascii="Times New Roman" w:eastAsia="Arial Unicode MS" w:hAnsi="Times New Roman"/>
          <w:b/>
          <w:bCs/>
          <w:kern w:val="1"/>
          <w:sz w:val="24"/>
          <w:szCs w:val="24"/>
          <w:lang w:eastAsia="ar-SA"/>
        </w:rPr>
        <w:t>:</w:t>
      </w:r>
    </w:p>
    <w:p w14:paraId="2C08BB71" w14:textId="5F697D28" w:rsidR="006050DB" w:rsidRPr="001E2C90" w:rsidRDefault="007F0808" w:rsidP="001E2C90">
      <w:pPr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Upravuj</w:t>
      </w:r>
      <w:r w:rsidR="009672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e </w:t>
      </w:r>
      <w:r w:rsidR="006050DB"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požiadavk</w:t>
      </w:r>
      <w:r w:rsidR="009672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y</w:t>
      </w:r>
      <w:r w:rsidR="006050DB"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na platnosť čestných vyhlásení poskytnutých používateľmi </w:t>
      </w:r>
      <w:proofErr w:type="spellStart"/>
      <w:r w:rsidR="006050DB"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kryptoaktív</w:t>
      </w:r>
      <w:proofErr w:type="spellEnd"/>
      <w:r w:rsidRPr="001E2C9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</w:t>
      </w:r>
    </w:p>
    <w:p w14:paraId="7FF539BE" w14:textId="5DD61BD1" w:rsidR="00406836" w:rsidRPr="0054546C" w:rsidRDefault="0054546C" w:rsidP="007534B7">
      <w:pPr>
        <w:spacing w:after="0" w:line="252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54546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Odsek 1 </w:t>
      </w:r>
      <w:r w:rsidR="004E2D37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stanov</w:t>
      </w:r>
      <w:r w:rsidRPr="0054546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uje náležitosti platného če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s</w:t>
      </w:r>
      <w:r w:rsidRPr="0054546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tného vyhl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á</w:t>
      </w:r>
      <w:r w:rsidRPr="0054546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s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</w:t>
      </w:r>
      <w:r w:rsidRPr="0054546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nia 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poskytnutého </w:t>
      </w:r>
      <w:r w:rsidRPr="0054546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používateľom </w:t>
      </w:r>
      <w:proofErr w:type="spellStart"/>
      <w:r w:rsidRPr="0054546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kryptoaktív</w:t>
      </w:r>
      <w:proofErr w:type="spellEnd"/>
      <w:r w:rsidRPr="0054546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, ktorý je fyzickou osobou alebo ovládajúcou osobou</w:t>
      </w:r>
      <w:r w:rsidR="004E2D37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, a to obsah, dátum a</w:t>
      </w:r>
      <w:r w:rsidR="006B4ED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spôsob</w:t>
      </w:r>
      <w:r w:rsidR="004E2D37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 potvrdeni</w:t>
      </w:r>
      <w:r w:rsidR="006B4ED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a</w:t>
      </w:r>
      <w:r w:rsidR="004E2D37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čestného vyhlásenia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</w:t>
      </w:r>
    </w:p>
    <w:p w14:paraId="620014D8" w14:textId="6F78D6BC" w:rsidR="007B1B83" w:rsidRDefault="0054546C" w:rsidP="007534B7">
      <w:pPr>
        <w:spacing w:after="0" w:line="252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54546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Odsek 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2</w:t>
      </w:r>
      <w:r w:rsidRPr="0054546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="006B4ED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stanovu</w:t>
      </w:r>
      <w:r w:rsidRPr="0054546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je náležitosti platného če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s</w:t>
      </w:r>
      <w:r w:rsidRPr="0054546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tného vyhl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á</w:t>
      </w:r>
      <w:r w:rsidRPr="0054546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s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</w:t>
      </w:r>
      <w:r w:rsidRPr="0054546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nia 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poskytnutého </w:t>
      </w:r>
      <w:r w:rsidRPr="0054546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používateľom </w:t>
      </w:r>
      <w:proofErr w:type="spellStart"/>
      <w:r w:rsidRPr="0054546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kryptoaktív</w:t>
      </w:r>
      <w:proofErr w:type="spellEnd"/>
      <w:r w:rsidRPr="0054546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ktorý je 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subjektom</w:t>
      </w:r>
      <w:r w:rsidR="004E2D37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, a to obsah, dátum a</w:t>
      </w:r>
      <w:r w:rsidR="006B4ED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 spôsob </w:t>
      </w:r>
      <w:r w:rsidR="004E2D37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potvrdeni</w:t>
      </w:r>
      <w:r w:rsidR="006B4ED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a</w:t>
      </w:r>
      <w:r w:rsidR="004E2D37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čestného vyhlásenia.</w:t>
      </w:r>
      <w:r w:rsidR="004E2D37" w:rsidRPr="004E2D37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Ďalej sa stanovujú náležitosti če</w:t>
      </w:r>
      <w:r w:rsidR="004E2D37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s</w:t>
      </w:r>
      <w:r w:rsidR="004E2D37" w:rsidRPr="004E2D37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tného vyhlásenia pre ovládajúce osoby subjektu, ktorý je iný než aktívny subjekt alebo vylúčená osoba.</w:t>
      </w:r>
    </w:p>
    <w:p w14:paraId="096C897A" w14:textId="77777777" w:rsidR="0054546C" w:rsidRPr="004E2D37" w:rsidRDefault="0054546C" w:rsidP="007534B7">
      <w:pPr>
        <w:spacing w:after="0" w:line="252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14:paraId="74B1309F" w14:textId="77777777" w:rsidR="00A51E51" w:rsidRPr="00CF0E64" w:rsidRDefault="00A51E51" w:rsidP="00A51E51">
      <w:pPr>
        <w:spacing w:after="0" w:line="252" w:lineRule="auto"/>
        <w:jc w:val="both"/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  <w:lang w:eastAsia="ar-SA"/>
        </w:rPr>
      </w:pPr>
      <w:r w:rsidRPr="00CF0E64"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  <w:lang w:eastAsia="ar-SA"/>
        </w:rPr>
        <w:t xml:space="preserve">K bodu </w:t>
      </w:r>
      <w:r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  <w:lang w:eastAsia="ar-SA"/>
        </w:rPr>
        <w:t>8</w:t>
      </w:r>
      <w:r w:rsidRPr="00CF0E64"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  <w:lang w:eastAsia="ar-SA"/>
        </w:rPr>
        <w:t xml:space="preserve"> - § </w:t>
      </w:r>
      <w:r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  <w:lang w:eastAsia="ar-SA"/>
        </w:rPr>
        <w:t>20a</w:t>
      </w:r>
    </w:p>
    <w:p w14:paraId="596B36E4" w14:textId="4A121DFC" w:rsidR="003F377F" w:rsidRPr="003F377F" w:rsidRDefault="00A51E51" w:rsidP="003F377F">
      <w:pPr>
        <w:spacing w:after="0" w:line="252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Obsahuje prechodné ustanovenia v súvislosti rozšírením rozsahu automatickej výmeny o finančných účtoch o elektronické peniaze a digitálne meny centrálnych bánk v zmysle dodatku CRS</w:t>
      </w:r>
      <w:r w:rsidR="003F377F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a doplnením definície existujúceho finančného účtu v § 5 ods. 4 písm. a) zákona č. 359/2015 Z. z. s účinnosťou od 1. januára 2026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</w:t>
      </w:r>
      <w:r w:rsidR="003F377F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V záujme poskytnutia právnej istoty pre oznamujúce finančné inštitúcie sa upravujú lehoty týkajúce sa špecificky tých existujúcich finančných účtov, ktoré </w:t>
      </w:r>
      <w:r w:rsidR="003F377F" w:rsidRPr="003F377F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predstavuj</w:t>
      </w:r>
      <w:r w:rsidR="003F377F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ú</w:t>
      </w:r>
      <w:r w:rsidR="003F377F" w:rsidRPr="003F377F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elektronické peniaze v prospech klienta, alebo účt</w:t>
      </w:r>
      <w:r w:rsidR="003F377F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y</w:t>
      </w:r>
      <w:r w:rsidR="003F377F" w:rsidRPr="003F377F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, na ktor</w:t>
      </w:r>
      <w:r w:rsidR="003F377F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ých</w:t>
      </w:r>
      <w:r w:rsidR="003F377F" w:rsidRPr="003F377F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je v prospech klienta držaná jedna alebo viac digitálnych mien centrálnej banky k 31. decembru 2025</w:t>
      </w:r>
      <w:r w:rsidR="003F377F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</w:t>
      </w:r>
    </w:p>
    <w:p w14:paraId="0DF2DFDD" w14:textId="5E18316D" w:rsidR="003F377F" w:rsidRDefault="002125F1" w:rsidP="00A51E51">
      <w:pPr>
        <w:spacing w:after="0" w:line="252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Aplikovaním všeobecných pravidiel CRS uvedených v časti III (D) a (E) sa stanovuje lehota pre takéto existujúce finančné účty fyzických osôb s vysokou hodnotou na uplatnenie postupov preverovania do 31. decembra 2026, pre existujúce účty fyzických osôb s nízkou hodnotu do 31. decembra 2027 a pre existujúce finančné účty subjektov do 31. decembra 2027. </w:t>
      </w:r>
    </w:p>
    <w:p w14:paraId="2A8DB948" w14:textId="77777777" w:rsidR="00A51E51" w:rsidRPr="00CF0E64" w:rsidRDefault="00A51E51" w:rsidP="00A51E51">
      <w:pPr>
        <w:spacing w:after="0" w:line="252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14:paraId="1A09BCC0" w14:textId="3EDA5D4B" w:rsidR="00A51E51" w:rsidRPr="00CF0E64" w:rsidRDefault="00A51E51" w:rsidP="00A51E51">
      <w:pPr>
        <w:spacing w:after="0" w:line="252" w:lineRule="auto"/>
        <w:jc w:val="both"/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</w:pPr>
      <w:r w:rsidRPr="00CF0E64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K bodu </w:t>
      </w:r>
      <w:r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9</w:t>
      </w:r>
      <w:r w:rsidRPr="00CF0E64"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ar-SA"/>
        </w:rPr>
        <w:t>- Príloha</w:t>
      </w:r>
    </w:p>
    <w:p w14:paraId="029AD112" w14:textId="77777777" w:rsidR="00A51E51" w:rsidRDefault="00A51E51" w:rsidP="00A51E51">
      <w:pPr>
        <w:spacing w:after="0" w:line="252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Príloha k vyhláške sa dopĺňa o smernicu (EÚ) 2023/2226. </w:t>
      </w:r>
    </w:p>
    <w:p w14:paraId="0593D8B1" w14:textId="77777777" w:rsidR="000D0448" w:rsidRDefault="000D0448" w:rsidP="007B1B83">
      <w:pPr>
        <w:spacing w:after="0" w:line="252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14:paraId="7868EB72" w14:textId="56AB18EB" w:rsidR="00B73DE6" w:rsidRPr="00CF0E64" w:rsidRDefault="00B73DE6" w:rsidP="00B73DE6">
      <w:pPr>
        <w:spacing w:after="0" w:line="252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CF0E64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K Čl. I</w:t>
      </w: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I</w:t>
      </w:r>
    </w:p>
    <w:p w14:paraId="6C1D7178" w14:textId="77777777" w:rsidR="00B73DE6" w:rsidRDefault="00B73DE6" w:rsidP="00B73DE6">
      <w:pPr>
        <w:spacing w:after="120" w:line="252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F0E6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Ustanovuje sa účinnosť zákona.</w:t>
      </w:r>
    </w:p>
    <w:p w14:paraId="445D20D9" w14:textId="77777777" w:rsidR="007B1B83" w:rsidRPr="00CF0E64" w:rsidRDefault="007B1B83" w:rsidP="007B1B83">
      <w:pPr>
        <w:spacing w:after="0" w:line="252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14:paraId="67310D84" w14:textId="77777777" w:rsidR="007B1B83" w:rsidRDefault="007B1B83" w:rsidP="007B1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43F614" w14:textId="77777777" w:rsidR="00F51971" w:rsidRDefault="00F51971" w:rsidP="001E2C90">
      <w:pPr>
        <w:spacing w:after="0" w:line="240" w:lineRule="auto"/>
        <w:jc w:val="both"/>
      </w:pPr>
    </w:p>
    <w:sectPr w:rsidR="00F51971" w:rsidSect="007B1B83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ADFF0" w14:textId="77777777" w:rsidR="00EE021B" w:rsidRDefault="00EE021B">
      <w:pPr>
        <w:spacing w:after="0" w:line="240" w:lineRule="auto"/>
      </w:pPr>
      <w:r>
        <w:separator/>
      </w:r>
    </w:p>
  </w:endnote>
  <w:endnote w:type="continuationSeparator" w:id="0">
    <w:p w14:paraId="704C77A0" w14:textId="77777777" w:rsidR="00EE021B" w:rsidRDefault="00EE0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F8718" w14:textId="77777777" w:rsidR="00047065" w:rsidRDefault="0004706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38AEA33F" w14:textId="77777777" w:rsidR="00047065" w:rsidRDefault="0004706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968339"/>
      <w:docPartObj>
        <w:docPartGallery w:val="Page Numbers (Bottom of Page)"/>
        <w:docPartUnique/>
      </w:docPartObj>
    </w:sdtPr>
    <w:sdtEndPr/>
    <w:sdtContent>
      <w:p w14:paraId="4E9883E5" w14:textId="77777777" w:rsidR="00047065" w:rsidRDefault="0004706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39</w:t>
        </w:r>
        <w:r>
          <w:fldChar w:fldCharType="end"/>
        </w:r>
      </w:p>
    </w:sdtContent>
  </w:sdt>
  <w:p w14:paraId="4C08D12A" w14:textId="77777777" w:rsidR="00047065" w:rsidRDefault="00047065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5DFEA" w14:textId="77777777" w:rsidR="00047065" w:rsidRDefault="0004706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3A1C0141" w14:textId="77777777" w:rsidR="00047065" w:rsidRDefault="000470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7CD3E" w14:textId="77777777" w:rsidR="00EE021B" w:rsidRDefault="00EE021B">
      <w:pPr>
        <w:spacing w:after="0" w:line="240" w:lineRule="auto"/>
      </w:pPr>
      <w:r>
        <w:separator/>
      </w:r>
    </w:p>
  </w:footnote>
  <w:footnote w:type="continuationSeparator" w:id="0">
    <w:p w14:paraId="1E368DC6" w14:textId="77777777" w:rsidR="00EE021B" w:rsidRDefault="00EE0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3AF01" w14:textId="77777777" w:rsidR="00047065" w:rsidRDefault="00047065" w:rsidP="00D9078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6B4D7E5F" w14:textId="77777777" w:rsidR="00047065" w:rsidRPr="00EB59C8" w:rsidRDefault="00047065" w:rsidP="00D90781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C5B11" w14:textId="77777777" w:rsidR="00047065" w:rsidRPr="000A15AE" w:rsidRDefault="00047065" w:rsidP="00D9078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6365E"/>
    <w:multiLevelType w:val="hybridMultilevel"/>
    <w:tmpl w:val="FE164AD8"/>
    <w:lvl w:ilvl="0" w:tplc="8938B9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64377"/>
    <w:multiLevelType w:val="hybridMultilevel"/>
    <w:tmpl w:val="8EEC6494"/>
    <w:lvl w:ilvl="0" w:tplc="274CFF52">
      <w:start w:val="18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85B73"/>
    <w:multiLevelType w:val="hybridMultilevel"/>
    <w:tmpl w:val="1AFEC0D6"/>
    <w:lvl w:ilvl="0" w:tplc="F1226A0E">
      <w:start w:val="1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54439892">
    <w:abstractNumId w:val="1"/>
  </w:num>
  <w:num w:numId="2" w16cid:durableId="1825118014">
    <w:abstractNumId w:val="0"/>
  </w:num>
  <w:num w:numId="3" w16cid:durableId="803235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83"/>
    <w:rsid w:val="000235C7"/>
    <w:rsid w:val="00025D41"/>
    <w:rsid w:val="00030295"/>
    <w:rsid w:val="00033B2A"/>
    <w:rsid w:val="00034EA0"/>
    <w:rsid w:val="00047065"/>
    <w:rsid w:val="00067E4C"/>
    <w:rsid w:val="00077C29"/>
    <w:rsid w:val="000A0852"/>
    <w:rsid w:val="000A2325"/>
    <w:rsid w:val="000C54CE"/>
    <w:rsid w:val="000D0448"/>
    <w:rsid w:val="000F1AD5"/>
    <w:rsid w:val="00107637"/>
    <w:rsid w:val="00110D2E"/>
    <w:rsid w:val="00111583"/>
    <w:rsid w:val="00117758"/>
    <w:rsid w:val="00185459"/>
    <w:rsid w:val="001B1D0E"/>
    <w:rsid w:val="001B1F39"/>
    <w:rsid w:val="001D5FCD"/>
    <w:rsid w:val="001E2C90"/>
    <w:rsid w:val="00207D28"/>
    <w:rsid w:val="002125F1"/>
    <w:rsid w:val="00226675"/>
    <w:rsid w:val="00231B47"/>
    <w:rsid w:val="0025339B"/>
    <w:rsid w:val="002800DD"/>
    <w:rsid w:val="00302BCD"/>
    <w:rsid w:val="00305718"/>
    <w:rsid w:val="003104D5"/>
    <w:rsid w:val="003516E1"/>
    <w:rsid w:val="003726F8"/>
    <w:rsid w:val="003F377F"/>
    <w:rsid w:val="00406836"/>
    <w:rsid w:val="00440577"/>
    <w:rsid w:val="004633D0"/>
    <w:rsid w:val="00471DFE"/>
    <w:rsid w:val="0047594A"/>
    <w:rsid w:val="00485D0D"/>
    <w:rsid w:val="00493DC3"/>
    <w:rsid w:val="004A016B"/>
    <w:rsid w:val="004A6F6F"/>
    <w:rsid w:val="004E28D9"/>
    <w:rsid w:val="004E2D37"/>
    <w:rsid w:val="004F0A11"/>
    <w:rsid w:val="0054286B"/>
    <w:rsid w:val="0054546C"/>
    <w:rsid w:val="00566149"/>
    <w:rsid w:val="0059775E"/>
    <w:rsid w:val="005A4FDA"/>
    <w:rsid w:val="005D6711"/>
    <w:rsid w:val="005D72D4"/>
    <w:rsid w:val="005E1362"/>
    <w:rsid w:val="005E4F95"/>
    <w:rsid w:val="006050DB"/>
    <w:rsid w:val="006320E3"/>
    <w:rsid w:val="0065112B"/>
    <w:rsid w:val="006854E9"/>
    <w:rsid w:val="006B4EDD"/>
    <w:rsid w:val="006D7566"/>
    <w:rsid w:val="00726F0B"/>
    <w:rsid w:val="007534B7"/>
    <w:rsid w:val="007B1B83"/>
    <w:rsid w:val="007B4A8E"/>
    <w:rsid w:val="007F0808"/>
    <w:rsid w:val="007F6D26"/>
    <w:rsid w:val="007F6E78"/>
    <w:rsid w:val="008220AB"/>
    <w:rsid w:val="00831854"/>
    <w:rsid w:val="008545B3"/>
    <w:rsid w:val="008B59BE"/>
    <w:rsid w:val="00965D5E"/>
    <w:rsid w:val="00967265"/>
    <w:rsid w:val="009764B6"/>
    <w:rsid w:val="00A51E51"/>
    <w:rsid w:val="00A60652"/>
    <w:rsid w:val="00A86A1B"/>
    <w:rsid w:val="00AE4D90"/>
    <w:rsid w:val="00B043BD"/>
    <w:rsid w:val="00B0584F"/>
    <w:rsid w:val="00B11EA7"/>
    <w:rsid w:val="00B318B5"/>
    <w:rsid w:val="00B73DE6"/>
    <w:rsid w:val="00B83569"/>
    <w:rsid w:val="00B84D66"/>
    <w:rsid w:val="00B86972"/>
    <w:rsid w:val="00BA6F6E"/>
    <w:rsid w:val="00BC2878"/>
    <w:rsid w:val="00BC6FBF"/>
    <w:rsid w:val="00BD699B"/>
    <w:rsid w:val="00BE4FC7"/>
    <w:rsid w:val="00C12C9A"/>
    <w:rsid w:val="00C35AC3"/>
    <w:rsid w:val="00C463F1"/>
    <w:rsid w:val="00C70A18"/>
    <w:rsid w:val="00D052CF"/>
    <w:rsid w:val="00D251BF"/>
    <w:rsid w:val="00D765A7"/>
    <w:rsid w:val="00DB2A50"/>
    <w:rsid w:val="00DC5792"/>
    <w:rsid w:val="00E12875"/>
    <w:rsid w:val="00E20616"/>
    <w:rsid w:val="00E44CA3"/>
    <w:rsid w:val="00E705DE"/>
    <w:rsid w:val="00E72508"/>
    <w:rsid w:val="00EA3051"/>
    <w:rsid w:val="00EA3D4B"/>
    <w:rsid w:val="00EA69E3"/>
    <w:rsid w:val="00ED6180"/>
    <w:rsid w:val="00EE021B"/>
    <w:rsid w:val="00EE27F3"/>
    <w:rsid w:val="00F1406D"/>
    <w:rsid w:val="00F51971"/>
    <w:rsid w:val="00FC7A5E"/>
    <w:rsid w:val="00FD13E3"/>
    <w:rsid w:val="00FE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802B"/>
  <w15:chartTrackingRefBased/>
  <w15:docId w15:val="{1BAAB197-5659-4EA2-BE32-88B2A461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B1B83"/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1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B1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B1B8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B1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B1B8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B1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B1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B1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B1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B1B8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B1B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B1B8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B1B83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B1B83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B1B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B1B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B1B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B1B8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B1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B1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B1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B1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B1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B1B8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B1B8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B1B83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B1B8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B1B83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B1B83"/>
    <w:rPr>
      <w:b/>
      <w:bCs/>
      <w:smallCaps/>
      <w:color w:val="2E74B5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7B1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1B83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7B1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1B83"/>
    <w:rPr>
      <w:rFonts w:ascii="Calibri" w:eastAsia="Calibri" w:hAnsi="Calibri" w:cs="Times New Roman"/>
      <w:kern w:val="0"/>
      <w14:ligatures w14:val="none"/>
    </w:rPr>
  </w:style>
  <w:style w:type="character" w:styleId="slostrany">
    <w:name w:val="page number"/>
    <w:basedOn w:val="Predvolenpsmoodseku"/>
    <w:uiPriority w:val="99"/>
    <w:rsid w:val="007B1B83"/>
    <w:rPr>
      <w:rFonts w:cs="Times New Roman"/>
    </w:rPr>
  </w:style>
  <w:style w:type="paragraph" w:styleId="Bezriadkovania">
    <w:name w:val="No Spacing"/>
    <w:uiPriority w:val="1"/>
    <w:qFormat/>
    <w:rsid w:val="007B1B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Revzia">
    <w:name w:val="Revision"/>
    <w:hidden/>
    <w:uiPriority w:val="99"/>
    <w:semiHidden/>
    <w:rsid w:val="00BC287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Slovenskej republiky</Company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 Miroslava</dc:creator>
  <cp:keywords/>
  <dc:description/>
  <cp:lastModifiedBy>Metodika@skdp.sk</cp:lastModifiedBy>
  <cp:revision>2</cp:revision>
  <dcterms:created xsi:type="dcterms:W3CDTF">2025-08-22T09:58:00Z</dcterms:created>
  <dcterms:modified xsi:type="dcterms:W3CDTF">2025-08-22T09:58:00Z</dcterms:modified>
</cp:coreProperties>
</file>