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5AD4F" w14:textId="7C2B1A56" w:rsidR="0072039F" w:rsidRPr="001945CF" w:rsidRDefault="0072039F" w:rsidP="0072039F">
      <w:pPr>
        <w:jc w:val="center"/>
        <w:rPr>
          <w:rFonts w:ascii="Times New Roman" w:hAnsi="Times New Roman"/>
          <w:b/>
          <w:caps/>
          <w:sz w:val="24"/>
          <w:szCs w:val="24"/>
        </w:rPr>
      </w:pPr>
      <w:r w:rsidRPr="001945CF">
        <w:rPr>
          <w:rFonts w:ascii="Times New Roman" w:hAnsi="Times New Roman"/>
          <w:b/>
          <w:caps/>
          <w:sz w:val="24"/>
          <w:szCs w:val="24"/>
        </w:rPr>
        <w:t>Dôvodová správa</w:t>
      </w:r>
    </w:p>
    <w:p w14:paraId="5E16BBE3" w14:textId="77777777" w:rsidR="0072039F" w:rsidRPr="0072039F" w:rsidRDefault="0072039F" w:rsidP="0072039F">
      <w:pPr>
        <w:spacing w:after="0" w:line="240" w:lineRule="auto"/>
        <w:rPr>
          <w:rFonts w:ascii="Times New Roman" w:hAnsi="Times New Roman"/>
          <w:color w:val="000000" w:themeColor="text1"/>
          <w:sz w:val="24"/>
          <w:szCs w:val="24"/>
        </w:rPr>
      </w:pPr>
    </w:p>
    <w:p w14:paraId="2932EDF9" w14:textId="2F77E95B" w:rsidR="0072039F" w:rsidRPr="0072039F" w:rsidRDefault="001945CF" w:rsidP="001945CF">
      <w:pPr>
        <w:pStyle w:val="Odsekzoznamu"/>
        <w:spacing w:after="0" w:line="240" w:lineRule="auto"/>
        <w:ind w:left="0"/>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A. </w:t>
      </w:r>
      <w:r w:rsidR="0072039F" w:rsidRPr="0072039F">
        <w:rPr>
          <w:rFonts w:ascii="Times New Roman" w:hAnsi="Times New Roman"/>
          <w:b/>
          <w:color w:val="000000" w:themeColor="text1"/>
          <w:sz w:val="24"/>
          <w:szCs w:val="24"/>
        </w:rPr>
        <w:t>Všeobecná časť</w:t>
      </w:r>
    </w:p>
    <w:p w14:paraId="21E042A0" w14:textId="77777777" w:rsidR="0072039F" w:rsidRPr="0072039F" w:rsidRDefault="0072039F" w:rsidP="0072039F">
      <w:pPr>
        <w:spacing w:after="0" w:line="240" w:lineRule="auto"/>
        <w:ind w:left="284"/>
        <w:jc w:val="both"/>
        <w:rPr>
          <w:rFonts w:ascii="Times New Roman" w:hAnsi="Times New Roman"/>
          <w:color w:val="000000" w:themeColor="text1"/>
          <w:sz w:val="24"/>
          <w:szCs w:val="24"/>
        </w:rPr>
      </w:pPr>
    </w:p>
    <w:p w14:paraId="03282B0B" w14:textId="6376F0C1" w:rsidR="006C29B5" w:rsidRPr="00156869" w:rsidRDefault="006C29B5" w:rsidP="006C29B5">
      <w:pPr>
        <w:spacing w:after="0" w:line="240" w:lineRule="auto"/>
        <w:jc w:val="both"/>
        <w:rPr>
          <w:rFonts w:ascii="Times New Roman" w:hAnsi="Times New Roman"/>
          <w:strike/>
          <w:sz w:val="24"/>
          <w:szCs w:val="24"/>
        </w:rPr>
      </w:pPr>
      <w:r w:rsidRPr="00156869">
        <w:rPr>
          <w:rFonts w:ascii="Times New Roman" w:hAnsi="Times New Roman"/>
          <w:sz w:val="24"/>
          <w:szCs w:val="24"/>
        </w:rPr>
        <w:t>Návrh zákona, ktorým sa mení a dopĺňa zákon Slovenskej národnej rady č. 71/1992 Zb. o súdnych poplatkoch a poplatku za výpis z registra trestov v znení neskorších predpisov a ktorým sa men</w:t>
      </w:r>
      <w:r w:rsidR="005A5F05">
        <w:rPr>
          <w:rFonts w:ascii="Times New Roman" w:hAnsi="Times New Roman"/>
          <w:sz w:val="24"/>
          <w:szCs w:val="24"/>
        </w:rPr>
        <w:t>ia</w:t>
      </w:r>
      <w:r w:rsidRPr="00156869">
        <w:rPr>
          <w:rFonts w:ascii="Times New Roman" w:hAnsi="Times New Roman"/>
          <w:sz w:val="24"/>
          <w:szCs w:val="24"/>
        </w:rPr>
        <w:t xml:space="preserve"> a dopĺňa</w:t>
      </w:r>
      <w:r w:rsidR="005A5F05">
        <w:rPr>
          <w:rFonts w:ascii="Times New Roman" w:hAnsi="Times New Roman"/>
          <w:sz w:val="24"/>
          <w:szCs w:val="24"/>
        </w:rPr>
        <w:t>jú</w:t>
      </w:r>
      <w:r w:rsidRPr="00156869">
        <w:rPr>
          <w:rFonts w:ascii="Times New Roman" w:hAnsi="Times New Roman"/>
          <w:sz w:val="24"/>
          <w:szCs w:val="24"/>
        </w:rPr>
        <w:t xml:space="preserve"> </w:t>
      </w:r>
      <w:r w:rsidR="005A5F05">
        <w:rPr>
          <w:rFonts w:ascii="Times New Roman" w:hAnsi="Times New Roman"/>
          <w:sz w:val="24"/>
          <w:szCs w:val="24"/>
        </w:rPr>
        <w:t xml:space="preserve">niektoré </w:t>
      </w:r>
      <w:r w:rsidRPr="00156869">
        <w:rPr>
          <w:rFonts w:ascii="Times New Roman" w:hAnsi="Times New Roman"/>
          <w:sz w:val="24"/>
          <w:szCs w:val="24"/>
        </w:rPr>
        <w:t>zákon</w:t>
      </w:r>
      <w:r w:rsidR="005A5F05">
        <w:rPr>
          <w:rFonts w:ascii="Times New Roman" w:hAnsi="Times New Roman"/>
          <w:sz w:val="24"/>
          <w:szCs w:val="24"/>
        </w:rPr>
        <w:t>y</w:t>
      </w:r>
      <w:r w:rsidRPr="00156869">
        <w:rPr>
          <w:rFonts w:ascii="Times New Roman" w:hAnsi="Times New Roman"/>
          <w:sz w:val="24"/>
          <w:szCs w:val="24"/>
        </w:rPr>
        <w:t xml:space="preserve"> sa predkladá ako iniciatívny materiál.</w:t>
      </w:r>
    </w:p>
    <w:p w14:paraId="3707FC5E" w14:textId="77777777" w:rsidR="006C29B5" w:rsidRPr="00156869" w:rsidRDefault="006C29B5" w:rsidP="006C29B5">
      <w:pPr>
        <w:spacing w:after="0" w:line="240" w:lineRule="auto"/>
        <w:jc w:val="both"/>
        <w:rPr>
          <w:rFonts w:ascii="Times New Roman" w:hAnsi="Times New Roman"/>
          <w:sz w:val="24"/>
          <w:szCs w:val="24"/>
        </w:rPr>
      </w:pPr>
    </w:p>
    <w:p w14:paraId="486984E8" w14:textId="56B02F10" w:rsidR="006C29B5" w:rsidRPr="00156869" w:rsidRDefault="006C29B5" w:rsidP="006C29B5">
      <w:pPr>
        <w:spacing w:after="0" w:line="240" w:lineRule="auto"/>
        <w:jc w:val="both"/>
        <w:rPr>
          <w:rFonts w:ascii="Times New Roman" w:hAnsi="Times New Roman"/>
          <w:sz w:val="24"/>
          <w:szCs w:val="24"/>
        </w:rPr>
      </w:pPr>
      <w:r w:rsidRPr="00156869">
        <w:rPr>
          <w:rFonts w:ascii="Times New Roman" w:hAnsi="Times New Roman"/>
          <w:sz w:val="24"/>
          <w:szCs w:val="24"/>
        </w:rPr>
        <w:t xml:space="preserve">V súčasnosti je úhrada súdnych poplatkov a správnych poplatkov zabezpečená prostredníctvom technického vybavenia prevádzkovateľa systému, ktorú podľa citovaných právnych predpisov vykonáva právnická osoba v 100 % vlastníctve štátu, ktorá v minulosti zabezpečovala predaj a distribúciu kolkových známok (túto definíciu spĺňa Slovenská pošta, a. s). Zámerom Ministerstva financií Slovenskej republiky je </w:t>
      </w:r>
      <w:r w:rsidR="006D5C60">
        <w:rPr>
          <w:rFonts w:ascii="Times New Roman" w:hAnsi="Times New Roman"/>
          <w:sz w:val="24"/>
          <w:szCs w:val="24"/>
        </w:rPr>
        <w:t>rozšírenie centrálnej evidencie poplatkov aj do pôsobnosti Štátnej pokladnice prostredníctvom jej informačného systému</w:t>
      </w:r>
      <w:r w:rsidRPr="00156869">
        <w:rPr>
          <w:rFonts w:ascii="Times New Roman" w:hAnsi="Times New Roman"/>
          <w:sz w:val="24"/>
          <w:szCs w:val="24"/>
        </w:rPr>
        <w:t xml:space="preserve">. </w:t>
      </w:r>
    </w:p>
    <w:p w14:paraId="131C9233" w14:textId="77777777" w:rsidR="006C29B5" w:rsidRPr="00156869" w:rsidRDefault="006C29B5" w:rsidP="006C29B5">
      <w:pPr>
        <w:spacing w:after="0" w:line="240" w:lineRule="auto"/>
        <w:jc w:val="both"/>
        <w:rPr>
          <w:rFonts w:ascii="Times New Roman" w:hAnsi="Times New Roman"/>
          <w:sz w:val="24"/>
          <w:szCs w:val="24"/>
        </w:rPr>
      </w:pPr>
    </w:p>
    <w:p w14:paraId="4A2160CE" w14:textId="25987A84" w:rsidR="006C29B5" w:rsidRDefault="006C29B5" w:rsidP="006C29B5">
      <w:pPr>
        <w:spacing w:after="0" w:line="240" w:lineRule="auto"/>
        <w:jc w:val="both"/>
        <w:rPr>
          <w:rFonts w:ascii="Times New Roman" w:hAnsi="Times New Roman"/>
          <w:sz w:val="24"/>
          <w:szCs w:val="24"/>
        </w:rPr>
      </w:pPr>
      <w:r w:rsidRPr="00156869">
        <w:rPr>
          <w:rFonts w:ascii="Times New Roman" w:hAnsi="Times New Roman"/>
          <w:sz w:val="24"/>
          <w:szCs w:val="24"/>
        </w:rPr>
        <w:t>Cieľom návrhu zákona je</w:t>
      </w:r>
      <w:r>
        <w:rPr>
          <w:rFonts w:ascii="Times New Roman" w:hAnsi="Times New Roman"/>
          <w:sz w:val="24"/>
          <w:szCs w:val="24"/>
        </w:rPr>
        <w:t xml:space="preserve"> </w:t>
      </w:r>
      <w:r w:rsidRPr="00156869">
        <w:rPr>
          <w:rFonts w:ascii="Times New Roman" w:hAnsi="Times New Roman"/>
          <w:sz w:val="24"/>
          <w:szCs w:val="24"/>
        </w:rPr>
        <w:t>za</w:t>
      </w:r>
      <w:r w:rsidR="006D5C60">
        <w:rPr>
          <w:rFonts w:ascii="Times New Roman" w:hAnsi="Times New Roman"/>
          <w:sz w:val="24"/>
          <w:szCs w:val="24"/>
        </w:rPr>
        <w:t xml:space="preserve">bezpečenie možnosti </w:t>
      </w:r>
      <w:r w:rsidRPr="00156869">
        <w:rPr>
          <w:rFonts w:ascii="Times New Roman" w:hAnsi="Times New Roman"/>
          <w:sz w:val="24"/>
          <w:szCs w:val="24"/>
        </w:rPr>
        <w:t xml:space="preserve">úhrady </w:t>
      </w:r>
      <w:r>
        <w:rPr>
          <w:rFonts w:ascii="Times New Roman" w:hAnsi="Times New Roman"/>
          <w:sz w:val="24"/>
          <w:szCs w:val="24"/>
        </w:rPr>
        <w:t>súdnych poplatkov a </w:t>
      </w:r>
      <w:r w:rsidRPr="00156869">
        <w:rPr>
          <w:rFonts w:ascii="Times New Roman" w:hAnsi="Times New Roman"/>
          <w:sz w:val="24"/>
          <w:szCs w:val="24"/>
        </w:rPr>
        <w:t>správnych</w:t>
      </w:r>
      <w:r>
        <w:rPr>
          <w:rFonts w:ascii="Times New Roman" w:hAnsi="Times New Roman"/>
          <w:sz w:val="24"/>
          <w:szCs w:val="24"/>
        </w:rPr>
        <w:t xml:space="preserve"> </w:t>
      </w:r>
      <w:r w:rsidRPr="00156869">
        <w:rPr>
          <w:rFonts w:ascii="Times New Roman" w:hAnsi="Times New Roman"/>
          <w:sz w:val="24"/>
          <w:szCs w:val="24"/>
        </w:rPr>
        <w:t>poplatkov</w:t>
      </w:r>
      <w:r w:rsidR="006D5C60">
        <w:rPr>
          <w:rFonts w:ascii="Times New Roman" w:hAnsi="Times New Roman"/>
          <w:sz w:val="24"/>
          <w:szCs w:val="24"/>
        </w:rPr>
        <w:t>,</w:t>
      </w:r>
      <w:r>
        <w:rPr>
          <w:rFonts w:ascii="Times New Roman" w:hAnsi="Times New Roman"/>
          <w:sz w:val="24"/>
          <w:szCs w:val="24"/>
        </w:rPr>
        <w:t xml:space="preserve"> </w:t>
      </w:r>
      <w:r w:rsidR="006D5C60">
        <w:rPr>
          <w:rFonts w:ascii="Times New Roman" w:hAnsi="Times New Roman"/>
          <w:sz w:val="24"/>
          <w:szCs w:val="24"/>
        </w:rPr>
        <w:t xml:space="preserve">buď </w:t>
      </w:r>
      <w:r w:rsidRPr="00156869">
        <w:rPr>
          <w:rFonts w:ascii="Times New Roman" w:hAnsi="Times New Roman"/>
          <w:sz w:val="24"/>
          <w:szCs w:val="24"/>
        </w:rPr>
        <w:t>prostredníctvom technického vybavenia Štátnej pokladnice</w:t>
      </w:r>
      <w:r w:rsidR="006D5C60">
        <w:rPr>
          <w:rFonts w:ascii="Times New Roman" w:hAnsi="Times New Roman"/>
          <w:sz w:val="24"/>
          <w:szCs w:val="24"/>
        </w:rPr>
        <w:t xml:space="preserve">, alebo </w:t>
      </w:r>
      <w:r w:rsidRPr="00156869">
        <w:rPr>
          <w:rFonts w:ascii="Times New Roman" w:hAnsi="Times New Roman"/>
          <w:sz w:val="24"/>
          <w:szCs w:val="24"/>
        </w:rPr>
        <w:t>prostredníctvom prevádzkovateľa systému (Slovenská pošta, a. s.)</w:t>
      </w:r>
      <w:r>
        <w:rPr>
          <w:rFonts w:ascii="Times New Roman" w:hAnsi="Times New Roman"/>
          <w:sz w:val="24"/>
          <w:szCs w:val="24"/>
        </w:rPr>
        <w:t xml:space="preserve">. Súčasťou legislatívnej zmeny je </w:t>
      </w:r>
      <w:r w:rsidRPr="00156869">
        <w:rPr>
          <w:rFonts w:ascii="Times New Roman" w:hAnsi="Times New Roman"/>
          <w:sz w:val="24"/>
          <w:szCs w:val="24"/>
        </w:rPr>
        <w:t>úprava režimu vedenia centrálnej evidencie poplatkov Ministerstvom financií SR</w:t>
      </w:r>
      <w:r>
        <w:rPr>
          <w:rFonts w:ascii="Times New Roman" w:hAnsi="Times New Roman"/>
          <w:sz w:val="24"/>
          <w:szCs w:val="24"/>
        </w:rPr>
        <w:t xml:space="preserve"> a</w:t>
      </w:r>
      <w:r w:rsidR="00E45D13">
        <w:rPr>
          <w:rFonts w:ascii="Times New Roman" w:hAnsi="Times New Roman"/>
          <w:sz w:val="24"/>
          <w:szCs w:val="24"/>
        </w:rPr>
        <w:t> </w:t>
      </w:r>
      <w:r w:rsidRPr="00156869">
        <w:rPr>
          <w:rFonts w:ascii="Times New Roman" w:hAnsi="Times New Roman"/>
          <w:sz w:val="24"/>
          <w:szCs w:val="24"/>
        </w:rPr>
        <w:t xml:space="preserve">zrušenie režimu delenia správnych orgánov, súdov, orgánov štátnej správy súdov a prokuratúry na orgány zapojené a orgány nezapojené do centrálneho systému evidencie poplatkov (všetky dotknuté orgány budú zapojené do </w:t>
      </w:r>
      <w:r w:rsidR="00E7033B">
        <w:rPr>
          <w:rFonts w:ascii="Times New Roman" w:hAnsi="Times New Roman"/>
          <w:sz w:val="24"/>
          <w:szCs w:val="24"/>
        </w:rPr>
        <w:t xml:space="preserve">jedného alebo druhého </w:t>
      </w:r>
      <w:r w:rsidRPr="00156869">
        <w:rPr>
          <w:rFonts w:ascii="Times New Roman" w:hAnsi="Times New Roman"/>
          <w:sz w:val="24"/>
          <w:szCs w:val="24"/>
        </w:rPr>
        <w:t>centrálneho systému evidencie poplatkov, pokiaľ v zákone nie je ustanovené inak)</w:t>
      </w:r>
      <w:r>
        <w:rPr>
          <w:rFonts w:ascii="Times New Roman" w:hAnsi="Times New Roman"/>
          <w:sz w:val="24"/>
          <w:szCs w:val="24"/>
        </w:rPr>
        <w:t>.</w:t>
      </w:r>
    </w:p>
    <w:p w14:paraId="7D8B941A" w14:textId="77777777" w:rsidR="006C29B5" w:rsidRPr="00156869" w:rsidRDefault="006C29B5" w:rsidP="006C29B5">
      <w:pPr>
        <w:spacing w:after="0" w:line="240" w:lineRule="auto"/>
        <w:jc w:val="both"/>
        <w:rPr>
          <w:rFonts w:ascii="Times New Roman" w:hAnsi="Times New Roman"/>
          <w:sz w:val="24"/>
          <w:szCs w:val="24"/>
        </w:rPr>
      </w:pPr>
    </w:p>
    <w:p w14:paraId="6EBD9E68" w14:textId="2FD734AA" w:rsidR="006C29B5" w:rsidRPr="00156869" w:rsidRDefault="006C29B5" w:rsidP="006C29B5">
      <w:pPr>
        <w:pStyle w:val="Normlnywebov"/>
        <w:spacing w:before="0" w:beforeAutospacing="0" w:after="0" w:afterAutospacing="0"/>
        <w:jc w:val="both"/>
      </w:pPr>
      <w:r w:rsidRPr="00156869">
        <w:t>Tento legislatívny zámer bude po účinnosti zákona pretavený do projektovej prípravy výberu</w:t>
      </w:r>
      <w:r>
        <w:t xml:space="preserve"> súdnych</w:t>
      </w:r>
      <w:r w:rsidRPr="00156869">
        <w:t xml:space="preserve"> poplatkov a</w:t>
      </w:r>
      <w:r>
        <w:t xml:space="preserve"> správnych </w:t>
      </w:r>
      <w:r w:rsidRPr="00156869">
        <w:t xml:space="preserve">poplatkov prostredníctvom Štátnej pokladnice v rámci funkčného rozšírenia </w:t>
      </w:r>
      <w:r w:rsidR="00AA1878">
        <w:t>informačn</w:t>
      </w:r>
      <w:r w:rsidR="00682A9F">
        <w:t>ého systému pre syst</w:t>
      </w:r>
      <w:r w:rsidR="00AA1878">
        <w:t xml:space="preserve">ém Štátnej pokladnice </w:t>
      </w:r>
      <w:r w:rsidRPr="00156869">
        <w:t xml:space="preserve">s využitím technického </w:t>
      </w:r>
      <w:r w:rsidRPr="005B02C6">
        <w:t xml:space="preserve">vybavenia v súlade s alternatívou 4 štúdie realizovateľnosti eKolok na roky 2024 – 2034, ktorá je zverejnená na webovom sídle Ministerstva financií SR: </w:t>
      </w:r>
      <w:hyperlink r:id="rId7" w:history="1">
        <w:r w:rsidRPr="005B02C6">
          <w:rPr>
            <w:rStyle w:val="Hypertextovprepojenie"/>
            <w:color w:val="auto"/>
            <w:u w:val="none"/>
          </w:rPr>
          <w:t>https://www.mfsr.sk/sk/dane-cla-uctovnictvo/platobny-system-uhradu-spravnych-sudnych-poplatkov/</w:t>
        </w:r>
      </w:hyperlink>
      <w:r w:rsidRPr="005B02C6">
        <w:t xml:space="preserve">. Tento projektový zámer predpokladá in-sourcing základných činností štátu, pričom po počiatočných investíciách do náhradného riešenia výberu správnych poplatkov a súdnych poplatkov sa predpokladajú </w:t>
      </w:r>
      <w:r w:rsidRPr="00156869">
        <w:t>významné prevádzkové úspory na strane výdavkov štátu, pozitívny vplyv na konsolidáciu verejných financií a riadenie štátneho dlhu.</w:t>
      </w:r>
    </w:p>
    <w:p w14:paraId="4CFE00CE" w14:textId="7E46DCD0" w:rsidR="000D68A0" w:rsidRDefault="000D68A0" w:rsidP="000D68A0">
      <w:pPr>
        <w:spacing w:after="0" w:line="240" w:lineRule="auto"/>
        <w:jc w:val="both"/>
        <w:rPr>
          <w:rFonts w:ascii="Times New Roman" w:hAnsi="Times New Roman"/>
          <w:sz w:val="24"/>
          <w:szCs w:val="24"/>
        </w:rPr>
      </w:pPr>
    </w:p>
    <w:p w14:paraId="2466F7C7" w14:textId="77777777" w:rsidR="006C29B5" w:rsidRPr="00156869" w:rsidRDefault="006C29B5" w:rsidP="006C29B5">
      <w:pPr>
        <w:spacing w:after="0" w:line="240" w:lineRule="auto"/>
        <w:jc w:val="both"/>
        <w:rPr>
          <w:rFonts w:ascii="Times New Roman" w:hAnsi="Times New Roman"/>
          <w:sz w:val="24"/>
          <w:szCs w:val="24"/>
        </w:rPr>
      </w:pPr>
      <w:r w:rsidRPr="00D93448">
        <w:rPr>
          <w:rFonts w:ascii="Times New Roman" w:hAnsi="Times New Roman"/>
          <w:sz w:val="24"/>
          <w:szCs w:val="24"/>
        </w:rPr>
        <w:t>Súčasťou návrhu zákona je aj legislatívno-technická úprava niektorých ustanovení na základe skúsenosti z aplikačnej praxe.</w:t>
      </w:r>
    </w:p>
    <w:p w14:paraId="7F922373" w14:textId="77777777" w:rsidR="006C29B5" w:rsidRDefault="006C29B5" w:rsidP="000D68A0">
      <w:pPr>
        <w:spacing w:after="0" w:line="240" w:lineRule="auto"/>
        <w:jc w:val="both"/>
        <w:rPr>
          <w:rFonts w:ascii="Times New Roman" w:hAnsi="Times New Roman"/>
          <w:sz w:val="24"/>
          <w:szCs w:val="24"/>
        </w:rPr>
      </w:pPr>
    </w:p>
    <w:p w14:paraId="63AEB1CF" w14:textId="3A364148" w:rsidR="0045553A" w:rsidRDefault="0045553A" w:rsidP="0045553A">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Návrh zákona bol predložený na medzirezortné pripomienkové konanie v termíne od 25. marca 2025 do 14. apríla 2025, v rámci ktorého bolo vznesených 86 pripomienok, z toho 12 zásadných. Zásadné pripomienky uplatnila Generálna prokuratúra SR, Ministerstvo dopravy SR, </w:t>
      </w:r>
      <w:r w:rsidRPr="00D75826">
        <w:rPr>
          <w:rFonts w:ascii="Times New Roman" w:hAnsi="Times New Roman"/>
          <w:color w:val="000000"/>
          <w:sz w:val="24"/>
          <w:szCs w:val="24"/>
        </w:rPr>
        <w:t xml:space="preserve">Ministerstvo investícií, regionálneho rozvoja a informatizácie </w:t>
      </w:r>
      <w:r>
        <w:rPr>
          <w:rFonts w:ascii="Times New Roman" w:hAnsi="Times New Roman"/>
          <w:color w:val="000000"/>
          <w:sz w:val="24"/>
          <w:szCs w:val="24"/>
        </w:rPr>
        <w:t xml:space="preserve">SR, Ministerstvo spravodlivosti SR, Ministerstvo vnútra SR, </w:t>
      </w:r>
      <w:r w:rsidRPr="00D75826">
        <w:rPr>
          <w:rFonts w:ascii="Times New Roman" w:hAnsi="Times New Roman"/>
          <w:color w:val="000000"/>
          <w:sz w:val="24"/>
          <w:szCs w:val="24"/>
        </w:rPr>
        <w:t xml:space="preserve">Ministerstvo zahraničných vecí a európskych záležitostí </w:t>
      </w:r>
      <w:r>
        <w:rPr>
          <w:rFonts w:ascii="Times New Roman" w:hAnsi="Times New Roman"/>
          <w:color w:val="000000"/>
          <w:sz w:val="24"/>
          <w:szCs w:val="24"/>
        </w:rPr>
        <w:t xml:space="preserve">SR a Klub 500. Všetky zásadné pripomienky boli prerokované v rámci rozporových konaní, ktoré sa konali od 21. mája 2025 do 29. mája 2025. Rozpory boli odstránené a materiál sa predkladá bez rozporov. </w:t>
      </w:r>
    </w:p>
    <w:p w14:paraId="405546EF" w14:textId="77777777" w:rsidR="00BD372F" w:rsidRDefault="00BD372F" w:rsidP="0045553A">
      <w:pPr>
        <w:spacing w:after="0" w:line="240" w:lineRule="auto"/>
        <w:jc w:val="both"/>
        <w:rPr>
          <w:rFonts w:ascii="Times New Roman" w:hAnsi="Times New Roman"/>
          <w:color w:val="000000"/>
          <w:sz w:val="24"/>
          <w:szCs w:val="24"/>
        </w:rPr>
      </w:pPr>
      <w:bookmarkStart w:id="0" w:name="_Hlk205968862"/>
    </w:p>
    <w:p w14:paraId="384A2D5E" w14:textId="5360B6E5" w:rsidR="00C52802" w:rsidRDefault="0045553A" w:rsidP="0045553A">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Návrh zákona </w:t>
      </w:r>
      <w:r w:rsidR="00C52802">
        <w:rPr>
          <w:rFonts w:ascii="Times New Roman" w:hAnsi="Times New Roman"/>
          <w:color w:val="000000"/>
          <w:sz w:val="24"/>
          <w:szCs w:val="24"/>
        </w:rPr>
        <w:t>bol</w:t>
      </w:r>
      <w:r>
        <w:rPr>
          <w:rFonts w:ascii="Times New Roman" w:hAnsi="Times New Roman"/>
          <w:color w:val="000000"/>
          <w:sz w:val="24"/>
          <w:szCs w:val="24"/>
        </w:rPr>
        <w:t xml:space="preserve"> predložený na </w:t>
      </w:r>
      <w:r w:rsidR="0088736A">
        <w:rPr>
          <w:rFonts w:ascii="Times New Roman" w:hAnsi="Times New Roman"/>
          <w:color w:val="000000"/>
          <w:sz w:val="24"/>
          <w:szCs w:val="24"/>
        </w:rPr>
        <w:t>vnútrokomunitárne</w:t>
      </w:r>
      <w:r>
        <w:rPr>
          <w:rFonts w:ascii="Times New Roman" w:hAnsi="Times New Roman"/>
          <w:color w:val="000000"/>
          <w:sz w:val="24"/>
          <w:szCs w:val="24"/>
        </w:rPr>
        <w:t xml:space="preserve"> pripomienkové konanie podľa Čl. 17 ods.</w:t>
      </w:r>
      <w:r w:rsidR="00347F63">
        <w:rPr>
          <w:rFonts w:ascii="Times New Roman" w:hAnsi="Times New Roman"/>
          <w:color w:val="000000"/>
          <w:sz w:val="24"/>
          <w:szCs w:val="24"/>
        </w:rPr>
        <w:t> </w:t>
      </w:r>
      <w:r>
        <w:rPr>
          <w:rFonts w:ascii="Times New Roman" w:hAnsi="Times New Roman"/>
          <w:color w:val="000000"/>
          <w:sz w:val="24"/>
          <w:szCs w:val="24"/>
        </w:rPr>
        <w:t xml:space="preserve">2 Legislatívnych pravidiel vlády SR. </w:t>
      </w:r>
      <w:r w:rsidR="00C52802">
        <w:rPr>
          <w:rFonts w:ascii="Times New Roman" w:hAnsi="Times New Roman"/>
          <w:color w:val="000000"/>
          <w:sz w:val="24"/>
          <w:szCs w:val="24"/>
        </w:rPr>
        <w:t xml:space="preserve">Vnútrokomunitárne pripomienkové konanie </w:t>
      </w:r>
      <w:r w:rsidR="00C52802" w:rsidRPr="00C52802">
        <w:rPr>
          <w:rFonts w:ascii="Times New Roman" w:hAnsi="Times New Roman"/>
          <w:color w:val="000000"/>
          <w:sz w:val="24"/>
          <w:szCs w:val="24"/>
        </w:rPr>
        <w:t xml:space="preserve">sa konalo od 1. júla 2025 do 11. augusta 2025, v rámci ktorého Európska centrálna banka </w:t>
      </w:r>
      <w:r w:rsidR="00347F63">
        <w:rPr>
          <w:rFonts w:ascii="Times New Roman" w:hAnsi="Times New Roman"/>
          <w:color w:val="000000"/>
          <w:sz w:val="24"/>
          <w:szCs w:val="24"/>
        </w:rPr>
        <w:t xml:space="preserve">na </w:t>
      </w:r>
      <w:r w:rsidR="00347F63">
        <w:rPr>
          <w:rFonts w:ascii="Times New Roman" w:hAnsi="Times New Roman"/>
          <w:color w:val="000000"/>
          <w:sz w:val="24"/>
          <w:szCs w:val="24"/>
        </w:rPr>
        <w:lastRenderedPageBreak/>
        <w:t xml:space="preserve">základe článku 127 ods. 4 a článku 282 ods. 5 Zmluvy o fungovaní Európskej únie a na základe článku 2 ods. 1 rozhodnutia Rady 98/415/ES </w:t>
      </w:r>
      <w:r w:rsidR="00C52802" w:rsidRPr="00C52802">
        <w:rPr>
          <w:rFonts w:ascii="Times New Roman" w:hAnsi="Times New Roman"/>
          <w:color w:val="000000"/>
          <w:sz w:val="24"/>
          <w:szCs w:val="24"/>
        </w:rPr>
        <w:t>vydala svoje „Stanovisko z 11.  augusta 2025 o</w:t>
      </w:r>
      <w:r w:rsidR="00347F63">
        <w:rPr>
          <w:rFonts w:ascii="Times New Roman" w:hAnsi="Times New Roman"/>
          <w:color w:val="000000"/>
          <w:sz w:val="24"/>
          <w:szCs w:val="24"/>
        </w:rPr>
        <w:t> </w:t>
      </w:r>
      <w:r w:rsidR="00C52802" w:rsidRPr="00C52802">
        <w:rPr>
          <w:rFonts w:ascii="Times New Roman" w:hAnsi="Times New Roman"/>
          <w:color w:val="000000"/>
          <w:sz w:val="24"/>
          <w:szCs w:val="24"/>
        </w:rPr>
        <w:t>horných hraniciach pre platby súdnych a správnych poplatkov v hotovosti a obmedzeniach týkajúcich sa ich prijímania (CON/2025/21)“</w:t>
      </w:r>
      <w:r w:rsidR="00C52802">
        <w:rPr>
          <w:rFonts w:ascii="Times New Roman" w:hAnsi="Times New Roman"/>
          <w:color w:val="000000"/>
          <w:sz w:val="24"/>
          <w:szCs w:val="24"/>
        </w:rPr>
        <w:t>. Stanovisko bude uverejnené na webovom sídle EUR-lex pod číslom CON/2025/21. V rámci tohto stanoviska Európska centrálna banka uvádza:</w:t>
      </w:r>
    </w:p>
    <w:p w14:paraId="7878262F" w14:textId="77777777" w:rsidR="00C52802" w:rsidRPr="00C52802" w:rsidRDefault="00C52802" w:rsidP="00C52802">
      <w:pPr>
        <w:pStyle w:val="Odsekzoznamu"/>
        <w:numPr>
          <w:ilvl w:val="0"/>
          <w:numId w:val="4"/>
        </w:numPr>
        <w:spacing w:after="0" w:line="240" w:lineRule="auto"/>
        <w:jc w:val="both"/>
        <w:rPr>
          <w:rFonts w:ascii="Times New Roman" w:hAnsi="Times New Roman"/>
          <w:sz w:val="24"/>
          <w:szCs w:val="24"/>
        </w:rPr>
      </w:pPr>
      <w:r>
        <w:rPr>
          <w:rFonts w:ascii="Times New Roman" w:hAnsi="Times New Roman"/>
          <w:color w:val="000000"/>
          <w:sz w:val="24"/>
          <w:szCs w:val="24"/>
        </w:rPr>
        <w:t>V predkladacej správe ani v dôvodovej správe návrhu zákona sa neuvádza analýza verejného záujmu na zachovaní hranice vo výške 300 eur, ani sa nevysvetľuje prečo je táto horná hranica primeraná sledovanému verejnému záujmu.</w:t>
      </w:r>
    </w:p>
    <w:p w14:paraId="4D9A1781" w14:textId="04402BA6" w:rsidR="0045553A" w:rsidRPr="00205114" w:rsidRDefault="00C52802" w:rsidP="00C52802">
      <w:pPr>
        <w:pStyle w:val="Odsekzoznamu"/>
        <w:numPr>
          <w:ilvl w:val="0"/>
          <w:numId w:val="4"/>
        </w:numPr>
        <w:spacing w:after="0" w:line="240" w:lineRule="auto"/>
        <w:jc w:val="both"/>
        <w:rPr>
          <w:rFonts w:ascii="Times New Roman" w:hAnsi="Times New Roman"/>
          <w:sz w:val="24"/>
          <w:szCs w:val="24"/>
        </w:rPr>
      </w:pPr>
      <w:r>
        <w:rPr>
          <w:rFonts w:ascii="Times New Roman" w:hAnsi="Times New Roman"/>
          <w:color w:val="000000"/>
          <w:sz w:val="24"/>
          <w:szCs w:val="24"/>
        </w:rPr>
        <w:t>Súdny dvor Európskej únie uznal, že je vo verejnom záujme, aby peňažné dlhy voči verejným orgánom mohli byť platené spôsobom, ktorý im nespôsobí neprimerané náklady brániace poskytovanie verejných služieb pri čo najnižších nákladoch. Európska centrálna bank</w:t>
      </w:r>
      <w:r w:rsidR="00205114">
        <w:rPr>
          <w:rFonts w:ascii="Times New Roman" w:hAnsi="Times New Roman"/>
          <w:color w:val="000000"/>
          <w:sz w:val="24"/>
          <w:szCs w:val="24"/>
        </w:rPr>
        <w:t>a</w:t>
      </w:r>
      <w:r>
        <w:rPr>
          <w:rFonts w:ascii="Times New Roman" w:hAnsi="Times New Roman"/>
          <w:color w:val="000000"/>
          <w:sz w:val="24"/>
          <w:szCs w:val="24"/>
        </w:rPr>
        <w:t xml:space="preserve"> však zastáva názor, že predkladateľ nepreukázal</w:t>
      </w:r>
      <w:r w:rsidR="00271E1F">
        <w:rPr>
          <w:rFonts w:ascii="Times New Roman" w:hAnsi="Times New Roman"/>
          <w:color w:val="000000"/>
          <w:sz w:val="24"/>
          <w:szCs w:val="24"/>
        </w:rPr>
        <w:t>, že by správne a súdne  orgány mali neprimerané náklady v súvislosti s platbami nad 300 eur a stanovená hranica pre platby v hotovosti musí byť primeraná sledovan</w:t>
      </w:r>
      <w:r w:rsidR="00152C73">
        <w:rPr>
          <w:rFonts w:ascii="Times New Roman" w:hAnsi="Times New Roman"/>
          <w:color w:val="000000"/>
          <w:sz w:val="24"/>
          <w:szCs w:val="24"/>
        </w:rPr>
        <w:t>é</w:t>
      </w:r>
      <w:r w:rsidR="00271E1F">
        <w:rPr>
          <w:rFonts w:ascii="Times New Roman" w:hAnsi="Times New Roman"/>
          <w:color w:val="000000"/>
          <w:sz w:val="24"/>
          <w:szCs w:val="24"/>
        </w:rPr>
        <w:t>mu verejnému záujmu.</w:t>
      </w:r>
      <w:r w:rsidR="00205114">
        <w:rPr>
          <w:rFonts w:ascii="Times New Roman" w:hAnsi="Times New Roman"/>
          <w:color w:val="000000"/>
          <w:sz w:val="24"/>
          <w:szCs w:val="24"/>
        </w:rPr>
        <w:t xml:space="preserve"> Predkladateľ návrhu neposkytol žiadny odhad podielu súdnych poplatkov a správnych poplatkov, ktorí by nebolo možné uhradiť v hotovosti.</w:t>
      </w:r>
    </w:p>
    <w:p w14:paraId="4F6D4A72" w14:textId="77777777" w:rsidR="006A4804" w:rsidRPr="006A4804" w:rsidRDefault="00205114" w:rsidP="00C52802">
      <w:pPr>
        <w:pStyle w:val="Odsekzoznamu"/>
        <w:numPr>
          <w:ilvl w:val="0"/>
          <w:numId w:val="4"/>
        </w:numPr>
        <w:spacing w:after="0" w:line="240" w:lineRule="auto"/>
        <w:jc w:val="both"/>
        <w:rPr>
          <w:rFonts w:ascii="Times New Roman" w:hAnsi="Times New Roman"/>
          <w:sz w:val="24"/>
          <w:szCs w:val="24"/>
        </w:rPr>
      </w:pPr>
      <w:r>
        <w:rPr>
          <w:rFonts w:ascii="Times New Roman" w:hAnsi="Times New Roman"/>
          <w:color w:val="000000"/>
          <w:sz w:val="24"/>
          <w:szCs w:val="24"/>
        </w:rPr>
        <w:t xml:space="preserve">Európska centrálna banka si je vedomá existencie obmedzenia prijatia hotovosti na súdnych orgánoch a správnych orgánoch, ak na tento spôsob platby nemajú vytvorené technické podmienky. Európska centrálna banka zastáva názor, že umožnenie nevytvorenia technických podmienok na prijatie hotovostnej platby </w:t>
      </w:r>
      <w:r w:rsidR="006A4804">
        <w:rPr>
          <w:rFonts w:ascii="Times New Roman" w:hAnsi="Times New Roman"/>
          <w:color w:val="000000"/>
          <w:sz w:val="24"/>
          <w:szCs w:val="24"/>
        </w:rPr>
        <w:t>na súdnych orgánoch a správnych orgánoch bez ďalšieho usmernenia nemožno považovať za primerané obmedzenie platieb v hotovosti ako zákonnom platidle.</w:t>
      </w:r>
    </w:p>
    <w:p w14:paraId="2CD73B79" w14:textId="6F84AA27" w:rsidR="00205114" w:rsidRPr="006A4804" w:rsidRDefault="006A4804" w:rsidP="00C52802">
      <w:pPr>
        <w:pStyle w:val="Odsekzoznamu"/>
        <w:numPr>
          <w:ilvl w:val="0"/>
          <w:numId w:val="4"/>
        </w:numPr>
        <w:spacing w:after="0" w:line="240" w:lineRule="auto"/>
        <w:jc w:val="both"/>
        <w:rPr>
          <w:rFonts w:ascii="Times New Roman" w:hAnsi="Times New Roman"/>
          <w:sz w:val="24"/>
          <w:szCs w:val="24"/>
        </w:rPr>
      </w:pPr>
      <w:r>
        <w:rPr>
          <w:rFonts w:ascii="Times New Roman" w:hAnsi="Times New Roman"/>
          <w:color w:val="000000"/>
          <w:sz w:val="24"/>
          <w:szCs w:val="24"/>
        </w:rPr>
        <w:t>Európska centrálna banka uvádza, že vysvetlenie Ministerstva financií SR k úhrade súdnych poplatkov alebo správnych poplatkov v hotovosti v sume nad 300 eur do 15 000 eur môže podliehať dodatočným poplatkom, preto ich nemožno považovať za rovnocenné s platbou v minciach a bankovkách.</w:t>
      </w:r>
    </w:p>
    <w:p w14:paraId="4F809799" w14:textId="7B2D8D90" w:rsidR="006A4804" w:rsidRPr="00B20119" w:rsidRDefault="006A4804" w:rsidP="00C52802">
      <w:pPr>
        <w:pStyle w:val="Odsekzoznamu"/>
        <w:numPr>
          <w:ilvl w:val="0"/>
          <w:numId w:val="4"/>
        </w:numPr>
        <w:spacing w:after="0" w:line="240" w:lineRule="auto"/>
        <w:jc w:val="both"/>
        <w:rPr>
          <w:rFonts w:ascii="Times New Roman" w:hAnsi="Times New Roman"/>
          <w:sz w:val="24"/>
          <w:szCs w:val="24"/>
        </w:rPr>
      </w:pPr>
      <w:r>
        <w:rPr>
          <w:rFonts w:ascii="Times New Roman" w:hAnsi="Times New Roman"/>
          <w:color w:val="000000"/>
          <w:sz w:val="24"/>
          <w:szCs w:val="24"/>
        </w:rPr>
        <w:t xml:space="preserve">Európska centrálna banka preto zastáva názor, že </w:t>
      </w:r>
      <w:bookmarkStart w:id="1" w:name="_Hlk205936645"/>
      <w:r>
        <w:rPr>
          <w:rFonts w:ascii="Times New Roman" w:hAnsi="Times New Roman"/>
          <w:color w:val="000000"/>
          <w:sz w:val="24"/>
          <w:szCs w:val="24"/>
        </w:rPr>
        <w:t>predkladateľ návrh</w:t>
      </w:r>
      <w:r w:rsidR="005A001D">
        <w:rPr>
          <w:rFonts w:ascii="Times New Roman" w:hAnsi="Times New Roman"/>
          <w:color w:val="000000"/>
          <w:sz w:val="24"/>
          <w:szCs w:val="24"/>
        </w:rPr>
        <w:t>u</w:t>
      </w:r>
      <w:r>
        <w:rPr>
          <w:rFonts w:ascii="Times New Roman" w:hAnsi="Times New Roman"/>
          <w:color w:val="000000"/>
          <w:sz w:val="24"/>
          <w:szCs w:val="24"/>
        </w:rPr>
        <w:t xml:space="preserve"> </w:t>
      </w:r>
      <w:r w:rsidR="003F34EC">
        <w:rPr>
          <w:rFonts w:ascii="Times New Roman" w:hAnsi="Times New Roman"/>
          <w:color w:val="000000"/>
          <w:sz w:val="24"/>
          <w:szCs w:val="24"/>
        </w:rPr>
        <w:t xml:space="preserve">dostatočne </w:t>
      </w:r>
      <w:r>
        <w:rPr>
          <w:rFonts w:ascii="Times New Roman" w:hAnsi="Times New Roman"/>
          <w:color w:val="000000"/>
          <w:sz w:val="24"/>
          <w:szCs w:val="24"/>
        </w:rPr>
        <w:t>neposúdil primeranosť hornej hranice pre platby v hotovosti a</w:t>
      </w:r>
      <w:r w:rsidR="00C26BE2">
        <w:rPr>
          <w:rFonts w:ascii="Times New Roman" w:hAnsi="Times New Roman"/>
          <w:color w:val="000000"/>
          <w:sz w:val="24"/>
          <w:szCs w:val="24"/>
        </w:rPr>
        <w:t xml:space="preserve"> možnosť </w:t>
      </w:r>
      <w:r>
        <w:rPr>
          <w:rFonts w:ascii="Times New Roman" w:hAnsi="Times New Roman"/>
          <w:color w:val="000000"/>
          <w:sz w:val="24"/>
          <w:szCs w:val="24"/>
        </w:rPr>
        <w:t>nevytvoreni</w:t>
      </w:r>
      <w:r w:rsidR="00C26BE2">
        <w:rPr>
          <w:rFonts w:ascii="Times New Roman" w:hAnsi="Times New Roman"/>
          <w:color w:val="000000"/>
          <w:sz w:val="24"/>
          <w:szCs w:val="24"/>
        </w:rPr>
        <w:t>a</w:t>
      </w:r>
      <w:r>
        <w:rPr>
          <w:rFonts w:ascii="Times New Roman" w:hAnsi="Times New Roman"/>
          <w:color w:val="000000"/>
          <w:sz w:val="24"/>
          <w:szCs w:val="24"/>
        </w:rPr>
        <w:t xml:space="preserve"> technických podmienok na prijímanie hotovosti na </w:t>
      </w:r>
      <w:r w:rsidR="005A001D">
        <w:rPr>
          <w:rFonts w:ascii="Times New Roman" w:hAnsi="Times New Roman"/>
          <w:color w:val="000000"/>
          <w:sz w:val="24"/>
          <w:szCs w:val="24"/>
        </w:rPr>
        <w:t>súdnych orgánoch a správnych orgánoch.</w:t>
      </w:r>
      <w:r w:rsidR="00C26BE2">
        <w:rPr>
          <w:rFonts w:ascii="Times New Roman" w:hAnsi="Times New Roman"/>
          <w:color w:val="000000"/>
          <w:sz w:val="24"/>
          <w:szCs w:val="24"/>
        </w:rPr>
        <w:t xml:space="preserve"> Slovenské orgány by mali zvážiť akékoľvek obmedzenia platieb v hotovosti a mali by z</w:t>
      </w:r>
      <w:r w:rsidR="006C5410">
        <w:rPr>
          <w:rFonts w:ascii="Times New Roman" w:hAnsi="Times New Roman"/>
          <w:color w:val="000000"/>
          <w:sz w:val="24"/>
          <w:szCs w:val="24"/>
        </w:rPr>
        <w:t>o</w:t>
      </w:r>
      <w:r w:rsidR="00C26BE2">
        <w:rPr>
          <w:rFonts w:ascii="Times New Roman" w:hAnsi="Times New Roman"/>
          <w:color w:val="000000"/>
          <w:sz w:val="24"/>
          <w:szCs w:val="24"/>
        </w:rPr>
        <w:t>hľadniť kritériá stanovené Súdnym dvorom Európskej únie</w:t>
      </w:r>
      <w:r w:rsidR="006C5410">
        <w:rPr>
          <w:rFonts w:ascii="Times New Roman" w:hAnsi="Times New Roman"/>
          <w:color w:val="000000"/>
          <w:sz w:val="24"/>
          <w:szCs w:val="24"/>
        </w:rPr>
        <w:t xml:space="preserve"> tak, aby obmedzenia boli vhodné na dosiahnutie potrebných verejných záujmov</w:t>
      </w:r>
      <w:bookmarkEnd w:id="1"/>
      <w:r w:rsidR="006C5410">
        <w:rPr>
          <w:rFonts w:ascii="Times New Roman" w:hAnsi="Times New Roman"/>
          <w:color w:val="000000"/>
          <w:sz w:val="24"/>
          <w:szCs w:val="24"/>
        </w:rPr>
        <w:t>.</w:t>
      </w:r>
    </w:p>
    <w:p w14:paraId="39C115E9" w14:textId="5EC181ED" w:rsidR="00B20119" w:rsidRDefault="00B20119" w:rsidP="00B20119">
      <w:pPr>
        <w:spacing w:after="0" w:line="240" w:lineRule="auto"/>
        <w:jc w:val="both"/>
        <w:rPr>
          <w:rFonts w:ascii="Times New Roman" w:hAnsi="Times New Roman"/>
          <w:sz w:val="24"/>
          <w:szCs w:val="24"/>
        </w:rPr>
      </w:pPr>
    </w:p>
    <w:p w14:paraId="40A25A08" w14:textId="2A596EDD" w:rsidR="00B20119" w:rsidRDefault="00B20119" w:rsidP="00B20119">
      <w:pPr>
        <w:spacing w:after="0" w:line="240" w:lineRule="auto"/>
        <w:jc w:val="both"/>
        <w:rPr>
          <w:rFonts w:ascii="Times New Roman" w:hAnsi="Times New Roman"/>
          <w:sz w:val="24"/>
          <w:szCs w:val="24"/>
        </w:rPr>
      </w:pPr>
      <w:r>
        <w:rPr>
          <w:rFonts w:ascii="Times New Roman" w:hAnsi="Times New Roman"/>
          <w:sz w:val="24"/>
          <w:szCs w:val="24"/>
        </w:rPr>
        <w:t>Ministerstvo financií SR v rámci svojho stanoviska k vnútrokomunitárnemu pripomienkovému konaniu dňa 1. júla 2025 okrem iného vysvetlilo, že:</w:t>
      </w:r>
    </w:p>
    <w:p w14:paraId="36D8D813" w14:textId="77777777" w:rsidR="00B20119" w:rsidRDefault="00B20119" w:rsidP="00B20119">
      <w:pPr>
        <w:pStyle w:val="Odsekzoznamu"/>
        <w:numPr>
          <w:ilvl w:val="0"/>
          <w:numId w:val="4"/>
        </w:numPr>
        <w:spacing w:after="0" w:line="240" w:lineRule="auto"/>
        <w:jc w:val="both"/>
        <w:rPr>
          <w:rFonts w:ascii="Times New Roman" w:hAnsi="Times New Roman"/>
          <w:sz w:val="24"/>
          <w:szCs w:val="24"/>
        </w:rPr>
      </w:pPr>
      <w:r w:rsidRPr="00B20119">
        <w:rPr>
          <w:rFonts w:ascii="Times New Roman" w:hAnsi="Times New Roman"/>
          <w:sz w:val="24"/>
          <w:szCs w:val="24"/>
        </w:rPr>
        <w:t xml:space="preserve">Novely zákona o súdnych poplatkov a zákona o správnych poplatkoch nemenia spôsoby platby, ani platobný systém. Legislatívne znenie sa v súvislosti s doplnením nového centrálneho systému evidencie poplatkov Štátnej pokladnice uvádza nanovo, čo môže evokovať dojem novej právnej úpravy. </w:t>
      </w:r>
    </w:p>
    <w:p w14:paraId="66CE6EDE" w14:textId="7167D164" w:rsidR="00B20119" w:rsidRPr="00B20119" w:rsidRDefault="00B20119" w:rsidP="00B20119">
      <w:pPr>
        <w:pStyle w:val="Odsekzoznamu"/>
        <w:numPr>
          <w:ilvl w:val="0"/>
          <w:numId w:val="4"/>
        </w:numPr>
        <w:spacing w:after="0" w:line="240" w:lineRule="auto"/>
        <w:jc w:val="both"/>
        <w:rPr>
          <w:rFonts w:ascii="Times New Roman" w:hAnsi="Times New Roman"/>
          <w:sz w:val="24"/>
          <w:szCs w:val="24"/>
        </w:rPr>
      </w:pPr>
      <w:r w:rsidRPr="00B20119">
        <w:rPr>
          <w:rFonts w:ascii="Times New Roman" w:hAnsi="Times New Roman"/>
          <w:sz w:val="24"/>
          <w:szCs w:val="24"/>
        </w:rPr>
        <w:t>Úhrada v hotovosti sa umožňuje týmito platobnými kanálmi:</w:t>
      </w:r>
    </w:p>
    <w:p w14:paraId="1880214E" w14:textId="26A3B06C" w:rsidR="00B20119" w:rsidRPr="006C5410" w:rsidRDefault="00B20119" w:rsidP="006C5410">
      <w:pPr>
        <w:pStyle w:val="Odsekzoznamu"/>
        <w:numPr>
          <w:ilvl w:val="0"/>
          <w:numId w:val="5"/>
        </w:numPr>
        <w:spacing w:after="0" w:line="240" w:lineRule="auto"/>
        <w:ind w:left="1134"/>
        <w:jc w:val="both"/>
        <w:rPr>
          <w:rFonts w:ascii="Times New Roman" w:hAnsi="Times New Roman"/>
          <w:sz w:val="24"/>
          <w:szCs w:val="24"/>
        </w:rPr>
      </w:pPr>
      <w:r w:rsidRPr="006C5410">
        <w:rPr>
          <w:rFonts w:ascii="Times New Roman" w:hAnsi="Times New Roman"/>
          <w:sz w:val="24"/>
          <w:szCs w:val="24"/>
        </w:rPr>
        <w:t>priama platba v hotovosti do sumy 300 eur na orgáne verejnej moci cez technické zariadenia prevádzkovateľa systému (alebo po novom aj technické zariadenie Štátnej pokladnice); je ním najmä hotovostný kiosk (alebo hotovostný automat) a</w:t>
      </w:r>
      <w:r w:rsidR="000A158F">
        <w:rPr>
          <w:rFonts w:ascii="Times New Roman" w:hAnsi="Times New Roman"/>
          <w:sz w:val="24"/>
          <w:szCs w:val="24"/>
        </w:rPr>
        <w:t> </w:t>
      </w:r>
      <w:r w:rsidRPr="006C5410">
        <w:rPr>
          <w:rFonts w:ascii="Times New Roman" w:hAnsi="Times New Roman"/>
          <w:sz w:val="24"/>
          <w:szCs w:val="24"/>
        </w:rPr>
        <w:t>hotovostná priehradka úradu (ak je zriadená),</w:t>
      </w:r>
    </w:p>
    <w:p w14:paraId="068A5AF9" w14:textId="5F2A1E35" w:rsidR="00B20119" w:rsidRPr="006C5410" w:rsidRDefault="00B20119" w:rsidP="006C5410">
      <w:pPr>
        <w:pStyle w:val="Odsekzoznamu"/>
        <w:numPr>
          <w:ilvl w:val="0"/>
          <w:numId w:val="5"/>
        </w:numPr>
        <w:spacing w:after="0" w:line="240" w:lineRule="auto"/>
        <w:ind w:left="1134"/>
        <w:jc w:val="both"/>
        <w:rPr>
          <w:rFonts w:ascii="Times New Roman" w:hAnsi="Times New Roman"/>
          <w:sz w:val="24"/>
          <w:szCs w:val="24"/>
        </w:rPr>
      </w:pPr>
      <w:r w:rsidRPr="006C5410">
        <w:rPr>
          <w:rFonts w:ascii="Times New Roman" w:hAnsi="Times New Roman"/>
          <w:sz w:val="24"/>
          <w:szCs w:val="24"/>
        </w:rPr>
        <w:t>priama platba v hotovosti do sumy 300 eur na pobočke Slovenskej pošty cez technické zariadenie „APONET“, ktoré vydáva „potvrdenie o úhrade poplatku“ (známy aj ako eKolok), v budúcnosti cez hotovostného platobného partnera</w:t>
      </w:r>
      <w:r w:rsidR="006A4804" w:rsidRPr="006C5410">
        <w:rPr>
          <w:rFonts w:ascii="Times New Roman" w:hAnsi="Times New Roman"/>
          <w:sz w:val="24"/>
          <w:szCs w:val="24"/>
        </w:rPr>
        <w:t xml:space="preserve"> Štátnej pokladnice</w:t>
      </w:r>
      <w:r w:rsidRPr="006C5410">
        <w:rPr>
          <w:rFonts w:ascii="Times New Roman" w:hAnsi="Times New Roman"/>
          <w:sz w:val="24"/>
          <w:szCs w:val="24"/>
        </w:rPr>
        <w:t>,</w:t>
      </w:r>
    </w:p>
    <w:p w14:paraId="04D0A753" w14:textId="4A813D83" w:rsidR="00B20119" w:rsidRPr="006C5410" w:rsidRDefault="00B20119" w:rsidP="006C5410">
      <w:pPr>
        <w:pStyle w:val="Odsekzoznamu"/>
        <w:numPr>
          <w:ilvl w:val="0"/>
          <w:numId w:val="5"/>
        </w:numPr>
        <w:spacing w:after="0" w:line="240" w:lineRule="auto"/>
        <w:ind w:left="1134"/>
        <w:jc w:val="both"/>
        <w:rPr>
          <w:rFonts w:ascii="Times New Roman" w:hAnsi="Times New Roman"/>
          <w:sz w:val="24"/>
          <w:szCs w:val="24"/>
        </w:rPr>
      </w:pPr>
      <w:r w:rsidRPr="006C5410">
        <w:rPr>
          <w:rFonts w:ascii="Times New Roman" w:hAnsi="Times New Roman"/>
          <w:sz w:val="24"/>
          <w:szCs w:val="24"/>
        </w:rPr>
        <w:t>platba v hotovosti poštovou poukážkou v sume do 15 000 eur (univerzálne vždy),</w:t>
      </w:r>
    </w:p>
    <w:p w14:paraId="1CB32FD9" w14:textId="32BABD2E" w:rsidR="00B20119" w:rsidRPr="006C5410" w:rsidRDefault="00B20119" w:rsidP="006C5410">
      <w:pPr>
        <w:pStyle w:val="Odsekzoznamu"/>
        <w:numPr>
          <w:ilvl w:val="0"/>
          <w:numId w:val="5"/>
        </w:numPr>
        <w:spacing w:after="0" w:line="240" w:lineRule="auto"/>
        <w:ind w:left="1134"/>
        <w:jc w:val="both"/>
        <w:rPr>
          <w:rFonts w:ascii="Times New Roman" w:hAnsi="Times New Roman"/>
          <w:sz w:val="24"/>
          <w:szCs w:val="24"/>
        </w:rPr>
      </w:pPr>
      <w:r w:rsidRPr="006C5410">
        <w:rPr>
          <w:rFonts w:ascii="Times New Roman" w:hAnsi="Times New Roman"/>
          <w:sz w:val="24"/>
          <w:szCs w:val="24"/>
        </w:rPr>
        <w:lastRenderedPageBreak/>
        <w:t>hotovostný vklad na účet prevádzkovateľa systému (alebo po novom na účet Štátnej pokladnice) v banke v sume do 15 000 eur (univerzálne vždy).</w:t>
      </w:r>
    </w:p>
    <w:p w14:paraId="42929FF5" w14:textId="36C7CE36" w:rsidR="00B20119" w:rsidRDefault="00B20119" w:rsidP="00B20119">
      <w:pPr>
        <w:pStyle w:val="Odsekzoznamu"/>
        <w:numPr>
          <w:ilvl w:val="0"/>
          <w:numId w:val="4"/>
        </w:numPr>
        <w:spacing w:after="0" w:line="240" w:lineRule="auto"/>
        <w:jc w:val="both"/>
        <w:rPr>
          <w:rFonts w:ascii="Times New Roman" w:hAnsi="Times New Roman"/>
          <w:sz w:val="24"/>
          <w:szCs w:val="24"/>
        </w:rPr>
      </w:pPr>
      <w:r w:rsidRPr="00B20119">
        <w:rPr>
          <w:rFonts w:ascii="Times New Roman" w:hAnsi="Times New Roman"/>
          <w:sz w:val="24"/>
          <w:szCs w:val="24"/>
        </w:rPr>
        <w:t>Z uvedeného vyplýva, že obmedzenie na platbu súdnych poplatkov a správnych poplatkov je v súčasne platnom a účinnom znení predmetných právnych predpisov ako aj v navrhovanom znení len na platbu v hotovosti na mieste (t. z. priamo na úrade). Inak je platba v hotovosti poplatníkom prístupná v sume do 15 000 eur</w:t>
      </w:r>
      <w:r>
        <w:rPr>
          <w:rFonts w:ascii="Times New Roman" w:hAnsi="Times New Roman"/>
          <w:sz w:val="24"/>
          <w:szCs w:val="24"/>
        </w:rPr>
        <w:t>.</w:t>
      </w:r>
    </w:p>
    <w:p w14:paraId="2A3EBC4B" w14:textId="3C81C79E" w:rsidR="00C26BE2" w:rsidRDefault="00C26BE2" w:rsidP="00B20119">
      <w:pPr>
        <w:pStyle w:val="Odsekzoznamu"/>
        <w:numPr>
          <w:ilvl w:val="0"/>
          <w:numId w:val="4"/>
        </w:numPr>
        <w:spacing w:after="0" w:line="240" w:lineRule="auto"/>
        <w:jc w:val="both"/>
        <w:rPr>
          <w:rFonts w:ascii="Times New Roman" w:hAnsi="Times New Roman"/>
          <w:sz w:val="24"/>
          <w:szCs w:val="24"/>
        </w:rPr>
      </w:pPr>
      <w:r w:rsidRPr="00C26BE2">
        <w:rPr>
          <w:rFonts w:ascii="Times New Roman" w:hAnsi="Times New Roman"/>
          <w:sz w:val="24"/>
          <w:szCs w:val="24"/>
        </w:rPr>
        <w:t>Platby štátu a iným orgánom verejnej moci sa štandardne neplatia v</w:t>
      </w:r>
      <w:r>
        <w:rPr>
          <w:rFonts w:ascii="Times New Roman" w:hAnsi="Times New Roman"/>
          <w:sz w:val="24"/>
          <w:szCs w:val="24"/>
        </w:rPr>
        <w:t> </w:t>
      </w:r>
      <w:r w:rsidRPr="00C26BE2">
        <w:rPr>
          <w:rFonts w:ascii="Times New Roman" w:hAnsi="Times New Roman"/>
          <w:sz w:val="24"/>
          <w:szCs w:val="24"/>
        </w:rPr>
        <w:t>hotovosti</w:t>
      </w:r>
      <w:r>
        <w:rPr>
          <w:rFonts w:ascii="Times New Roman" w:hAnsi="Times New Roman"/>
          <w:sz w:val="24"/>
          <w:szCs w:val="24"/>
        </w:rPr>
        <w:t xml:space="preserve"> (citované príslušné ustanovenia daňového poriadku a zákona o sociálnom poistení).</w:t>
      </w:r>
    </w:p>
    <w:p w14:paraId="59D3D229" w14:textId="4058D492" w:rsidR="006C5410" w:rsidRPr="00B20119" w:rsidRDefault="006C5410" w:rsidP="00B20119">
      <w:pPr>
        <w:pStyle w:val="Odsekzoznamu"/>
        <w:numPr>
          <w:ilvl w:val="0"/>
          <w:numId w:val="4"/>
        </w:numPr>
        <w:spacing w:after="0" w:line="240" w:lineRule="auto"/>
        <w:jc w:val="both"/>
        <w:rPr>
          <w:rFonts w:ascii="Times New Roman" w:hAnsi="Times New Roman"/>
          <w:sz w:val="24"/>
          <w:szCs w:val="24"/>
        </w:rPr>
      </w:pPr>
      <w:r>
        <w:rPr>
          <w:rFonts w:ascii="Times New Roman" w:hAnsi="Times New Roman"/>
          <w:sz w:val="24"/>
          <w:szCs w:val="24"/>
        </w:rPr>
        <w:t xml:space="preserve">Všeobecné nerozširovanie platby v hotovosti v režime 24/7 </w:t>
      </w:r>
      <w:r w:rsidR="008A26E3">
        <w:rPr>
          <w:rFonts w:ascii="Times New Roman" w:hAnsi="Times New Roman"/>
          <w:sz w:val="24"/>
          <w:szCs w:val="24"/>
        </w:rPr>
        <w:t xml:space="preserve">na každom súdnom orgáne a správnom orgáne </w:t>
      </w:r>
      <w:r>
        <w:rPr>
          <w:rFonts w:ascii="Times New Roman" w:hAnsi="Times New Roman"/>
          <w:sz w:val="24"/>
          <w:szCs w:val="24"/>
        </w:rPr>
        <w:t>je limitované nákladovou náročnosťou.</w:t>
      </w:r>
    </w:p>
    <w:p w14:paraId="6D25F180" w14:textId="43FED9AB" w:rsidR="0045553A" w:rsidRDefault="0045553A" w:rsidP="000D68A0">
      <w:pPr>
        <w:spacing w:after="0" w:line="240" w:lineRule="auto"/>
        <w:jc w:val="both"/>
        <w:rPr>
          <w:rFonts w:ascii="Times New Roman" w:hAnsi="Times New Roman"/>
          <w:sz w:val="24"/>
          <w:szCs w:val="24"/>
        </w:rPr>
      </w:pPr>
    </w:p>
    <w:p w14:paraId="22F1569B" w14:textId="4DE073D2" w:rsidR="00B20119" w:rsidRDefault="00B20119" w:rsidP="000D68A0">
      <w:pPr>
        <w:spacing w:after="0" w:line="240" w:lineRule="auto"/>
        <w:jc w:val="both"/>
        <w:rPr>
          <w:rFonts w:ascii="Times New Roman" w:hAnsi="Times New Roman"/>
          <w:sz w:val="24"/>
          <w:szCs w:val="24"/>
        </w:rPr>
      </w:pPr>
      <w:r>
        <w:rPr>
          <w:rFonts w:ascii="Times New Roman" w:hAnsi="Times New Roman"/>
          <w:sz w:val="24"/>
          <w:szCs w:val="24"/>
        </w:rPr>
        <w:t>Napriek tomu sa Ministerstvo financií SR ako predkladateľ návrhu zákona stotožnilo s názorom Európskej centrálnej banky, a preto vo vlastnom materiáli upravilo ustanovenie čl. I § 9 ods. 5 a čl. III § 7 ods. 7</w:t>
      </w:r>
      <w:r w:rsidR="006A4804">
        <w:rPr>
          <w:rFonts w:ascii="Times New Roman" w:hAnsi="Times New Roman"/>
          <w:sz w:val="24"/>
          <w:szCs w:val="24"/>
        </w:rPr>
        <w:t xml:space="preserve"> a primerane doplnilo odôvodnenie aj v osobitnej časti dôvodovej správy</w:t>
      </w:r>
      <w:r w:rsidR="000D60A1">
        <w:rPr>
          <w:rFonts w:ascii="Times New Roman" w:hAnsi="Times New Roman"/>
          <w:sz w:val="24"/>
          <w:szCs w:val="24"/>
        </w:rPr>
        <w:t xml:space="preserve"> a to nasledovne</w:t>
      </w:r>
      <w:r w:rsidR="008A26E3">
        <w:rPr>
          <w:rFonts w:ascii="Times New Roman" w:hAnsi="Times New Roman"/>
          <w:sz w:val="24"/>
          <w:szCs w:val="24"/>
        </w:rPr>
        <w:t>:</w:t>
      </w:r>
    </w:p>
    <w:p w14:paraId="2C2C15B3" w14:textId="599B80E5" w:rsidR="008A26E3" w:rsidRDefault="008A26E3" w:rsidP="008A26E3">
      <w:pPr>
        <w:pStyle w:val="Odsekzoznamu"/>
        <w:numPr>
          <w:ilvl w:val="0"/>
          <w:numId w:val="4"/>
        </w:numPr>
        <w:spacing w:after="0" w:line="240" w:lineRule="auto"/>
        <w:jc w:val="both"/>
        <w:rPr>
          <w:rFonts w:ascii="Times New Roman" w:hAnsi="Times New Roman"/>
          <w:sz w:val="24"/>
          <w:szCs w:val="24"/>
        </w:rPr>
      </w:pPr>
      <w:r>
        <w:rPr>
          <w:rFonts w:ascii="Times New Roman" w:hAnsi="Times New Roman"/>
          <w:sz w:val="24"/>
          <w:szCs w:val="24"/>
        </w:rPr>
        <w:t>Hranica sumy poplatku na úhradu v hotovosti na technickom zariadení umiestnenom na súdnom orgáne alebo správnom orgáne sa zvyšuje z 300 eur na 500 eur. Uvedené zvýšenie reflektuje na všeobecné zvýšenie cenovej hladiny od zavedenia meny euro v Slovenskej republike (1.1.2009), ktorá kumulatívne do júna 2025 v SR bola vo výške 63,8%. Z</w:t>
      </w:r>
      <w:r w:rsidR="00C66271">
        <w:rPr>
          <w:rFonts w:ascii="Times New Roman" w:hAnsi="Times New Roman"/>
          <w:sz w:val="24"/>
          <w:szCs w:val="24"/>
        </w:rPr>
        <w:t xml:space="preserve"> celkového počtu 3 936 služieb platných v roku 2024 a vytvorených z celkových kombinácií položiek sadzobníka správnych poplatkov a sadzobníka súdnych poplatkov </w:t>
      </w:r>
      <w:r w:rsidR="000D60A1">
        <w:rPr>
          <w:rFonts w:ascii="Times New Roman" w:hAnsi="Times New Roman"/>
          <w:sz w:val="24"/>
          <w:szCs w:val="24"/>
        </w:rPr>
        <w:t>sa pri hranici 300 eur dá v hotovosti uhradiť 3 241 služieb (82,3%) a pri zvýšení tejto hranice na 500 eur sa tento počet zvýši na 3 463, t. j 88,0% z nich.</w:t>
      </w:r>
    </w:p>
    <w:p w14:paraId="3DACA5A3" w14:textId="6EE03A96" w:rsidR="000D60A1" w:rsidRDefault="000D60A1" w:rsidP="008A26E3">
      <w:pPr>
        <w:pStyle w:val="Odsekzoznamu"/>
        <w:numPr>
          <w:ilvl w:val="0"/>
          <w:numId w:val="4"/>
        </w:numPr>
        <w:spacing w:after="0" w:line="240" w:lineRule="auto"/>
        <w:jc w:val="both"/>
        <w:rPr>
          <w:rFonts w:ascii="Times New Roman" w:hAnsi="Times New Roman"/>
          <w:sz w:val="24"/>
          <w:szCs w:val="24"/>
        </w:rPr>
      </w:pPr>
      <w:r>
        <w:rPr>
          <w:rFonts w:ascii="Times New Roman" w:hAnsi="Times New Roman"/>
          <w:sz w:val="24"/>
          <w:szCs w:val="24"/>
        </w:rPr>
        <w:t>Zároveň sa ustanovuje, že cez technické zariadenie prevádzkovateľa systému umiestneného na pošte a technické zariadenie zmluvnej strany Štátnej pokladnice (tzv. hotovostný partner) bude možné uhradiť poplatky až do výšky 15 000 eur, čo je horná hranica hotovostnej platby podľa zákona o obmedzení platieb v hotovosti.</w:t>
      </w:r>
    </w:p>
    <w:p w14:paraId="2B3486ED" w14:textId="3E7C32F5" w:rsidR="000D60A1" w:rsidRDefault="000D60A1" w:rsidP="008A26E3">
      <w:pPr>
        <w:pStyle w:val="Odsekzoznamu"/>
        <w:numPr>
          <w:ilvl w:val="0"/>
          <w:numId w:val="4"/>
        </w:numPr>
        <w:spacing w:after="0" w:line="240" w:lineRule="auto"/>
        <w:jc w:val="both"/>
        <w:rPr>
          <w:rFonts w:ascii="Times New Roman" w:hAnsi="Times New Roman"/>
          <w:sz w:val="24"/>
          <w:szCs w:val="24"/>
        </w:rPr>
      </w:pPr>
      <w:r>
        <w:rPr>
          <w:rFonts w:ascii="Times New Roman" w:hAnsi="Times New Roman"/>
          <w:sz w:val="24"/>
          <w:szCs w:val="24"/>
        </w:rPr>
        <w:t>Týmto sa plne vyhovie možnosti používania zákonného platidla do stanovenej sumy bez obmedzenia a bez znášania dodatočných poplatkov, pričom sa taktiež zohľadňuje názor Súdneho dvora Európskej únie, podľa ktorého členský štát môže regulovať administratívne postupy.</w:t>
      </w:r>
    </w:p>
    <w:p w14:paraId="3DBBA74A" w14:textId="77777777" w:rsidR="007A15D1" w:rsidRPr="007A15D1" w:rsidRDefault="007A15D1" w:rsidP="007A15D1">
      <w:pPr>
        <w:spacing w:after="0" w:line="240" w:lineRule="auto"/>
        <w:jc w:val="both"/>
        <w:rPr>
          <w:rFonts w:ascii="Times New Roman" w:hAnsi="Times New Roman"/>
          <w:sz w:val="24"/>
          <w:szCs w:val="24"/>
        </w:rPr>
      </w:pPr>
    </w:p>
    <w:p w14:paraId="17ACCAF6" w14:textId="40591ADB" w:rsidR="000D60A1" w:rsidRDefault="000D60A1" w:rsidP="000D60A1">
      <w:pPr>
        <w:spacing w:after="0" w:line="240" w:lineRule="auto"/>
        <w:jc w:val="both"/>
        <w:rPr>
          <w:rFonts w:ascii="Times New Roman" w:hAnsi="Times New Roman"/>
          <w:sz w:val="24"/>
          <w:szCs w:val="24"/>
        </w:rPr>
      </w:pPr>
      <w:r>
        <w:rPr>
          <w:rFonts w:ascii="Times New Roman" w:hAnsi="Times New Roman"/>
          <w:sz w:val="24"/>
          <w:szCs w:val="24"/>
        </w:rPr>
        <w:t>Vo vzťahu k názoru Európskej centrálnej banky, že</w:t>
      </w:r>
      <w:r w:rsidR="007A15D1">
        <w:rPr>
          <w:rFonts w:ascii="Times New Roman" w:hAnsi="Times New Roman"/>
          <w:sz w:val="24"/>
          <w:szCs w:val="24"/>
        </w:rPr>
        <w:t xml:space="preserve"> </w:t>
      </w:r>
      <w:r w:rsidRPr="000D60A1">
        <w:rPr>
          <w:rFonts w:ascii="Times New Roman" w:hAnsi="Times New Roman"/>
          <w:sz w:val="24"/>
          <w:szCs w:val="24"/>
        </w:rPr>
        <w:t xml:space="preserve">predkladateľ návrhu dostatočne </w:t>
      </w:r>
      <w:r w:rsidR="003F34EC" w:rsidRPr="000D60A1">
        <w:rPr>
          <w:rFonts w:ascii="Times New Roman" w:hAnsi="Times New Roman"/>
          <w:sz w:val="24"/>
          <w:szCs w:val="24"/>
        </w:rPr>
        <w:t xml:space="preserve">neposúdil </w:t>
      </w:r>
      <w:r w:rsidRPr="000D60A1">
        <w:rPr>
          <w:rFonts w:ascii="Times New Roman" w:hAnsi="Times New Roman"/>
          <w:sz w:val="24"/>
          <w:szCs w:val="24"/>
        </w:rPr>
        <w:t>možnosť nevytvorenia technických podmienok na prijímanie hotovosti na súdnych orgánoch a</w:t>
      </w:r>
      <w:r w:rsidR="00DB1C68">
        <w:rPr>
          <w:rFonts w:ascii="Times New Roman" w:hAnsi="Times New Roman"/>
          <w:sz w:val="24"/>
          <w:szCs w:val="24"/>
        </w:rPr>
        <w:t> </w:t>
      </w:r>
      <w:r w:rsidRPr="000D60A1">
        <w:rPr>
          <w:rFonts w:ascii="Times New Roman" w:hAnsi="Times New Roman"/>
          <w:sz w:val="24"/>
          <w:szCs w:val="24"/>
        </w:rPr>
        <w:t>správnych orgánoch</w:t>
      </w:r>
      <w:r w:rsidR="001165E2">
        <w:rPr>
          <w:rFonts w:ascii="Times New Roman" w:hAnsi="Times New Roman"/>
          <w:sz w:val="24"/>
          <w:szCs w:val="24"/>
        </w:rPr>
        <w:t xml:space="preserve"> a že s</w:t>
      </w:r>
      <w:r w:rsidRPr="000D60A1">
        <w:rPr>
          <w:rFonts w:ascii="Times New Roman" w:hAnsi="Times New Roman"/>
          <w:sz w:val="24"/>
          <w:szCs w:val="24"/>
        </w:rPr>
        <w:t>lovenské orgány by mali zvážiť akékoľvek obmedzenia platieb v</w:t>
      </w:r>
      <w:r w:rsidR="003F34EC">
        <w:rPr>
          <w:rFonts w:ascii="Times New Roman" w:hAnsi="Times New Roman"/>
          <w:sz w:val="24"/>
          <w:szCs w:val="24"/>
        </w:rPr>
        <w:t> </w:t>
      </w:r>
      <w:r w:rsidRPr="000D60A1">
        <w:rPr>
          <w:rFonts w:ascii="Times New Roman" w:hAnsi="Times New Roman"/>
          <w:sz w:val="24"/>
          <w:szCs w:val="24"/>
        </w:rPr>
        <w:t>hotovosti a mali by zohľadniť kritériá stanovené Súdnym dvorom Európskej únie tak, aby obmedzenia boli vhodné na dosiahnutie potrebných verejných záujmov</w:t>
      </w:r>
      <w:r w:rsidR="001165E2">
        <w:rPr>
          <w:rFonts w:ascii="Times New Roman" w:hAnsi="Times New Roman"/>
          <w:sz w:val="24"/>
          <w:szCs w:val="24"/>
        </w:rPr>
        <w:t>, Ministerstvo financií SR uvádza nasledovné doplnenie odôvodnenia takto nastaveného verejného záujmu:</w:t>
      </w:r>
    </w:p>
    <w:p w14:paraId="21296DDC" w14:textId="2F2BE8EF" w:rsidR="003F34EC" w:rsidRDefault="003F34EC" w:rsidP="003F34EC">
      <w:pPr>
        <w:pStyle w:val="Odsekzoznamu"/>
        <w:numPr>
          <w:ilvl w:val="0"/>
          <w:numId w:val="4"/>
        </w:numPr>
        <w:spacing w:after="0" w:line="240" w:lineRule="auto"/>
        <w:jc w:val="both"/>
        <w:rPr>
          <w:rFonts w:ascii="Times New Roman" w:hAnsi="Times New Roman"/>
          <w:sz w:val="24"/>
          <w:szCs w:val="24"/>
        </w:rPr>
      </w:pPr>
      <w:r>
        <w:rPr>
          <w:rFonts w:ascii="Times New Roman" w:hAnsi="Times New Roman"/>
          <w:sz w:val="24"/>
          <w:szCs w:val="24"/>
        </w:rPr>
        <w:t xml:space="preserve">Ekonomická nákladovosť výberu správnych a súdnych poplatkov bola komplexne zhodnotená v Štúdii realizovateľnosti služby eKolok na roky 2024 </w:t>
      </w:r>
      <w:r w:rsidR="00DB1C68">
        <w:rPr>
          <w:rFonts w:ascii="Times New Roman" w:hAnsi="Times New Roman"/>
          <w:sz w:val="24"/>
          <w:szCs w:val="24"/>
        </w:rPr>
        <w:t>–</w:t>
      </w:r>
      <w:r>
        <w:rPr>
          <w:rFonts w:ascii="Times New Roman" w:hAnsi="Times New Roman"/>
          <w:sz w:val="24"/>
          <w:szCs w:val="24"/>
        </w:rPr>
        <w:t xml:space="preserve"> 2034</w:t>
      </w:r>
      <w:r w:rsidR="00DB1C68">
        <w:rPr>
          <w:rFonts w:ascii="Times New Roman" w:hAnsi="Times New Roman"/>
          <w:sz w:val="24"/>
          <w:szCs w:val="24"/>
        </w:rPr>
        <w:t xml:space="preserve">, ktorá je zverejnená na webovom sídle Ministerstva financií SR: </w:t>
      </w:r>
      <w:hyperlink r:id="rId8" w:history="1">
        <w:r w:rsidR="00DB1C68" w:rsidRPr="00580BA6">
          <w:rPr>
            <w:rStyle w:val="Hypertextovprepojenie"/>
            <w:rFonts w:ascii="Times New Roman" w:hAnsi="Times New Roman"/>
            <w:sz w:val="24"/>
            <w:szCs w:val="24"/>
          </w:rPr>
          <w:t>https://www.mfsr.sk/sk/dane-cla-uctovnictvo/platobny-system-uhradu-spravnych-sudnych-poplatkov/</w:t>
        </w:r>
      </w:hyperlink>
      <w:r w:rsidR="00DB1C68">
        <w:rPr>
          <w:rFonts w:ascii="Times New Roman" w:hAnsi="Times New Roman"/>
          <w:sz w:val="24"/>
          <w:szCs w:val="24"/>
        </w:rPr>
        <w:t xml:space="preserve"> </w:t>
      </w:r>
    </w:p>
    <w:p w14:paraId="4293F30A" w14:textId="4594A4FF" w:rsidR="00DB1C68" w:rsidRDefault="00DB1C68" w:rsidP="00DB1C68">
      <w:pPr>
        <w:pStyle w:val="Odsekzoznamu"/>
        <w:numPr>
          <w:ilvl w:val="0"/>
          <w:numId w:val="4"/>
        </w:numPr>
        <w:spacing w:after="0" w:line="240" w:lineRule="auto"/>
        <w:jc w:val="both"/>
        <w:rPr>
          <w:rFonts w:ascii="Times New Roman" w:hAnsi="Times New Roman"/>
          <w:sz w:val="24"/>
          <w:szCs w:val="24"/>
        </w:rPr>
      </w:pPr>
      <w:r>
        <w:rPr>
          <w:rFonts w:ascii="Times New Roman" w:hAnsi="Times New Roman"/>
          <w:sz w:val="24"/>
          <w:szCs w:val="24"/>
        </w:rPr>
        <w:t>V rámci CBA analýzy sa posudzovali 4 varianty riešenia s rôznym počtom platobných zariadení. Osobitne sa k efektívnosti zariadenia venuje kapitola 8.3., ktorá konštatuje: „</w:t>
      </w:r>
      <w:r w:rsidRPr="00DB1C68">
        <w:rPr>
          <w:rFonts w:ascii="Times New Roman" w:hAnsi="Times New Roman"/>
          <w:sz w:val="24"/>
          <w:szCs w:val="24"/>
        </w:rPr>
        <w:t>Ako optimálna hranica na inštaláciu kiosku v budúcnosti sa preto javí lokalita (</w:t>
      </w:r>
      <w:r w:rsidR="009C53E6">
        <w:rPr>
          <w:rFonts w:ascii="Times New Roman" w:hAnsi="Times New Roman"/>
          <w:sz w:val="24"/>
          <w:szCs w:val="24"/>
        </w:rPr>
        <w:t>úrad</w:t>
      </w:r>
      <w:r w:rsidRPr="00DB1C68">
        <w:rPr>
          <w:rFonts w:ascii="Times New Roman" w:hAnsi="Times New Roman"/>
          <w:sz w:val="24"/>
          <w:szCs w:val="24"/>
        </w:rPr>
        <w:t>), na</w:t>
      </w:r>
      <w:r>
        <w:rPr>
          <w:rFonts w:ascii="Times New Roman" w:hAnsi="Times New Roman"/>
          <w:sz w:val="24"/>
          <w:szCs w:val="24"/>
        </w:rPr>
        <w:t xml:space="preserve"> </w:t>
      </w:r>
      <w:r w:rsidRPr="00DB1C68">
        <w:rPr>
          <w:rFonts w:ascii="Times New Roman" w:hAnsi="Times New Roman"/>
          <w:sz w:val="24"/>
          <w:szCs w:val="24"/>
        </w:rPr>
        <w:t>ktorej sa realizuje viac ako 3,7 hotovostných platieb za hodinu.</w:t>
      </w:r>
      <w:r>
        <w:rPr>
          <w:rFonts w:ascii="Times New Roman" w:hAnsi="Times New Roman"/>
          <w:sz w:val="24"/>
          <w:szCs w:val="24"/>
        </w:rPr>
        <w:t>“.</w:t>
      </w:r>
    </w:p>
    <w:p w14:paraId="2A5F9489" w14:textId="287D0698" w:rsidR="00DB1C68" w:rsidRDefault="00DB1C68" w:rsidP="00DB1C68">
      <w:pPr>
        <w:pStyle w:val="Odsekzoznamu"/>
        <w:numPr>
          <w:ilvl w:val="0"/>
          <w:numId w:val="4"/>
        </w:numPr>
        <w:spacing w:after="0" w:line="240" w:lineRule="auto"/>
        <w:jc w:val="both"/>
        <w:rPr>
          <w:rFonts w:ascii="Times New Roman" w:hAnsi="Times New Roman"/>
          <w:sz w:val="24"/>
          <w:szCs w:val="24"/>
        </w:rPr>
      </w:pPr>
      <w:r>
        <w:rPr>
          <w:rFonts w:ascii="Times New Roman" w:hAnsi="Times New Roman"/>
          <w:sz w:val="24"/>
          <w:szCs w:val="24"/>
        </w:rPr>
        <w:t xml:space="preserve">V zjednodušenej forme, platba v hotovosti na súdnych orgánoch a správnych orgánoch je možná cez hotovostné kiosky alebo SW pokladňu (pri ktorej si orgán zabezpečí pokladníka, technické a bezpečnostné zázemie na vlastné náklady). Hotovostných kioskov </w:t>
      </w:r>
      <w:r w:rsidR="00060AAD">
        <w:rPr>
          <w:rFonts w:ascii="Times New Roman" w:hAnsi="Times New Roman"/>
          <w:sz w:val="24"/>
          <w:szCs w:val="24"/>
        </w:rPr>
        <w:t xml:space="preserve">je </w:t>
      </w:r>
      <w:r>
        <w:rPr>
          <w:rFonts w:ascii="Times New Roman" w:hAnsi="Times New Roman"/>
          <w:sz w:val="24"/>
          <w:szCs w:val="24"/>
        </w:rPr>
        <w:t xml:space="preserve">v súčasnosti prevádzkovaných 173 ks, pričom už došlo k zníženiu ich počtu o 102 ks (pôvodne ich bolo 275 ks). Dôvodom bola ich nízka využívanosť, pretože </w:t>
      </w:r>
      <w:r>
        <w:rPr>
          <w:rFonts w:ascii="Times New Roman" w:hAnsi="Times New Roman"/>
          <w:sz w:val="24"/>
          <w:szCs w:val="24"/>
        </w:rPr>
        <w:lastRenderedPageBreak/>
        <w:t>v mnohých prípadoch náklady na odpis a prevádzku zariadenia presahovali uskutočnené platby (t. j. príjem do štátneho rozpočtu). Dané sa týkalo najmä súdov a súdnych orgánov, kde sa platby realizujú najmä na základe platobného predpisu</w:t>
      </w:r>
      <w:r w:rsidR="009C53E6">
        <w:rPr>
          <w:rFonts w:ascii="Times New Roman" w:hAnsi="Times New Roman"/>
          <w:sz w:val="24"/>
          <w:szCs w:val="24"/>
        </w:rPr>
        <w:t xml:space="preserve"> so samotnou úhradou inými platobnými kanálmi ako priamo na súde. Nákladovosť platobných zariadení vo vzťahu k ich využívaniu sa naďalej skúma, a preto v rámci zverejnenej štúdie bol schválený variant 4, ktorý ráta s ďalším optimalizovaním počtu platobných zariadení.</w:t>
      </w:r>
    </w:p>
    <w:p w14:paraId="7DE4FCD2" w14:textId="5B590EE6" w:rsidR="009C53E6" w:rsidRDefault="009C53E6" w:rsidP="00DB1C68">
      <w:pPr>
        <w:pStyle w:val="Odsekzoznamu"/>
        <w:numPr>
          <w:ilvl w:val="0"/>
          <w:numId w:val="4"/>
        </w:numPr>
        <w:spacing w:after="0" w:line="240" w:lineRule="auto"/>
        <w:jc w:val="both"/>
        <w:rPr>
          <w:rFonts w:ascii="Times New Roman" w:hAnsi="Times New Roman"/>
          <w:sz w:val="24"/>
          <w:szCs w:val="24"/>
        </w:rPr>
      </w:pPr>
      <w:r>
        <w:rPr>
          <w:rFonts w:ascii="Times New Roman" w:hAnsi="Times New Roman"/>
          <w:sz w:val="24"/>
          <w:szCs w:val="24"/>
        </w:rPr>
        <w:t xml:space="preserve">Zabezpečenie hotovostných platobných zariadení na všetkých lokalitách súdnych orgánov a správnych orgánov, ktorých je 688, by si žiadalo dovybavenie hotovostnými kioskami v počte nie menej ako 550 </w:t>
      </w:r>
      <w:r w:rsidR="00060AAD">
        <w:rPr>
          <w:rFonts w:ascii="Times New Roman" w:hAnsi="Times New Roman"/>
          <w:sz w:val="24"/>
          <w:szCs w:val="24"/>
        </w:rPr>
        <w:t xml:space="preserve">ks </w:t>
      </w:r>
      <w:r>
        <w:rPr>
          <w:rFonts w:ascii="Times New Roman" w:hAnsi="Times New Roman"/>
          <w:sz w:val="24"/>
          <w:szCs w:val="24"/>
        </w:rPr>
        <w:t>ďalších zariadení, alternatívne úplne alebo čiastočne poveriť 550 zamestnancov týchto úradov agendo</w:t>
      </w:r>
      <w:r w:rsidR="00060AAD">
        <w:rPr>
          <w:rFonts w:ascii="Times New Roman" w:hAnsi="Times New Roman"/>
          <w:sz w:val="24"/>
          <w:szCs w:val="24"/>
        </w:rPr>
        <w:t>u</w:t>
      </w:r>
      <w:r>
        <w:rPr>
          <w:rFonts w:ascii="Times New Roman" w:hAnsi="Times New Roman"/>
          <w:sz w:val="24"/>
          <w:szCs w:val="24"/>
        </w:rPr>
        <w:t xml:space="preserve"> hotovostných úhrad. V číselnom vyjadrení by </w:t>
      </w:r>
      <w:r w:rsidR="00624A26">
        <w:rPr>
          <w:rFonts w:ascii="Times New Roman" w:hAnsi="Times New Roman"/>
          <w:sz w:val="24"/>
          <w:szCs w:val="24"/>
        </w:rPr>
        <w:t xml:space="preserve">si to pri zabezpečení plného počtu kioskov vyžadovalo </w:t>
      </w:r>
      <w:r w:rsidR="00060AAD">
        <w:rPr>
          <w:rFonts w:ascii="Times New Roman" w:hAnsi="Times New Roman"/>
          <w:sz w:val="24"/>
          <w:szCs w:val="24"/>
        </w:rPr>
        <w:t xml:space="preserve">dodatočné </w:t>
      </w:r>
      <w:r w:rsidR="00624A26">
        <w:rPr>
          <w:rFonts w:ascii="Times New Roman" w:hAnsi="Times New Roman"/>
          <w:sz w:val="24"/>
          <w:szCs w:val="24"/>
        </w:rPr>
        <w:t>finančné náklad</w:t>
      </w:r>
      <w:r w:rsidR="00060AAD">
        <w:rPr>
          <w:rFonts w:ascii="Times New Roman" w:hAnsi="Times New Roman"/>
          <w:sz w:val="24"/>
          <w:szCs w:val="24"/>
        </w:rPr>
        <w:t>y</w:t>
      </w:r>
      <w:r w:rsidR="00624A26">
        <w:rPr>
          <w:rFonts w:ascii="Times New Roman" w:hAnsi="Times New Roman"/>
          <w:sz w:val="24"/>
          <w:szCs w:val="24"/>
        </w:rPr>
        <w:t xml:space="preserve"> v sume 13,1 mil. eur</w:t>
      </w:r>
      <w:r w:rsidR="00060AAD">
        <w:rPr>
          <w:rFonts w:ascii="Times New Roman" w:hAnsi="Times New Roman"/>
          <w:sz w:val="24"/>
          <w:szCs w:val="24"/>
        </w:rPr>
        <w:t xml:space="preserve"> ročne</w:t>
      </w:r>
      <w:r w:rsidR="00624A26">
        <w:rPr>
          <w:rFonts w:ascii="Times New Roman" w:hAnsi="Times New Roman"/>
          <w:sz w:val="24"/>
          <w:szCs w:val="24"/>
        </w:rPr>
        <w:t xml:space="preserve">, alebo pri 550 FTE pokladníkov v mzdových a materiálnych výdavkoch v sume 10,2 mil. eur </w:t>
      </w:r>
      <w:r w:rsidR="00060AAD">
        <w:rPr>
          <w:rFonts w:ascii="Times New Roman" w:hAnsi="Times New Roman"/>
          <w:sz w:val="24"/>
          <w:szCs w:val="24"/>
        </w:rPr>
        <w:t xml:space="preserve">ročne </w:t>
      </w:r>
      <w:r w:rsidR="00624A26">
        <w:rPr>
          <w:rFonts w:ascii="Times New Roman" w:hAnsi="Times New Roman"/>
          <w:sz w:val="24"/>
          <w:szCs w:val="24"/>
        </w:rPr>
        <w:t>(resp. menej podľa úväzku pokladníka).</w:t>
      </w:r>
    </w:p>
    <w:p w14:paraId="49F22BFE" w14:textId="04040E3A" w:rsidR="00624A26" w:rsidRPr="00624A26" w:rsidRDefault="00624A26" w:rsidP="00624A26">
      <w:pPr>
        <w:pStyle w:val="Odsekzoznamu"/>
        <w:numPr>
          <w:ilvl w:val="0"/>
          <w:numId w:val="4"/>
        </w:numPr>
        <w:spacing w:after="0" w:line="240" w:lineRule="auto"/>
        <w:jc w:val="both"/>
        <w:rPr>
          <w:rFonts w:ascii="Times New Roman" w:hAnsi="Times New Roman"/>
          <w:sz w:val="24"/>
          <w:szCs w:val="24"/>
        </w:rPr>
      </w:pPr>
      <w:r>
        <w:rPr>
          <w:rFonts w:ascii="Times New Roman" w:hAnsi="Times New Roman"/>
          <w:sz w:val="24"/>
          <w:szCs w:val="24"/>
        </w:rPr>
        <w:t xml:space="preserve">Ministerstvo financií SR aktívne sleduje náklady na výber súdnych poplatkov a správnych poplatkov. Ako optimálny cieľ nákladovosti k príjmom je stanovená hranica pod 5%. Napríklad v roku 2024 boli náklady na službu eKolok vo výške 8,3 mil. eur, pričom priemer rokov 2016 – 2023 bol 10,0 mil. eur ročne. </w:t>
      </w:r>
      <w:r w:rsidRPr="00624A26">
        <w:rPr>
          <w:rFonts w:ascii="Times New Roman" w:hAnsi="Times New Roman"/>
          <w:sz w:val="24"/>
          <w:szCs w:val="24"/>
        </w:rPr>
        <w:t xml:space="preserve">Ministerstvo financií SR považuje za primárny verejný záujem </w:t>
      </w:r>
      <w:r>
        <w:rPr>
          <w:rFonts w:ascii="Times New Roman" w:hAnsi="Times New Roman"/>
          <w:sz w:val="24"/>
          <w:szCs w:val="24"/>
        </w:rPr>
        <w:t>optimalizáciu verejných výdavkov, ako aj e</w:t>
      </w:r>
      <w:r w:rsidRPr="00624A26">
        <w:rPr>
          <w:rFonts w:ascii="Times New Roman" w:hAnsi="Times New Roman"/>
          <w:sz w:val="24"/>
          <w:szCs w:val="24"/>
        </w:rPr>
        <w:t>fektívnosť, účelnosť a hospodárnosť vynaložených finančných prostriedkov štátneho rozpočtu s ohľadom na konsolidáciu verejných financií</w:t>
      </w:r>
      <w:r>
        <w:rPr>
          <w:rFonts w:ascii="Times New Roman" w:hAnsi="Times New Roman"/>
          <w:sz w:val="24"/>
          <w:szCs w:val="24"/>
        </w:rPr>
        <w:t>.</w:t>
      </w:r>
    </w:p>
    <w:bookmarkEnd w:id="0"/>
    <w:p w14:paraId="142F5ADF" w14:textId="77777777" w:rsidR="00B20119" w:rsidRDefault="00B20119" w:rsidP="000D68A0">
      <w:pPr>
        <w:spacing w:after="0" w:line="240" w:lineRule="auto"/>
        <w:jc w:val="both"/>
        <w:rPr>
          <w:rFonts w:ascii="Times New Roman" w:hAnsi="Times New Roman"/>
          <w:sz w:val="24"/>
          <w:szCs w:val="24"/>
        </w:rPr>
      </w:pPr>
    </w:p>
    <w:p w14:paraId="6A6A70B5" w14:textId="42DA550F" w:rsidR="0072039F" w:rsidRPr="000761C2" w:rsidRDefault="0072039F" w:rsidP="000D68A0">
      <w:pPr>
        <w:spacing w:after="0" w:line="240" w:lineRule="auto"/>
        <w:jc w:val="both"/>
        <w:rPr>
          <w:rStyle w:val="Zstupntext"/>
          <w:color w:val="000000"/>
          <w:sz w:val="24"/>
          <w:szCs w:val="24"/>
        </w:rPr>
      </w:pPr>
      <w:r w:rsidRPr="000761C2">
        <w:rPr>
          <w:rStyle w:val="Zstupntext"/>
          <w:color w:val="000000"/>
          <w:sz w:val="24"/>
          <w:szCs w:val="24"/>
        </w:rPr>
        <w:t>Návrh zákona je v súlade s Ústavou Slovenskej republiky, ústavnými zákonmi, s nálezmi Ústavného súdu Slovenskej republiky, inými  právnymi predpismi Slovenskej republiky, medzinárodnými zmluvami a inými medzinárodnými dokumentmi, ktorými je Slovenská republika viazaná a</w:t>
      </w:r>
      <w:r>
        <w:rPr>
          <w:rStyle w:val="Zstupntext"/>
          <w:color w:val="000000"/>
          <w:sz w:val="24"/>
          <w:szCs w:val="24"/>
        </w:rPr>
        <w:t xml:space="preserve"> s </w:t>
      </w:r>
      <w:r w:rsidRPr="000761C2">
        <w:rPr>
          <w:rStyle w:val="Zstupntext"/>
          <w:color w:val="000000"/>
          <w:sz w:val="24"/>
          <w:szCs w:val="24"/>
        </w:rPr>
        <w:t>právom Európskej únie. Tento súlad je spracovaný formou doložky zlučiteľnosti.</w:t>
      </w:r>
    </w:p>
    <w:p w14:paraId="742AAF76" w14:textId="77777777" w:rsidR="000D68A0" w:rsidRDefault="000D68A0" w:rsidP="000D68A0">
      <w:pPr>
        <w:spacing w:after="0" w:line="240" w:lineRule="auto"/>
        <w:jc w:val="both"/>
        <w:rPr>
          <w:rFonts w:ascii="Times New Roman" w:hAnsi="Times New Roman"/>
          <w:sz w:val="24"/>
          <w:szCs w:val="24"/>
        </w:rPr>
      </w:pPr>
    </w:p>
    <w:p w14:paraId="59E84654" w14:textId="77777777" w:rsidR="000A3AFC" w:rsidRPr="00156869" w:rsidRDefault="000A3AFC" w:rsidP="000A3AFC">
      <w:pPr>
        <w:spacing w:after="0" w:line="240" w:lineRule="auto"/>
        <w:jc w:val="both"/>
        <w:rPr>
          <w:rFonts w:ascii="Times New Roman" w:hAnsi="Times New Roman"/>
          <w:sz w:val="24"/>
          <w:szCs w:val="24"/>
        </w:rPr>
      </w:pPr>
      <w:r w:rsidRPr="00597AA4">
        <w:rPr>
          <w:rFonts w:ascii="Times New Roman" w:hAnsi="Times New Roman"/>
          <w:sz w:val="24"/>
          <w:szCs w:val="24"/>
        </w:rPr>
        <w:t xml:space="preserve">Návrh zákona má dočasne negatívny vplyv na rozpočet verejnej správy, ktorý sa po </w:t>
      </w:r>
      <w:r>
        <w:rPr>
          <w:rFonts w:ascii="Times New Roman" w:hAnsi="Times New Roman"/>
          <w:sz w:val="24"/>
          <w:szCs w:val="24"/>
        </w:rPr>
        <w:t>insourcingu</w:t>
      </w:r>
      <w:r w:rsidRPr="00597AA4">
        <w:rPr>
          <w:rFonts w:ascii="Times New Roman" w:hAnsi="Times New Roman"/>
          <w:sz w:val="24"/>
          <w:szCs w:val="24"/>
        </w:rPr>
        <w:t xml:space="preserve"> činností spojených s úhradou súdnych poplatkov a správnych poplatkov pretaví do finančnej úspory pre štátny rozpočet (viď analýza vplyvov na rozpočet verejnej správy). Návrh má pozitívny vplyv na informatizáciu spoločnosti, nakoľko sa predpokladá dodanie nových komponentov </w:t>
      </w:r>
      <w:r w:rsidRPr="00BE7B1C">
        <w:rPr>
          <w:rFonts w:ascii="Times New Roman" w:hAnsi="Times New Roman"/>
          <w:sz w:val="24"/>
          <w:szCs w:val="24"/>
        </w:rPr>
        <w:t>informačných systémov Štátnej pokladnice</w:t>
      </w:r>
      <w:r w:rsidRPr="00597AA4">
        <w:rPr>
          <w:rFonts w:ascii="Times New Roman" w:hAnsi="Times New Roman"/>
          <w:sz w:val="24"/>
          <w:szCs w:val="24"/>
        </w:rPr>
        <w:t>, ktoré budú slúžiť na účely vedenia centrálne</w:t>
      </w:r>
      <w:r>
        <w:rPr>
          <w:rFonts w:ascii="Times New Roman" w:hAnsi="Times New Roman"/>
          <w:sz w:val="24"/>
          <w:szCs w:val="24"/>
        </w:rPr>
        <w:t>ho systému</w:t>
      </w:r>
      <w:r w:rsidRPr="00597AA4">
        <w:rPr>
          <w:rFonts w:ascii="Times New Roman" w:hAnsi="Times New Roman"/>
          <w:sz w:val="24"/>
          <w:szCs w:val="24"/>
        </w:rPr>
        <w:t xml:space="preserve"> evidencie poplatkov a zabezpečenie ich úhrad nielen v listinnej, ale aj elektronicky vybavovanej agende. Návrh </w:t>
      </w:r>
      <w:r>
        <w:rPr>
          <w:rFonts w:ascii="Times New Roman" w:hAnsi="Times New Roman"/>
          <w:sz w:val="24"/>
          <w:szCs w:val="24"/>
        </w:rPr>
        <w:t xml:space="preserve">zákona </w:t>
      </w:r>
      <w:r w:rsidRPr="00597AA4">
        <w:rPr>
          <w:rFonts w:ascii="Times New Roman" w:hAnsi="Times New Roman"/>
          <w:sz w:val="24"/>
          <w:szCs w:val="24"/>
        </w:rPr>
        <w:t>v sledovanom horizonte nemá vplyv na podnikateľské prostredie – výška samotných poplatkov sa návrhom nemení a Slovenská pošta</w:t>
      </w:r>
      <w:r>
        <w:rPr>
          <w:rFonts w:ascii="Times New Roman" w:hAnsi="Times New Roman"/>
          <w:sz w:val="24"/>
          <w:szCs w:val="24"/>
        </w:rPr>
        <w:t>, a. s.</w:t>
      </w:r>
      <w:r w:rsidRPr="00597AA4">
        <w:rPr>
          <w:rFonts w:ascii="Times New Roman" w:hAnsi="Times New Roman"/>
          <w:sz w:val="24"/>
          <w:szCs w:val="24"/>
        </w:rPr>
        <w:t xml:space="preserve"> má zabezpečený kontrakt do apríla 2029</w:t>
      </w:r>
      <w:r>
        <w:rPr>
          <w:rFonts w:ascii="Times New Roman" w:hAnsi="Times New Roman"/>
          <w:sz w:val="24"/>
          <w:szCs w:val="24"/>
        </w:rPr>
        <w:t>,</w:t>
      </w:r>
      <w:r w:rsidRPr="00597AA4">
        <w:rPr>
          <w:rFonts w:ascii="Times New Roman" w:hAnsi="Times New Roman"/>
          <w:sz w:val="24"/>
          <w:szCs w:val="24"/>
        </w:rPr>
        <w:t xml:space="preserve"> s možnosťou jeho predĺženia až o ďalších päť rokov. </w:t>
      </w:r>
      <w:r>
        <w:rPr>
          <w:rFonts w:ascii="Times New Roman" w:hAnsi="Times New Roman"/>
          <w:sz w:val="24"/>
          <w:szCs w:val="24"/>
        </w:rPr>
        <w:t xml:space="preserve">Návrh zákona má pozitívny vplyv </w:t>
      </w:r>
      <w:r w:rsidRPr="00597AA4">
        <w:rPr>
          <w:rFonts w:ascii="Times New Roman" w:hAnsi="Times New Roman"/>
          <w:sz w:val="24"/>
          <w:szCs w:val="24"/>
        </w:rPr>
        <w:t>na služby verejnej správy pre občana</w:t>
      </w:r>
      <w:r>
        <w:rPr>
          <w:rFonts w:ascii="Times New Roman" w:hAnsi="Times New Roman"/>
          <w:sz w:val="24"/>
          <w:szCs w:val="24"/>
        </w:rPr>
        <w:t xml:space="preserve">. </w:t>
      </w:r>
      <w:r w:rsidRPr="00597AA4">
        <w:rPr>
          <w:rFonts w:ascii="Times New Roman" w:hAnsi="Times New Roman"/>
          <w:sz w:val="24"/>
          <w:szCs w:val="24"/>
        </w:rPr>
        <w:t xml:space="preserve">Návrh zákona nemá sociálne vplyvy, vplyvy na životné prostredie, </w:t>
      </w:r>
      <w:r>
        <w:rPr>
          <w:rFonts w:ascii="Times New Roman" w:hAnsi="Times New Roman"/>
          <w:sz w:val="24"/>
          <w:szCs w:val="24"/>
        </w:rPr>
        <w:t xml:space="preserve">ani </w:t>
      </w:r>
      <w:r w:rsidRPr="00597AA4">
        <w:rPr>
          <w:rFonts w:ascii="Times New Roman" w:hAnsi="Times New Roman"/>
          <w:sz w:val="24"/>
          <w:szCs w:val="24"/>
        </w:rPr>
        <w:t>vplyvy na manželstvo, rodičovstvo a rodinu.</w:t>
      </w:r>
    </w:p>
    <w:p w14:paraId="193DBF19" w14:textId="5DB8282E" w:rsidR="0045321D" w:rsidRDefault="0045321D" w:rsidP="000A3AFC">
      <w:pPr>
        <w:pStyle w:val="Normlnywebov"/>
        <w:spacing w:before="0" w:beforeAutospacing="0" w:after="0" w:afterAutospacing="0"/>
        <w:jc w:val="both"/>
      </w:pPr>
    </w:p>
    <w:p w14:paraId="16D16FFD" w14:textId="77777777" w:rsidR="00BD372F" w:rsidRDefault="00BD372F" w:rsidP="00BD372F">
      <w:pPr>
        <w:spacing w:after="0" w:line="240" w:lineRule="auto"/>
        <w:jc w:val="center"/>
        <w:rPr>
          <w:rFonts w:ascii="Times New Roman" w:hAnsi="Times New Roman"/>
          <w:b/>
          <w:sz w:val="28"/>
          <w:szCs w:val="28"/>
          <w:lang w:eastAsia="sk-SK"/>
        </w:rPr>
      </w:pPr>
    </w:p>
    <w:p w14:paraId="5AB9D16E" w14:textId="77777777" w:rsidR="00BD372F" w:rsidRDefault="00BD372F" w:rsidP="00BD372F">
      <w:pPr>
        <w:spacing w:after="0" w:line="240" w:lineRule="auto"/>
        <w:jc w:val="center"/>
        <w:rPr>
          <w:rFonts w:ascii="Times New Roman" w:hAnsi="Times New Roman"/>
          <w:b/>
          <w:sz w:val="28"/>
          <w:szCs w:val="28"/>
          <w:lang w:eastAsia="sk-SK"/>
        </w:rPr>
      </w:pPr>
    </w:p>
    <w:p w14:paraId="28B20F02" w14:textId="77777777" w:rsidR="00BD372F" w:rsidRDefault="00BD372F" w:rsidP="00BD372F">
      <w:pPr>
        <w:spacing w:after="0" w:line="240" w:lineRule="auto"/>
        <w:jc w:val="center"/>
        <w:rPr>
          <w:rFonts w:ascii="Times New Roman" w:hAnsi="Times New Roman"/>
          <w:b/>
          <w:sz w:val="28"/>
          <w:szCs w:val="28"/>
          <w:lang w:eastAsia="sk-SK"/>
        </w:rPr>
      </w:pPr>
    </w:p>
    <w:p w14:paraId="7C7F6091" w14:textId="77777777" w:rsidR="00BD372F" w:rsidRDefault="00BD372F" w:rsidP="00BD372F">
      <w:pPr>
        <w:spacing w:after="0" w:line="240" w:lineRule="auto"/>
        <w:jc w:val="center"/>
        <w:rPr>
          <w:rFonts w:ascii="Times New Roman" w:hAnsi="Times New Roman"/>
          <w:b/>
          <w:sz w:val="28"/>
          <w:szCs w:val="28"/>
          <w:lang w:eastAsia="sk-SK"/>
        </w:rPr>
      </w:pPr>
    </w:p>
    <w:p w14:paraId="0A4464BA" w14:textId="77777777" w:rsidR="00BD372F" w:rsidRDefault="00BD372F" w:rsidP="00BD372F">
      <w:pPr>
        <w:spacing w:after="0" w:line="240" w:lineRule="auto"/>
        <w:jc w:val="center"/>
        <w:rPr>
          <w:rFonts w:ascii="Times New Roman" w:hAnsi="Times New Roman"/>
          <w:b/>
          <w:sz w:val="28"/>
          <w:szCs w:val="28"/>
          <w:lang w:eastAsia="sk-SK"/>
        </w:rPr>
      </w:pPr>
    </w:p>
    <w:p w14:paraId="0340E2F1" w14:textId="77777777" w:rsidR="00BD372F" w:rsidRDefault="00BD372F" w:rsidP="00BD372F">
      <w:pPr>
        <w:spacing w:after="0" w:line="240" w:lineRule="auto"/>
        <w:jc w:val="center"/>
        <w:rPr>
          <w:rFonts w:ascii="Times New Roman" w:hAnsi="Times New Roman"/>
          <w:b/>
          <w:sz w:val="28"/>
          <w:szCs w:val="28"/>
          <w:lang w:eastAsia="sk-SK"/>
        </w:rPr>
      </w:pPr>
    </w:p>
    <w:p w14:paraId="4EB7D06A" w14:textId="77777777" w:rsidR="00BD372F" w:rsidRDefault="00BD372F" w:rsidP="00BD372F">
      <w:pPr>
        <w:spacing w:after="0" w:line="240" w:lineRule="auto"/>
        <w:jc w:val="center"/>
        <w:rPr>
          <w:rFonts w:ascii="Times New Roman" w:hAnsi="Times New Roman"/>
          <w:b/>
          <w:sz w:val="28"/>
          <w:szCs w:val="28"/>
          <w:lang w:eastAsia="sk-SK"/>
        </w:rPr>
      </w:pPr>
    </w:p>
    <w:p w14:paraId="7DB216AB" w14:textId="6B4EF271" w:rsidR="00BD372F" w:rsidRPr="00BD372F" w:rsidRDefault="00BD372F" w:rsidP="00BD372F">
      <w:pPr>
        <w:spacing w:after="0" w:line="240" w:lineRule="auto"/>
        <w:jc w:val="center"/>
        <w:rPr>
          <w:rFonts w:ascii="Times New Roman" w:hAnsi="Times New Roman"/>
          <w:b/>
          <w:sz w:val="28"/>
          <w:szCs w:val="28"/>
          <w:lang w:eastAsia="sk-SK"/>
        </w:rPr>
      </w:pPr>
      <w:r w:rsidRPr="00BD372F">
        <w:rPr>
          <w:rFonts w:ascii="Times New Roman" w:hAnsi="Times New Roman"/>
          <w:b/>
          <w:sz w:val="28"/>
          <w:szCs w:val="28"/>
          <w:lang w:eastAsia="sk-SK"/>
        </w:rPr>
        <w:lastRenderedPageBreak/>
        <w:t>Doložka vybraných vplyvov</w:t>
      </w:r>
    </w:p>
    <w:p w14:paraId="341C9303" w14:textId="77777777" w:rsidR="00BD372F" w:rsidRPr="00BD372F" w:rsidRDefault="00BD372F" w:rsidP="00BD372F">
      <w:pPr>
        <w:spacing w:after="0" w:line="240" w:lineRule="auto"/>
        <w:jc w:val="center"/>
        <w:rPr>
          <w:rFonts w:ascii="Times New Roman" w:hAnsi="Times New Roman"/>
          <w:b/>
          <w:sz w:val="28"/>
          <w:szCs w:val="28"/>
          <w:lang w:eastAsia="sk-SK"/>
        </w:rPr>
      </w:pPr>
    </w:p>
    <w:p w14:paraId="47409B5A" w14:textId="77777777" w:rsidR="00BD372F" w:rsidRPr="00BD372F" w:rsidRDefault="00BD372F" w:rsidP="00BD372F">
      <w:pPr>
        <w:ind w:left="426"/>
        <w:contextualSpacing/>
        <w:rPr>
          <w:rFonts w:ascii="Calibri" w:eastAsia="Calibri" w:hAnsi="Calibri"/>
          <w:b/>
          <w:szCs w:val="22"/>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BD372F" w:rsidRPr="00BD372F" w14:paraId="26D2DC9B" w14:textId="77777777" w:rsidTr="00154BAB">
        <w:tc>
          <w:tcPr>
            <w:tcW w:w="9180" w:type="dxa"/>
            <w:gridSpan w:val="11"/>
            <w:tcBorders>
              <w:bottom w:val="single" w:sz="4" w:space="0" w:color="FFFFFF"/>
            </w:tcBorders>
            <w:shd w:val="clear" w:color="auto" w:fill="E2E2E2"/>
          </w:tcPr>
          <w:p w14:paraId="1494AD8E" w14:textId="77777777" w:rsidR="00BD372F" w:rsidRPr="00BD372F" w:rsidRDefault="00BD372F" w:rsidP="00BD372F">
            <w:pPr>
              <w:numPr>
                <w:ilvl w:val="0"/>
                <w:numId w:val="6"/>
              </w:numPr>
              <w:spacing w:after="0" w:line="240" w:lineRule="auto"/>
              <w:ind w:left="426"/>
              <w:contextualSpacing/>
              <w:rPr>
                <w:rFonts w:ascii="Times New Roman" w:hAnsi="Times New Roman"/>
                <w:b/>
                <w:szCs w:val="22"/>
              </w:rPr>
            </w:pPr>
            <w:r w:rsidRPr="00BD372F">
              <w:rPr>
                <w:rFonts w:ascii="Times New Roman" w:hAnsi="Times New Roman"/>
                <w:b/>
                <w:szCs w:val="22"/>
              </w:rPr>
              <w:t>Základné údaje</w:t>
            </w:r>
          </w:p>
        </w:tc>
      </w:tr>
      <w:tr w:rsidR="00BD372F" w:rsidRPr="00BD372F" w14:paraId="1B3804F9" w14:textId="77777777" w:rsidTr="00154BAB">
        <w:tc>
          <w:tcPr>
            <w:tcW w:w="9180" w:type="dxa"/>
            <w:gridSpan w:val="11"/>
            <w:tcBorders>
              <w:bottom w:val="single" w:sz="4" w:space="0" w:color="FFFFFF"/>
            </w:tcBorders>
            <w:shd w:val="clear" w:color="auto" w:fill="E2E2E2"/>
          </w:tcPr>
          <w:p w14:paraId="0265ECBF" w14:textId="77777777" w:rsidR="00BD372F" w:rsidRPr="00BD372F" w:rsidRDefault="00BD372F" w:rsidP="00BD372F">
            <w:pPr>
              <w:ind w:left="142"/>
              <w:contextualSpacing/>
              <w:rPr>
                <w:rFonts w:ascii="Times New Roman" w:hAnsi="Times New Roman"/>
                <w:b/>
                <w:szCs w:val="22"/>
              </w:rPr>
            </w:pPr>
            <w:r w:rsidRPr="00BD372F">
              <w:rPr>
                <w:rFonts w:ascii="Times New Roman" w:hAnsi="Times New Roman"/>
                <w:b/>
                <w:szCs w:val="22"/>
              </w:rPr>
              <w:t>Názov materiálu</w:t>
            </w:r>
          </w:p>
        </w:tc>
      </w:tr>
      <w:tr w:rsidR="00BD372F" w:rsidRPr="00BD372F" w14:paraId="2365DED5" w14:textId="77777777" w:rsidTr="00154BAB">
        <w:tc>
          <w:tcPr>
            <w:tcW w:w="9180" w:type="dxa"/>
            <w:gridSpan w:val="11"/>
            <w:tcBorders>
              <w:top w:val="single" w:sz="4" w:space="0" w:color="FFFFFF"/>
              <w:bottom w:val="single" w:sz="4" w:space="0" w:color="auto"/>
            </w:tcBorders>
          </w:tcPr>
          <w:p w14:paraId="4F239708" w14:textId="77777777" w:rsidR="00BD372F" w:rsidRPr="00BD372F" w:rsidRDefault="00BD372F" w:rsidP="00BD372F">
            <w:pPr>
              <w:spacing w:after="0" w:line="240" w:lineRule="auto"/>
              <w:rPr>
                <w:rFonts w:ascii="Times New Roman" w:hAnsi="Times New Roman"/>
                <w:sz w:val="20"/>
                <w:szCs w:val="20"/>
                <w:lang w:eastAsia="sk-SK"/>
              </w:rPr>
            </w:pPr>
            <w:r w:rsidRPr="00BD372F">
              <w:rPr>
                <w:rFonts w:ascii="Times New Roman" w:hAnsi="Times New Roman"/>
                <w:sz w:val="20"/>
                <w:szCs w:val="20"/>
                <w:lang w:eastAsia="sk-SK"/>
              </w:rPr>
              <w:t>Návrh zákona, ktorým sa mení a dopĺňa zákon Slovenskej národnej rady č. 71/1992 Zb. o súdnych poplatkoch a poplatku za výpis z registra trestov v znení neskorších predpisov a ktorým sa menia a dopĺňajú niektoré zákony.</w:t>
            </w:r>
          </w:p>
        </w:tc>
      </w:tr>
      <w:tr w:rsidR="00BD372F" w:rsidRPr="00BD372F" w14:paraId="3CB54BDA" w14:textId="77777777" w:rsidTr="00154BAB">
        <w:tc>
          <w:tcPr>
            <w:tcW w:w="9180" w:type="dxa"/>
            <w:gridSpan w:val="11"/>
            <w:tcBorders>
              <w:top w:val="single" w:sz="4" w:space="0" w:color="auto"/>
              <w:left w:val="single" w:sz="4" w:space="0" w:color="auto"/>
              <w:bottom w:val="single" w:sz="4" w:space="0" w:color="FFFFFF"/>
            </w:tcBorders>
            <w:shd w:val="clear" w:color="auto" w:fill="E2E2E2"/>
          </w:tcPr>
          <w:p w14:paraId="16224B74" w14:textId="77777777" w:rsidR="00BD372F" w:rsidRPr="00BD372F" w:rsidRDefault="00BD372F" w:rsidP="00BD372F">
            <w:pPr>
              <w:ind w:left="142"/>
              <w:contextualSpacing/>
              <w:rPr>
                <w:rFonts w:ascii="Times New Roman" w:hAnsi="Times New Roman"/>
                <w:b/>
                <w:szCs w:val="22"/>
              </w:rPr>
            </w:pPr>
            <w:r w:rsidRPr="00BD372F">
              <w:rPr>
                <w:rFonts w:ascii="Times New Roman" w:hAnsi="Times New Roman"/>
                <w:b/>
                <w:szCs w:val="22"/>
              </w:rPr>
              <w:t>Predkladateľ (a spolupredkladateľ)</w:t>
            </w:r>
          </w:p>
        </w:tc>
      </w:tr>
      <w:tr w:rsidR="00BD372F" w:rsidRPr="00BD372F" w14:paraId="542CAAF6" w14:textId="77777777" w:rsidTr="00154BAB">
        <w:tc>
          <w:tcPr>
            <w:tcW w:w="9180" w:type="dxa"/>
            <w:gridSpan w:val="11"/>
            <w:tcBorders>
              <w:top w:val="single" w:sz="4" w:space="0" w:color="FFFFFF"/>
              <w:left w:val="single" w:sz="4" w:space="0" w:color="auto"/>
              <w:bottom w:val="single" w:sz="4" w:space="0" w:color="auto"/>
            </w:tcBorders>
            <w:shd w:val="clear" w:color="auto" w:fill="FFFFFF"/>
          </w:tcPr>
          <w:p w14:paraId="122BB234" w14:textId="77777777" w:rsidR="00BD372F" w:rsidRPr="00BD372F" w:rsidRDefault="00BD372F" w:rsidP="00BD372F">
            <w:pPr>
              <w:spacing w:after="0" w:line="240" w:lineRule="auto"/>
              <w:rPr>
                <w:rFonts w:ascii="Times New Roman" w:hAnsi="Times New Roman"/>
                <w:sz w:val="20"/>
                <w:szCs w:val="20"/>
                <w:lang w:eastAsia="sk-SK"/>
              </w:rPr>
            </w:pPr>
            <w:r w:rsidRPr="00BD372F">
              <w:rPr>
                <w:rFonts w:ascii="Times New Roman" w:hAnsi="Times New Roman"/>
                <w:sz w:val="20"/>
                <w:szCs w:val="20"/>
                <w:lang w:eastAsia="sk-SK"/>
              </w:rPr>
              <w:t>Ministerstvo financií Slovenskej republiky</w:t>
            </w:r>
          </w:p>
          <w:p w14:paraId="31603DB9" w14:textId="77777777" w:rsidR="00BD372F" w:rsidRPr="00BD372F" w:rsidRDefault="00BD372F" w:rsidP="00BD372F">
            <w:pPr>
              <w:spacing w:after="0" w:line="240" w:lineRule="auto"/>
              <w:rPr>
                <w:rFonts w:ascii="Times New Roman" w:hAnsi="Times New Roman"/>
                <w:sz w:val="20"/>
                <w:szCs w:val="20"/>
                <w:lang w:eastAsia="sk-SK"/>
              </w:rPr>
            </w:pPr>
          </w:p>
        </w:tc>
      </w:tr>
      <w:tr w:rsidR="00BD372F" w:rsidRPr="00BD372F" w14:paraId="18C2D85E" w14:textId="77777777" w:rsidTr="00154BAB">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50A78784" w14:textId="77777777" w:rsidR="00BD372F" w:rsidRPr="00BD372F" w:rsidRDefault="00BD372F" w:rsidP="00BD372F">
            <w:pPr>
              <w:ind w:left="142"/>
              <w:contextualSpacing/>
              <w:rPr>
                <w:rFonts w:ascii="Times New Roman" w:hAnsi="Times New Roman"/>
                <w:b/>
                <w:szCs w:val="22"/>
              </w:rPr>
            </w:pPr>
            <w:r w:rsidRPr="00BD372F">
              <w:rPr>
                <w:rFonts w:ascii="Times New Roman" w:hAnsi="Times New Roman"/>
                <w:b/>
                <w:szCs w:val="22"/>
              </w:rPr>
              <w:t>Charakter predkladaného materiálu</w:t>
            </w:r>
          </w:p>
        </w:tc>
        <w:sdt>
          <w:sdtPr>
            <w:rPr>
              <w:rFonts w:ascii="Times New Roman" w:hAnsi="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4606BF39"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Segoe UI Symbol" w:hAnsi="Segoe UI Symbol" w:cs="Segoe UI Symbol"/>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0BE2D99B" w14:textId="77777777" w:rsidR="00BD372F" w:rsidRPr="00BD372F" w:rsidRDefault="00BD372F" w:rsidP="00BD372F">
            <w:pPr>
              <w:spacing w:after="0" w:line="240" w:lineRule="auto"/>
              <w:rPr>
                <w:rFonts w:ascii="Times New Roman" w:hAnsi="Times New Roman"/>
                <w:sz w:val="20"/>
                <w:szCs w:val="20"/>
                <w:lang w:eastAsia="sk-SK"/>
              </w:rPr>
            </w:pPr>
            <w:r w:rsidRPr="00BD372F">
              <w:rPr>
                <w:rFonts w:ascii="Times New Roman" w:hAnsi="Times New Roman"/>
                <w:sz w:val="20"/>
                <w:szCs w:val="20"/>
                <w:lang w:eastAsia="sk-SK"/>
              </w:rPr>
              <w:t>Materiál nelegislatívnej povahy</w:t>
            </w:r>
          </w:p>
        </w:tc>
      </w:tr>
      <w:tr w:rsidR="00BD372F" w:rsidRPr="00BD372F" w14:paraId="3E467E11" w14:textId="77777777" w:rsidTr="00154BAB">
        <w:tc>
          <w:tcPr>
            <w:tcW w:w="4212" w:type="dxa"/>
            <w:gridSpan w:val="2"/>
            <w:vMerge/>
            <w:tcBorders>
              <w:top w:val="nil"/>
              <w:left w:val="single" w:sz="4" w:space="0" w:color="auto"/>
              <w:bottom w:val="single" w:sz="4" w:space="0" w:color="FFFFFF"/>
            </w:tcBorders>
            <w:shd w:val="clear" w:color="auto" w:fill="E2E2E2"/>
          </w:tcPr>
          <w:p w14:paraId="05F34573" w14:textId="77777777" w:rsidR="00BD372F" w:rsidRPr="00BD372F" w:rsidRDefault="00BD372F" w:rsidP="00BD372F">
            <w:pPr>
              <w:spacing w:after="0" w:line="240" w:lineRule="auto"/>
              <w:rPr>
                <w:rFonts w:ascii="Times New Roman" w:hAnsi="Times New Roman"/>
                <w:sz w:val="20"/>
                <w:szCs w:val="20"/>
                <w:lang w:eastAsia="sk-SK"/>
              </w:rPr>
            </w:pPr>
          </w:p>
        </w:tc>
        <w:sdt>
          <w:sdtPr>
            <w:rPr>
              <w:rFonts w:ascii="Times New Roman" w:hAnsi="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60BC0233"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Segoe UI Symbol" w:hAnsi="Segoe UI Symbol" w:cs="Segoe UI Symbol"/>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27AD4BED" w14:textId="77777777" w:rsidR="00BD372F" w:rsidRPr="00BD372F" w:rsidRDefault="00BD372F" w:rsidP="00BD372F">
            <w:pPr>
              <w:spacing w:after="0" w:line="240" w:lineRule="auto"/>
              <w:ind w:left="175" w:hanging="175"/>
              <w:rPr>
                <w:rFonts w:ascii="Times New Roman" w:hAnsi="Times New Roman"/>
                <w:sz w:val="20"/>
                <w:szCs w:val="20"/>
                <w:lang w:eastAsia="sk-SK"/>
              </w:rPr>
            </w:pPr>
            <w:r w:rsidRPr="00BD372F">
              <w:rPr>
                <w:rFonts w:ascii="Times New Roman" w:hAnsi="Times New Roman"/>
                <w:sz w:val="20"/>
                <w:szCs w:val="20"/>
                <w:lang w:eastAsia="sk-SK"/>
              </w:rPr>
              <w:t>Materiál legislatívnej povahy</w:t>
            </w:r>
          </w:p>
        </w:tc>
      </w:tr>
      <w:tr w:rsidR="00BD372F" w:rsidRPr="00BD372F" w14:paraId="4C44629C" w14:textId="77777777" w:rsidTr="00154BAB">
        <w:tc>
          <w:tcPr>
            <w:tcW w:w="4212" w:type="dxa"/>
            <w:gridSpan w:val="2"/>
            <w:vMerge/>
            <w:tcBorders>
              <w:top w:val="nil"/>
              <w:left w:val="single" w:sz="4" w:space="0" w:color="auto"/>
              <w:bottom w:val="single" w:sz="4" w:space="0" w:color="auto"/>
            </w:tcBorders>
            <w:shd w:val="clear" w:color="auto" w:fill="E2E2E2"/>
          </w:tcPr>
          <w:p w14:paraId="315F2A25" w14:textId="77777777" w:rsidR="00BD372F" w:rsidRPr="00BD372F" w:rsidRDefault="00BD372F" w:rsidP="00BD372F">
            <w:pPr>
              <w:spacing w:after="0" w:line="240" w:lineRule="auto"/>
              <w:rPr>
                <w:rFonts w:ascii="Times New Roman" w:hAnsi="Times New Roman"/>
                <w:sz w:val="20"/>
                <w:szCs w:val="20"/>
                <w:lang w:eastAsia="sk-SK"/>
              </w:rPr>
            </w:pPr>
          </w:p>
        </w:tc>
        <w:sdt>
          <w:sdtPr>
            <w:rPr>
              <w:rFonts w:ascii="Times New Roman" w:hAnsi="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2AE08A5C"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Segoe UI Symbol" w:hAnsi="Segoe UI Symbol" w:cs="Segoe UI Symbol"/>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0328B8C0" w14:textId="77777777" w:rsidR="00BD372F" w:rsidRPr="00BD372F" w:rsidRDefault="00BD372F" w:rsidP="00BD372F">
            <w:pPr>
              <w:spacing w:after="0" w:line="240" w:lineRule="auto"/>
              <w:rPr>
                <w:rFonts w:ascii="Times New Roman" w:hAnsi="Times New Roman"/>
                <w:sz w:val="20"/>
                <w:szCs w:val="20"/>
                <w:lang w:eastAsia="sk-SK"/>
              </w:rPr>
            </w:pPr>
            <w:r w:rsidRPr="00BD372F">
              <w:rPr>
                <w:rFonts w:ascii="Times New Roman" w:hAnsi="Times New Roman"/>
                <w:sz w:val="20"/>
                <w:szCs w:val="20"/>
                <w:lang w:eastAsia="sk-SK"/>
              </w:rPr>
              <w:t>Transpozícia/ implementácia práva EÚ</w:t>
            </w:r>
          </w:p>
        </w:tc>
      </w:tr>
      <w:tr w:rsidR="00BD372F" w:rsidRPr="00BD372F" w14:paraId="5E614912" w14:textId="77777777" w:rsidTr="00154BAB">
        <w:tc>
          <w:tcPr>
            <w:tcW w:w="9180" w:type="dxa"/>
            <w:gridSpan w:val="11"/>
            <w:tcBorders>
              <w:top w:val="single" w:sz="4" w:space="0" w:color="auto"/>
              <w:left w:val="single" w:sz="4" w:space="0" w:color="auto"/>
              <w:bottom w:val="single" w:sz="4" w:space="0" w:color="FFFFFF"/>
            </w:tcBorders>
            <w:shd w:val="clear" w:color="auto" w:fill="FFFFFF"/>
          </w:tcPr>
          <w:p w14:paraId="7687D1BD" w14:textId="77777777" w:rsidR="00BD372F" w:rsidRPr="00BD372F" w:rsidRDefault="00BD372F" w:rsidP="00BD372F">
            <w:pPr>
              <w:spacing w:after="0" w:line="240" w:lineRule="auto"/>
              <w:rPr>
                <w:rFonts w:ascii="Times New Roman" w:hAnsi="Times New Roman"/>
                <w:i/>
                <w:sz w:val="20"/>
                <w:szCs w:val="20"/>
                <w:lang w:eastAsia="sk-SK"/>
              </w:rPr>
            </w:pPr>
            <w:r w:rsidRPr="00BD372F">
              <w:rPr>
                <w:rFonts w:ascii="Times New Roman" w:hAnsi="Times New Roman"/>
                <w:i/>
                <w:sz w:val="20"/>
                <w:szCs w:val="20"/>
                <w:lang w:eastAsia="sk-SK"/>
              </w:rPr>
              <w:t>V prípade transpozície/implementácie uveďte zoznam transponovaných/implementovaných predpisov:</w:t>
            </w:r>
          </w:p>
          <w:p w14:paraId="5386330D" w14:textId="77777777" w:rsidR="00BD372F" w:rsidRPr="00BD372F" w:rsidRDefault="00BD372F" w:rsidP="00BD372F">
            <w:pPr>
              <w:spacing w:after="0" w:line="240" w:lineRule="auto"/>
              <w:jc w:val="both"/>
              <w:rPr>
                <w:rFonts w:ascii="Times New Roman" w:hAnsi="Times New Roman"/>
                <w:sz w:val="20"/>
                <w:szCs w:val="20"/>
                <w:lang w:eastAsia="sk-SK"/>
              </w:rPr>
            </w:pPr>
            <w:r w:rsidRPr="00BD372F">
              <w:rPr>
                <w:rFonts w:ascii="Times New Roman" w:hAnsi="Times New Roman"/>
                <w:iCs/>
                <w:sz w:val="20"/>
                <w:szCs w:val="20"/>
                <w:lang w:eastAsia="sk-SK"/>
              </w:rPr>
              <w:t>Smernica Európskeho parlamentu a Rady (EÚ) 2017/1132 zo 14. júna 2017 týkajúca sa niektorých aspektov práva obchodných spoločností (kodifikované znenie) (Ú. v. EÚ L 169, 30.6.2017).</w:t>
            </w:r>
          </w:p>
        </w:tc>
      </w:tr>
      <w:tr w:rsidR="00BD372F" w:rsidRPr="00BD372F" w14:paraId="09508107" w14:textId="77777777" w:rsidTr="00154BAB">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553D1F17" w14:textId="77777777" w:rsidR="00BD372F" w:rsidRPr="00BD372F" w:rsidRDefault="00BD372F" w:rsidP="00BD372F">
            <w:pPr>
              <w:ind w:left="142"/>
              <w:contextualSpacing/>
              <w:rPr>
                <w:rFonts w:ascii="Times New Roman" w:hAnsi="Times New Roman"/>
                <w:b/>
                <w:szCs w:val="22"/>
              </w:rPr>
            </w:pPr>
            <w:r w:rsidRPr="00BD372F">
              <w:rPr>
                <w:rFonts w:ascii="Times New Roman" w:hAnsi="Times New Roman"/>
                <w:b/>
                <w:szCs w:val="22"/>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24DE903F" w14:textId="77777777" w:rsidR="00BD372F" w:rsidRPr="00BD372F" w:rsidRDefault="00BD372F" w:rsidP="00BD372F">
            <w:pPr>
              <w:spacing w:after="0" w:line="240" w:lineRule="auto"/>
              <w:rPr>
                <w:rFonts w:ascii="Times New Roman" w:hAnsi="Times New Roman"/>
                <w:i/>
                <w:sz w:val="20"/>
                <w:szCs w:val="20"/>
                <w:lang w:eastAsia="sk-SK"/>
              </w:rPr>
            </w:pPr>
            <w:r w:rsidRPr="00BD372F">
              <w:rPr>
                <w:rFonts w:ascii="Times New Roman" w:hAnsi="Times New Roman"/>
                <w:i/>
                <w:sz w:val="20"/>
                <w:szCs w:val="20"/>
                <w:lang w:eastAsia="sk-SK"/>
              </w:rPr>
              <w:t>20. 2. 2025 – 6. 3. 2025</w:t>
            </w:r>
          </w:p>
        </w:tc>
      </w:tr>
      <w:tr w:rsidR="00BD372F" w:rsidRPr="00BD372F" w14:paraId="51B01BD5" w14:textId="77777777" w:rsidTr="00154BAB">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7072AF99" w14:textId="77777777" w:rsidR="00BD372F" w:rsidRPr="00BD372F" w:rsidRDefault="00BD372F" w:rsidP="00BD372F">
            <w:pPr>
              <w:ind w:left="142"/>
              <w:contextualSpacing/>
              <w:rPr>
                <w:rFonts w:ascii="Times New Roman" w:hAnsi="Times New Roman"/>
                <w:b/>
                <w:szCs w:val="22"/>
              </w:rPr>
            </w:pPr>
            <w:r w:rsidRPr="00BD372F">
              <w:rPr>
                <w:rFonts w:ascii="Times New Roman" w:hAnsi="Times New Roman"/>
                <w:b/>
                <w:szCs w:val="22"/>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7AC77A6A" w14:textId="77777777" w:rsidR="00BD372F" w:rsidRPr="00BD372F" w:rsidRDefault="00BD372F" w:rsidP="00BD372F">
            <w:pPr>
              <w:spacing w:after="0" w:line="240" w:lineRule="auto"/>
              <w:rPr>
                <w:rFonts w:ascii="Times New Roman" w:hAnsi="Times New Roman"/>
                <w:i/>
                <w:sz w:val="20"/>
                <w:szCs w:val="20"/>
                <w:lang w:eastAsia="sk-SK"/>
              </w:rPr>
            </w:pPr>
            <w:r w:rsidRPr="00BD372F">
              <w:rPr>
                <w:rFonts w:ascii="Times New Roman" w:hAnsi="Times New Roman"/>
                <w:i/>
                <w:sz w:val="20"/>
                <w:szCs w:val="20"/>
                <w:lang w:eastAsia="sk-SK"/>
              </w:rPr>
              <w:t>marec 2025</w:t>
            </w:r>
          </w:p>
        </w:tc>
      </w:tr>
      <w:tr w:rsidR="00BD372F" w:rsidRPr="00BD372F" w14:paraId="391CD9E1" w14:textId="77777777" w:rsidTr="00154BA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6C28A6CC" w14:textId="77777777" w:rsidR="00BD372F" w:rsidRPr="00BD372F" w:rsidRDefault="00BD372F" w:rsidP="00BD372F">
            <w:pPr>
              <w:spacing w:after="0"/>
              <w:ind w:left="142"/>
              <w:contextualSpacing/>
              <w:rPr>
                <w:rFonts w:ascii="Calibri" w:hAnsi="Calibri"/>
                <w:b/>
                <w:szCs w:val="22"/>
              </w:rPr>
            </w:pPr>
            <w:r w:rsidRPr="00BD372F">
              <w:rPr>
                <w:rFonts w:ascii="Times New Roman" w:hAnsi="Times New Roman"/>
                <w:b/>
                <w:szCs w:val="22"/>
              </w:rPr>
              <w:t>Predpokladaný termín začiatku a ukončenia ZP**</w:t>
            </w:r>
            <w:r w:rsidRPr="00BD372F">
              <w:rPr>
                <w:rFonts w:ascii="Calibri" w:hAnsi="Calibri"/>
                <w:b/>
                <w:szCs w:val="22"/>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6E93D9F1" w14:textId="77777777" w:rsidR="00BD372F" w:rsidRPr="00BD372F" w:rsidRDefault="00BD372F" w:rsidP="00BD372F">
            <w:pPr>
              <w:spacing w:after="0" w:line="240" w:lineRule="auto"/>
              <w:rPr>
                <w:rFonts w:ascii="Times New Roman" w:hAnsi="Times New Roman"/>
                <w:i/>
                <w:sz w:val="20"/>
                <w:szCs w:val="20"/>
                <w:lang w:eastAsia="sk-SK"/>
              </w:rPr>
            </w:pPr>
          </w:p>
        </w:tc>
      </w:tr>
      <w:tr w:rsidR="00BD372F" w:rsidRPr="00BD372F" w14:paraId="59C627F1" w14:textId="77777777" w:rsidTr="00154BAB">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22DF52CC" w14:textId="77777777" w:rsidR="00BD372F" w:rsidRPr="00BD372F" w:rsidRDefault="00BD372F" w:rsidP="00BD372F">
            <w:pPr>
              <w:ind w:left="142"/>
              <w:contextualSpacing/>
              <w:jc w:val="both"/>
              <w:rPr>
                <w:rFonts w:ascii="Times New Roman" w:hAnsi="Times New Roman"/>
                <w:b/>
                <w:szCs w:val="22"/>
              </w:rPr>
            </w:pPr>
            <w:r w:rsidRPr="00BD372F">
              <w:rPr>
                <w:rFonts w:ascii="Times New Roman" w:hAnsi="Times New Roman"/>
                <w:b/>
                <w:szCs w:val="22"/>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6C782F94" w14:textId="77777777" w:rsidR="00BD372F" w:rsidRPr="00BD372F" w:rsidRDefault="00BD372F" w:rsidP="00BD372F">
            <w:pPr>
              <w:spacing w:after="0" w:line="240" w:lineRule="auto"/>
              <w:rPr>
                <w:rFonts w:ascii="Times New Roman" w:hAnsi="Times New Roman"/>
                <w:i/>
                <w:sz w:val="20"/>
                <w:szCs w:val="20"/>
                <w:lang w:eastAsia="sk-SK"/>
              </w:rPr>
            </w:pPr>
            <w:r w:rsidRPr="00BD372F">
              <w:rPr>
                <w:rFonts w:ascii="Times New Roman" w:hAnsi="Times New Roman"/>
                <w:i/>
                <w:sz w:val="20"/>
                <w:szCs w:val="20"/>
                <w:lang w:eastAsia="sk-SK"/>
              </w:rPr>
              <w:t>august/september 2025</w:t>
            </w:r>
          </w:p>
        </w:tc>
      </w:tr>
      <w:tr w:rsidR="00BD372F" w:rsidRPr="00BD372F" w14:paraId="21A15FFC" w14:textId="77777777" w:rsidTr="00154BAB">
        <w:tc>
          <w:tcPr>
            <w:tcW w:w="9180" w:type="dxa"/>
            <w:gridSpan w:val="11"/>
            <w:tcBorders>
              <w:top w:val="single" w:sz="4" w:space="0" w:color="auto"/>
              <w:left w:val="nil"/>
              <w:bottom w:val="single" w:sz="4" w:space="0" w:color="auto"/>
              <w:right w:val="nil"/>
            </w:tcBorders>
            <w:shd w:val="clear" w:color="auto" w:fill="FFFFFF"/>
          </w:tcPr>
          <w:p w14:paraId="21F7270A" w14:textId="77777777" w:rsidR="00BD372F" w:rsidRPr="00BD372F" w:rsidRDefault="00BD372F" w:rsidP="00BD372F">
            <w:pPr>
              <w:spacing w:after="0" w:line="240" w:lineRule="auto"/>
              <w:rPr>
                <w:rFonts w:ascii="Times New Roman" w:hAnsi="Times New Roman"/>
                <w:sz w:val="20"/>
                <w:szCs w:val="20"/>
                <w:lang w:eastAsia="sk-SK"/>
              </w:rPr>
            </w:pPr>
          </w:p>
        </w:tc>
      </w:tr>
      <w:tr w:rsidR="00BD372F" w:rsidRPr="00BD372F" w14:paraId="67C6741F" w14:textId="77777777" w:rsidTr="00154BAB">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46EC069C" w14:textId="77777777" w:rsidR="00BD372F" w:rsidRPr="00BD372F" w:rsidRDefault="00BD372F" w:rsidP="00BD372F">
            <w:pPr>
              <w:numPr>
                <w:ilvl w:val="0"/>
                <w:numId w:val="6"/>
              </w:numPr>
              <w:spacing w:after="0" w:line="240" w:lineRule="auto"/>
              <w:ind w:left="426"/>
              <w:contextualSpacing/>
              <w:rPr>
                <w:rFonts w:ascii="Times New Roman" w:hAnsi="Times New Roman"/>
                <w:b/>
                <w:szCs w:val="22"/>
              </w:rPr>
            </w:pPr>
            <w:r w:rsidRPr="00BD372F">
              <w:rPr>
                <w:rFonts w:ascii="Times New Roman" w:hAnsi="Times New Roman"/>
                <w:b/>
                <w:szCs w:val="22"/>
              </w:rPr>
              <w:t>Definovanie problému</w:t>
            </w:r>
          </w:p>
        </w:tc>
      </w:tr>
      <w:tr w:rsidR="00BD372F" w:rsidRPr="00BD372F" w14:paraId="19246FC9" w14:textId="77777777" w:rsidTr="00154BAB">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4361C737" w14:textId="77777777" w:rsidR="00BD372F" w:rsidRPr="00BD372F" w:rsidRDefault="00BD372F" w:rsidP="00BD372F">
            <w:pPr>
              <w:spacing w:after="0" w:line="240" w:lineRule="auto"/>
              <w:jc w:val="both"/>
              <w:rPr>
                <w:rFonts w:ascii="Times New Roman" w:hAnsi="Times New Roman"/>
                <w:sz w:val="20"/>
                <w:szCs w:val="20"/>
                <w:lang w:eastAsia="sk-SK"/>
              </w:rPr>
            </w:pPr>
            <w:r w:rsidRPr="00BD372F">
              <w:rPr>
                <w:rFonts w:ascii="Times New Roman" w:hAnsi="Times New Roman"/>
                <w:sz w:val="20"/>
                <w:szCs w:val="20"/>
                <w:lang w:eastAsia="sk-SK"/>
              </w:rPr>
              <w:t>V súčasnosti je úhrada súdnych poplatkov a správnych poplatkov (takmer výlučne) zabezpečená prostredníctvom technického vybavenia prevádzkovateľa systému, ktorú podľa príslušných právnych predpisov vykonáva právnická osoba v 100 % vlastníctve štátu, ktorá v minulosti zabezpečovala predaj a distribúciu kolkových známok (túto definíciu spĺňa Slovenská pošta, a. s). Zámerom Ministerstva financií Slovenskej republiky je rozšírenie centrálnej evidencie poplatkov aj do pôsobnosti Štátnej pokladnice prostredníctvom jej informačného systému a rozšíriť služby výberu a úhrady súdnych poplatkov a správnych poplatkov aj cez štátnu rozpočtovú organizáciu zriadenú na vykonávanie finančných operácií štátu.</w:t>
            </w:r>
          </w:p>
        </w:tc>
      </w:tr>
      <w:tr w:rsidR="00BD372F" w:rsidRPr="00BD372F" w14:paraId="4A9EBCD7" w14:textId="77777777" w:rsidTr="00154BAB">
        <w:tc>
          <w:tcPr>
            <w:tcW w:w="9180" w:type="dxa"/>
            <w:gridSpan w:val="11"/>
            <w:tcBorders>
              <w:top w:val="single" w:sz="4" w:space="0" w:color="auto"/>
              <w:left w:val="single" w:sz="4" w:space="0" w:color="auto"/>
              <w:bottom w:val="nil"/>
              <w:right w:val="single" w:sz="4" w:space="0" w:color="auto"/>
            </w:tcBorders>
            <w:shd w:val="clear" w:color="auto" w:fill="E2E2E2"/>
          </w:tcPr>
          <w:p w14:paraId="25E12D97" w14:textId="77777777" w:rsidR="00BD372F" w:rsidRPr="00BD372F" w:rsidRDefault="00BD372F" w:rsidP="00BD372F">
            <w:pPr>
              <w:numPr>
                <w:ilvl w:val="0"/>
                <w:numId w:val="6"/>
              </w:numPr>
              <w:spacing w:after="0" w:line="240" w:lineRule="auto"/>
              <w:ind w:left="426"/>
              <w:contextualSpacing/>
              <w:rPr>
                <w:rFonts w:ascii="Times New Roman" w:hAnsi="Times New Roman"/>
                <w:b/>
                <w:szCs w:val="22"/>
              </w:rPr>
            </w:pPr>
            <w:r w:rsidRPr="00BD372F">
              <w:rPr>
                <w:rFonts w:ascii="Times New Roman" w:hAnsi="Times New Roman"/>
                <w:b/>
                <w:szCs w:val="22"/>
              </w:rPr>
              <w:t>Ciele a výsledný stav</w:t>
            </w:r>
          </w:p>
        </w:tc>
      </w:tr>
      <w:tr w:rsidR="00BD372F" w:rsidRPr="00BD372F" w14:paraId="38BD04FB" w14:textId="77777777" w:rsidTr="00154BAB">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46BF6CC8" w14:textId="77777777" w:rsidR="00BD372F" w:rsidRPr="00BD372F" w:rsidRDefault="00BD372F" w:rsidP="00BD372F">
            <w:pPr>
              <w:spacing w:after="0" w:line="240" w:lineRule="auto"/>
              <w:jc w:val="both"/>
              <w:rPr>
                <w:rFonts w:ascii="Times New Roman" w:hAnsi="Times New Roman"/>
                <w:sz w:val="20"/>
                <w:szCs w:val="20"/>
                <w:lang w:eastAsia="sk-SK"/>
              </w:rPr>
            </w:pPr>
            <w:r w:rsidRPr="00BD372F">
              <w:rPr>
                <w:rFonts w:ascii="Times New Roman" w:hAnsi="Times New Roman"/>
                <w:sz w:val="20"/>
                <w:szCs w:val="20"/>
                <w:lang w:eastAsia="sk-SK"/>
              </w:rPr>
              <w:t xml:space="preserve">Cieľom návrhu zákona je zaviesť úhrady súdnych poplatkov a správnych poplatkov prostredníctvom technického vybavenia Štátnej pokladnice aj prostredníctvom prevádzkovateľa systému (Slovenská pošta, a. s.). Súčasťou legislatívnej zmeny je úprava režimu vedenia centrálnej evidencie poplatkov Ministerstvom financií SR a zrušenie režimu delenia správnych orgánov, súdov, orgánov štátnej správy súdov a prokuratúry na orgány zapojené a orgány nezapojené do centrálneho systému evidencie poplatkov (všetky dotknuté orgány budú zapojené do centrálneho systému evidencie poplatkov, pokiaľ v zákone nie je ustanovené inak). Zároveň sa navrhuje vypustenie kompetencie Finančného riaditeľstva a daňových úradov vykonávať kontrolu správnosti a včasnosti vyberania poplatkov, správnosti a včasnosti vrátenia poplatkov, správnosti formy a spôsobu platenia poplatkov a správnosti a úplnosti evidovania poplatkov v správnych orgánoch, pričom sa navrhuje, že tieto činnosti bude vykonávať Úrad vládneho auditu s alokovanou kapacitou o dvoch zamestnancoch (2 full-time equivalent) – podrobnejšie uvedené v Analýze vplyvov na rozpočet verejne správy v časti 2.2.1. Financovanie návrhu. </w:t>
            </w:r>
          </w:p>
        </w:tc>
      </w:tr>
      <w:tr w:rsidR="00BD372F" w:rsidRPr="00BD372F" w14:paraId="0CCB297A" w14:textId="77777777" w:rsidTr="00154BAB">
        <w:tc>
          <w:tcPr>
            <w:tcW w:w="9180" w:type="dxa"/>
            <w:gridSpan w:val="11"/>
            <w:tcBorders>
              <w:top w:val="single" w:sz="4" w:space="0" w:color="auto"/>
              <w:left w:val="single" w:sz="4" w:space="0" w:color="auto"/>
              <w:bottom w:val="nil"/>
              <w:right w:val="single" w:sz="4" w:space="0" w:color="auto"/>
            </w:tcBorders>
            <w:shd w:val="clear" w:color="auto" w:fill="E2E2E2"/>
          </w:tcPr>
          <w:p w14:paraId="4674E03C" w14:textId="77777777" w:rsidR="00BD372F" w:rsidRPr="00BD372F" w:rsidRDefault="00BD372F" w:rsidP="00BD372F">
            <w:pPr>
              <w:numPr>
                <w:ilvl w:val="0"/>
                <w:numId w:val="6"/>
              </w:numPr>
              <w:spacing w:after="0" w:line="240" w:lineRule="auto"/>
              <w:ind w:left="426"/>
              <w:contextualSpacing/>
              <w:rPr>
                <w:rFonts w:ascii="Times New Roman" w:hAnsi="Times New Roman"/>
                <w:b/>
                <w:szCs w:val="22"/>
              </w:rPr>
            </w:pPr>
            <w:r w:rsidRPr="00BD372F">
              <w:rPr>
                <w:rFonts w:ascii="Times New Roman" w:hAnsi="Times New Roman"/>
                <w:b/>
                <w:szCs w:val="22"/>
              </w:rPr>
              <w:t>Dotknuté subjekty</w:t>
            </w:r>
          </w:p>
        </w:tc>
      </w:tr>
      <w:tr w:rsidR="00BD372F" w:rsidRPr="00BD372F" w14:paraId="31176585" w14:textId="77777777" w:rsidTr="00154BAB">
        <w:tc>
          <w:tcPr>
            <w:tcW w:w="9180" w:type="dxa"/>
            <w:gridSpan w:val="11"/>
            <w:tcBorders>
              <w:top w:val="nil"/>
              <w:left w:val="single" w:sz="4" w:space="0" w:color="auto"/>
              <w:bottom w:val="single" w:sz="4" w:space="0" w:color="auto"/>
              <w:right w:val="single" w:sz="4" w:space="0" w:color="auto"/>
            </w:tcBorders>
            <w:shd w:val="clear" w:color="auto" w:fill="FFFFFF"/>
          </w:tcPr>
          <w:p w14:paraId="6902F254" w14:textId="77777777" w:rsidR="00BD372F" w:rsidRPr="00BD372F" w:rsidRDefault="00BD372F" w:rsidP="00BD372F">
            <w:pPr>
              <w:spacing w:after="0" w:line="240" w:lineRule="auto"/>
              <w:jc w:val="both"/>
              <w:rPr>
                <w:rFonts w:ascii="Times New Roman" w:hAnsi="Times New Roman"/>
                <w:i/>
                <w:sz w:val="20"/>
                <w:szCs w:val="20"/>
                <w:lang w:eastAsia="sk-SK"/>
              </w:rPr>
            </w:pPr>
            <w:r w:rsidRPr="00BD372F">
              <w:rPr>
                <w:rFonts w:ascii="Times New Roman" w:hAnsi="Times New Roman"/>
                <w:sz w:val="20"/>
                <w:szCs w:val="20"/>
                <w:lang w:eastAsia="sk-SK"/>
              </w:rPr>
              <w:t>Štátna pokladnica, Ministerstvo financií SR, Finančná správa, Úrad vládneho auditu, Slovenská pošta, a. s., súdy, orgány štátnej správy súdov a prokuratúry a správne orgány.</w:t>
            </w:r>
          </w:p>
        </w:tc>
      </w:tr>
      <w:tr w:rsidR="00BD372F" w:rsidRPr="00BD372F" w14:paraId="7EC04F07" w14:textId="77777777" w:rsidTr="00154BAB">
        <w:tc>
          <w:tcPr>
            <w:tcW w:w="9180" w:type="dxa"/>
            <w:gridSpan w:val="11"/>
            <w:tcBorders>
              <w:top w:val="single" w:sz="4" w:space="0" w:color="auto"/>
              <w:left w:val="single" w:sz="4" w:space="0" w:color="auto"/>
              <w:bottom w:val="nil"/>
              <w:right w:val="single" w:sz="4" w:space="0" w:color="auto"/>
            </w:tcBorders>
            <w:shd w:val="clear" w:color="auto" w:fill="E2E2E2"/>
          </w:tcPr>
          <w:p w14:paraId="699E7375" w14:textId="77777777" w:rsidR="00BD372F" w:rsidRPr="00BD372F" w:rsidRDefault="00BD372F" w:rsidP="00BD372F">
            <w:pPr>
              <w:numPr>
                <w:ilvl w:val="0"/>
                <w:numId w:val="6"/>
              </w:numPr>
              <w:spacing w:after="0" w:line="240" w:lineRule="auto"/>
              <w:ind w:left="426"/>
              <w:contextualSpacing/>
              <w:rPr>
                <w:rFonts w:ascii="Times New Roman" w:hAnsi="Times New Roman"/>
                <w:b/>
                <w:szCs w:val="22"/>
              </w:rPr>
            </w:pPr>
            <w:r w:rsidRPr="00BD372F">
              <w:rPr>
                <w:rFonts w:ascii="Times New Roman" w:hAnsi="Times New Roman"/>
                <w:b/>
                <w:szCs w:val="22"/>
              </w:rPr>
              <w:t>Alternatívne riešenia</w:t>
            </w:r>
          </w:p>
        </w:tc>
      </w:tr>
      <w:tr w:rsidR="00BD372F" w:rsidRPr="00BD372F" w14:paraId="763D0A0B" w14:textId="77777777" w:rsidTr="00154BAB">
        <w:trPr>
          <w:trHeight w:val="567"/>
        </w:trPr>
        <w:tc>
          <w:tcPr>
            <w:tcW w:w="9180" w:type="dxa"/>
            <w:gridSpan w:val="11"/>
            <w:tcBorders>
              <w:top w:val="nil"/>
              <w:left w:val="single" w:sz="4" w:space="0" w:color="auto"/>
              <w:bottom w:val="single" w:sz="4" w:space="0" w:color="auto"/>
              <w:right w:val="single" w:sz="4" w:space="0" w:color="auto"/>
            </w:tcBorders>
            <w:shd w:val="clear" w:color="auto" w:fill="FFFFFF"/>
          </w:tcPr>
          <w:p w14:paraId="32A4C597" w14:textId="77777777" w:rsidR="00BD372F" w:rsidRPr="00BD372F" w:rsidRDefault="00BD372F" w:rsidP="00BD372F">
            <w:pPr>
              <w:spacing w:after="0" w:line="240" w:lineRule="auto"/>
              <w:jc w:val="both"/>
              <w:rPr>
                <w:rFonts w:ascii="Times New Roman" w:hAnsi="Times New Roman"/>
                <w:sz w:val="20"/>
                <w:szCs w:val="20"/>
                <w:lang w:eastAsia="sk-SK"/>
              </w:rPr>
            </w:pPr>
            <w:r w:rsidRPr="00BD372F">
              <w:rPr>
                <w:rFonts w:ascii="Times New Roman" w:hAnsi="Times New Roman"/>
                <w:sz w:val="20"/>
                <w:szCs w:val="20"/>
                <w:lang w:eastAsia="sk-SK"/>
              </w:rPr>
              <w:t xml:space="preserve">Alternatívne riešenia boli predstavené a popísané v Štúdii realizovateľnosti eKolok na roky 2024 – 2034, ktorá je zverejnená na webovom sídle Ministerstva financií SR: </w:t>
            </w:r>
            <w:hyperlink r:id="rId9" w:history="1">
              <w:r w:rsidRPr="00BD372F">
                <w:rPr>
                  <w:rFonts w:ascii="Times New Roman" w:hAnsi="Times New Roman"/>
                  <w:color w:val="0563C1"/>
                  <w:sz w:val="20"/>
                  <w:szCs w:val="20"/>
                  <w:u w:val="single"/>
                  <w:lang w:eastAsia="sk-SK"/>
                </w:rPr>
                <w:t>https://www.mfsr.sk/sk/dane-cla-uctovnictvo/platobny-system-uhradu-spravnych-sudnych-poplatkov/</w:t>
              </w:r>
            </w:hyperlink>
            <w:r w:rsidRPr="00BD372F">
              <w:rPr>
                <w:rFonts w:ascii="Times New Roman" w:hAnsi="Times New Roman"/>
                <w:sz w:val="20"/>
                <w:szCs w:val="20"/>
                <w:lang w:eastAsia="sk-SK"/>
              </w:rPr>
              <w:t xml:space="preserve">. V skratke, alternatívy posudzovali ponechanie súčasného stavu centrálneho systému evidencie poplatkov prevádzkovateľa systému podľa súčasných parametrov, ponechanie súčasného stavu centrálneho systému evidencie poplatkov prevádzkovateľa systému s modifikáciou parametrov, vytvorenie nového centrálneho riešenia na „zelenej lúke“ podľa vopred určených modifikovaných parametrov bez automatickej väzby na súčasného prevádzkovateľa systému </w:t>
            </w:r>
            <w:r w:rsidRPr="00BD372F">
              <w:rPr>
                <w:rFonts w:ascii="Times New Roman" w:hAnsi="Times New Roman"/>
                <w:sz w:val="20"/>
                <w:szCs w:val="20"/>
                <w:lang w:eastAsia="sk-SK"/>
              </w:rPr>
              <w:lastRenderedPageBreak/>
              <w:t>a systémových dodávateľov. V prípade poslednej varianty a navrhovaného riešenia vedenia centrálnej evidencie poplatkov v rámci IS pre systém Štátnej pokladnice sa počíta s investíciami do nového riešenia.</w:t>
            </w:r>
          </w:p>
        </w:tc>
      </w:tr>
      <w:tr w:rsidR="00BD372F" w:rsidRPr="00BD372F" w14:paraId="77260C09" w14:textId="77777777" w:rsidTr="00154BAB">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EB7402F" w14:textId="77777777" w:rsidR="00BD372F" w:rsidRPr="00BD372F" w:rsidRDefault="00BD372F" w:rsidP="00BD372F">
            <w:pPr>
              <w:numPr>
                <w:ilvl w:val="0"/>
                <w:numId w:val="6"/>
              </w:numPr>
              <w:spacing w:after="0" w:line="240" w:lineRule="auto"/>
              <w:ind w:left="426"/>
              <w:contextualSpacing/>
              <w:rPr>
                <w:rFonts w:ascii="Times New Roman" w:hAnsi="Times New Roman"/>
                <w:b/>
                <w:szCs w:val="22"/>
              </w:rPr>
            </w:pPr>
            <w:r w:rsidRPr="00BD372F">
              <w:rPr>
                <w:rFonts w:ascii="Times New Roman" w:hAnsi="Times New Roman"/>
                <w:b/>
                <w:szCs w:val="22"/>
              </w:rPr>
              <w:lastRenderedPageBreak/>
              <w:t>Vykonávacie predpisy</w:t>
            </w:r>
          </w:p>
        </w:tc>
      </w:tr>
      <w:tr w:rsidR="00BD372F" w:rsidRPr="00BD372F" w14:paraId="05881D04" w14:textId="77777777" w:rsidTr="00154BAB">
        <w:tc>
          <w:tcPr>
            <w:tcW w:w="6203" w:type="dxa"/>
            <w:gridSpan w:val="7"/>
            <w:tcBorders>
              <w:top w:val="single" w:sz="4" w:space="0" w:color="FFFFFF"/>
              <w:left w:val="single" w:sz="4" w:space="0" w:color="auto"/>
              <w:bottom w:val="nil"/>
              <w:right w:val="nil"/>
            </w:tcBorders>
            <w:shd w:val="clear" w:color="auto" w:fill="FFFFFF"/>
          </w:tcPr>
          <w:p w14:paraId="09A8A19F" w14:textId="77777777" w:rsidR="00BD372F" w:rsidRPr="00BD372F" w:rsidRDefault="00BD372F" w:rsidP="00BD372F">
            <w:pPr>
              <w:spacing w:after="0" w:line="240" w:lineRule="auto"/>
              <w:rPr>
                <w:rFonts w:ascii="Times New Roman" w:hAnsi="Times New Roman"/>
                <w:i/>
                <w:sz w:val="20"/>
                <w:szCs w:val="20"/>
                <w:lang w:eastAsia="sk-SK"/>
              </w:rPr>
            </w:pPr>
            <w:r w:rsidRPr="00BD372F">
              <w:rPr>
                <w:rFonts w:ascii="Times New Roman" w:hAnsi="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254CF70D" w14:textId="77777777" w:rsidR="00BD372F" w:rsidRPr="00BD372F" w:rsidRDefault="00A13961" w:rsidP="00BD372F">
            <w:pPr>
              <w:spacing w:after="0" w:line="240" w:lineRule="auto"/>
              <w:jc w:val="center"/>
              <w:rPr>
                <w:rFonts w:ascii="Times New Roman" w:hAnsi="Times New Roman"/>
                <w:b/>
                <w:sz w:val="20"/>
                <w:szCs w:val="20"/>
                <w:lang w:eastAsia="sk-SK"/>
              </w:rPr>
            </w:pPr>
            <w:sdt>
              <w:sdtPr>
                <w:rPr>
                  <w:rFonts w:ascii="Times New Roman" w:hAnsi="Times New Roman"/>
                  <w:b/>
                  <w:sz w:val="20"/>
                  <w:szCs w:val="20"/>
                  <w:lang w:eastAsia="sk-SK"/>
                </w:rPr>
                <w:id w:val="1929613764"/>
                <w14:checkbox>
                  <w14:checked w14:val="0"/>
                  <w14:checkedState w14:val="2612" w14:font="MS Gothic"/>
                  <w14:uncheckedState w14:val="2610" w14:font="MS Gothic"/>
                </w14:checkbox>
              </w:sdtPr>
              <w:sdtEndPr/>
              <w:sdtContent>
                <w:r w:rsidR="00BD372F" w:rsidRPr="00BD372F">
                  <w:rPr>
                    <w:rFonts w:ascii="Segoe UI Symbol" w:hAnsi="Segoe UI Symbol" w:cs="Segoe UI Symbol"/>
                    <w:b/>
                    <w:sz w:val="20"/>
                    <w:szCs w:val="20"/>
                    <w:lang w:eastAsia="sk-SK"/>
                  </w:rPr>
                  <w:t>☐</w:t>
                </w:r>
              </w:sdtContent>
            </w:sdt>
            <w:r w:rsidR="00BD372F" w:rsidRPr="00BD372F">
              <w:rPr>
                <w:rFonts w:ascii="Times New Roman" w:hAnsi="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14AE8099" w14:textId="77777777" w:rsidR="00BD372F" w:rsidRPr="00BD372F" w:rsidRDefault="00A13961" w:rsidP="00BD372F">
            <w:pPr>
              <w:spacing w:after="0" w:line="240" w:lineRule="auto"/>
              <w:jc w:val="center"/>
              <w:rPr>
                <w:rFonts w:ascii="Times New Roman" w:hAnsi="Times New Roman"/>
                <w:b/>
                <w:sz w:val="20"/>
                <w:szCs w:val="20"/>
                <w:lang w:eastAsia="sk-SK"/>
              </w:rPr>
            </w:pPr>
            <w:sdt>
              <w:sdtPr>
                <w:rPr>
                  <w:rFonts w:ascii="Times New Roman" w:hAnsi="Times New Roman"/>
                  <w:b/>
                  <w:sz w:val="20"/>
                  <w:szCs w:val="20"/>
                  <w:lang w:eastAsia="sk-SK"/>
                </w:rPr>
                <w:id w:val="-1594626508"/>
                <w14:checkbox>
                  <w14:checked w14:val="1"/>
                  <w14:checkedState w14:val="2612" w14:font="MS Gothic"/>
                  <w14:uncheckedState w14:val="2610" w14:font="MS Gothic"/>
                </w14:checkbox>
              </w:sdtPr>
              <w:sdtEndPr/>
              <w:sdtContent>
                <w:r w:rsidR="00BD372F" w:rsidRPr="00BD372F">
                  <w:rPr>
                    <w:rFonts w:ascii="Segoe UI Symbol" w:hAnsi="Segoe UI Symbol" w:cs="Segoe UI Symbol"/>
                    <w:b/>
                    <w:sz w:val="20"/>
                    <w:szCs w:val="20"/>
                    <w:lang w:eastAsia="sk-SK"/>
                  </w:rPr>
                  <w:t>☒</w:t>
                </w:r>
              </w:sdtContent>
            </w:sdt>
            <w:r w:rsidR="00BD372F" w:rsidRPr="00BD372F">
              <w:rPr>
                <w:rFonts w:ascii="Times New Roman" w:hAnsi="Times New Roman"/>
                <w:b/>
                <w:sz w:val="20"/>
                <w:szCs w:val="20"/>
                <w:lang w:eastAsia="sk-SK"/>
              </w:rPr>
              <w:t xml:space="preserve">  Nie</w:t>
            </w:r>
          </w:p>
        </w:tc>
      </w:tr>
      <w:tr w:rsidR="00BD372F" w:rsidRPr="00BD372F" w14:paraId="0CEDADF2" w14:textId="77777777" w:rsidTr="00154BAB">
        <w:tc>
          <w:tcPr>
            <w:tcW w:w="9180" w:type="dxa"/>
            <w:gridSpan w:val="11"/>
            <w:tcBorders>
              <w:top w:val="nil"/>
              <w:left w:val="single" w:sz="4" w:space="0" w:color="auto"/>
              <w:bottom w:val="single" w:sz="4" w:space="0" w:color="auto"/>
              <w:right w:val="single" w:sz="4" w:space="0" w:color="auto"/>
            </w:tcBorders>
            <w:shd w:val="clear" w:color="auto" w:fill="FFFFFF"/>
          </w:tcPr>
          <w:p w14:paraId="51CDD51B" w14:textId="77777777" w:rsidR="00BD372F" w:rsidRPr="00BD372F" w:rsidRDefault="00BD372F" w:rsidP="00BD372F">
            <w:pPr>
              <w:spacing w:after="0" w:line="240" w:lineRule="auto"/>
              <w:rPr>
                <w:rFonts w:ascii="Times New Roman" w:hAnsi="Times New Roman"/>
                <w:i/>
                <w:sz w:val="20"/>
                <w:szCs w:val="20"/>
                <w:lang w:eastAsia="sk-SK"/>
              </w:rPr>
            </w:pPr>
            <w:r w:rsidRPr="00BD372F">
              <w:rPr>
                <w:rFonts w:ascii="Times New Roman" w:hAnsi="Times New Roman"/>
                <w:i/>
                <w:sz w:val="20"/>
                <w:szCs w:val="20"/>
                <w:lang w:eastAsia="sk-SK"/>
              </w:rPr>
              <w:t>Ak áno, uveďte ktoré oblasti budú nimi upravené, resp. ktorých vykonávacích predpisov sa zmena dotkne:</w:t>
            </w:r>
          </w:p>
          <w:p w14:paraId="60753E8E" w14:textId="77777777" w:rsidR="00BD372F" w:rsidRPr="00BD372F" w:rsidRDefault="00BD372F" w:rsidP="00BD372F">
            <w:pPr>
              <w:spacing w:after="0" w:line="240" w:lineRule="auto"/>
              <w:rPr>
                <w:rFonts w:ascii="Times New Roman" w:hAnsi="Times New Roman"/>
                <w:sz w:val="20"/>
                <w:szCs w:val="20"/>
                <w:lang w:eastAsia="sk-SK"/>
              </w:rPr>
            </w:pPr>
          </w:p>
        </w:tc>
      </w:tr>
      <w:tr w:rsidR="00BD372F" w:rsidRPr="00BD372F" w14:paraId="764976F1" w14:textId="77777777" w:rsidTr="00154BAB">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536E705" w14:textId="77777777" w:rsidR="00BD372F" w:rsidRPr="00BD372F" w:rsidRDefault="00BD372F" w:rsidP="00BD372F">
            <w:pPr>
              <w:numPr>
                <w:ilvl w:val="0"/>
                <w:numId w:val="6"/>
              </w:numPr>
              <w:spacing w:after="0" w:line="240" w:lineRule="auto"/>
              <w:ind w:left="426"/>
              <w:contextualSpacing/>
              <w:rPr>
                <w:rFonts w:ascii="Times New Roman" w:hAnsi="Times New Roman"/>
                <w:b/>
                <w:szCs w:val="22"/>
              </w:rPr>
            </w:pPr>
            <w:r w:rsidRPr="00BD372F">
              <w:rPr>
                <w:rFonts w:ascii="Times New Roman" w:hAnsi="Times New Roman"/>
                <w:b/>
                <w:szCs w:val="22"/>
              </w:rPr>
              <w:t xml:space="preserve">Transpozícia/implementácia práva EÚ </w:t>
            </w:r>
          </w:p>
        </w:tc>
      </w:tr>
      <w:tr w:rsidR="00BD372F" w:rsidRPr="00BD372F" w14:paraId="73FAA426" w14:textId="77777777" w:rsidTr="00154BAB">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BD372F" w:rsidRPr="00BD372F" w14:paraId="69800ADD" w14:textId="77777777" w:rsidTr="00154BAB">
              <w:trPr>
                <w:trHeight w:val="90"/>
              </w:trPr>
              <w:tc>
                <w:tcPr>
                  <w:tcW w:w="8643" w:type="dxa"/>
                </w:tcPr>
                <w:p w14:paraId="7B64EA5E" w14:textId="77777777" w:rsidR="00BD372F" w:rsidRPr="00BD372F" w:rsidRDefault="00BD372F" w:rsidP="00BD372F">
                  <w:pPr>
                    <w:autoSpaceDE w:val="0"/>
                    <w:autoSpaceDN w:val="0"/>
                    <w:adjustRightInd w:val="0"/>
                    <w:spacing w:after="0" w:line="240" w:lineRule="auto"/>
                    <w:rPr>
                      <w:rFonts w:ascii="Times New Roman" w:eastAsia="Calibri" w:hAnsi="Times New Roman"/>
                      <w:sz w:val="20"/>
                      <w:szCs w:val="20"/>
                    </w:rPr>
                  </w:pPr>
                  <w:r w:rsidRPr="00BD372F">
                    <w:rPr>
                      <w:rFonts w:ascii="Times New Roman" w:eastAsia="Calibri" w:hAnsi="Times New Roman"/>
                      <w:i/>
                      <w:iCs/>
                      <w:sz w:val="20"/>
                      <w:szCs w:val="20"/>
                    </w:rPr>
                    <w:t xml:space="preserve">Uveďte, či v predkladanom návrhu právneho predpisu dochádza ku goldplatingu podľa tabuľky zhody, resp. či ku goldplatingu dochádza pri implementácii práva EÚ. </w:t>
                  </w:r>
                </w:p>
              </w:tc>
            </w:tr>
            <w:tr w:rsidR="00BD372F" w:rsidRPr="00BD372F" w14:paraId="4E2F07B3" w14:textId="77777777" w:rsidTr="00154BAB">
              <w:trPr>
                <w:trHeight w:val="296"/>
              </w:trPr>
              <w:tc>
                <w:tcPr>
                  <w:tcW w:w="8643" w:type="dxa"/>
                </w:tcPr>
                <w:p w14:paraId="702D9DB8" w14:textId="77777777" w:rsidR="00BD372F" w:rsidRPr="00BD372F" w:rsidRDefault="00BD372F" w:rsidP="00BD372F">
                  <w:pPr>
                    <w:autoSpaceDE w:val="0"/>
                    <w:autoSpaceDN w:val="0"/>
                    <w:adjustRightInd w:val="0"/>
                    <w:spacing w:after="0" w:line="240" w:lineRule="auto"/>
                    <w:rPr>
                      <w:rFonts w:ascii="Times New Roman" w:eastAsia="Calibri" w:hAnsi="Times New Roman"/>
                      <w:b/>
                      <w:iCs/>
                      <w:sz w:val="20"/>
                      <w:szCs w:val="20"/>
                    </w:rPr>
                  </w:pPr>
                  <w:r w:rsidRPr="00BD372F">
                    <w:rPr>
                      <w:rFonts w:ascii="Times New Roman" w:eastAsia="Calibri" w:hAnsi="Times New Roman"/>
                      <w:b/>
                      <w:iCs/>
                      <w:sz w:val="20"/>
                      <w:szCs w:val="20"/>
                    </w:rPr>
                    <w:t xml:space="preserve">                                                                                                                               </w:t>
                  </w:r>
                  <w:sdt>
                    <w:sdtPr>
                      <w:rPr>
                        <w:rFonts w:ascii="Times New Roman" w:eastAsia="Calibri" w:hAnsi="Times New Roman"/>
                        <w:b/>
                        <w:iCs/>
                        <w:sz w:val="20"/>
                        <w:szCs w:val="20"/>
                      </w:rPr>
                      <w:id w:val="1614706761"/>
                      <w14:checkbox>
                        <w14:checked w14:val="0"/>
                        <w14:checkedState w14:val="2612" w14:font="MS Gothic"/>
                        <w14:uncheckedState w14:val="2610" w14:font="MS Gothic"/>
                      </w14:checkbox>
                    </w:sdtPr>
                    <w:sdtEndPr/>
                    <w:sdtContent>
                      <w:r w:rsidRPr="00BD372F">
                        <w:rPr>
                          <w:rFonts w:ascii="Segoe UI Symbol" w:eastAsia="Calibri" w:hAnsi="Segoe UI Symbol" w:cs="Segoe UI Symbol"/>
                          <w:b/>
                          <w:iCs/>
                          <w:sz w:val="20"/>
                          <w:szCs w:val="20"/>
                        </w:rPr>
                        <w:t>☐</w:t>
                      </w:r>
                    </w:sdtContent>
                  </w:sdt>
                  <w:r w:rsidRPr="00BD372F">
                    <w:rPr>
                      <w:rFonts w:ascii="Times New Roman" w:eastAsia="Calibri" w:hAnsi="Times New Roman"/>
                      <w:b/>
                      <w:iCs/>
                      <w:sz w:val="20"/>
                      <w:szCs w:val="20"/>
                    </w:rPr>
                    <w:t xml:space="preserve"> Áno                  </w:t>
                  </w:r>
                  <w:sdt>
                    <w:sdtPr>
                      <w:rPr>
                        <w:rFonts w:ascii="Times New Roman" w:eastAsia="Calibri" w:hAnsi="Times New Roman"/>
                        <w:b/>
                        <w:iCs/>
                        <w:sz w:val="20"/>
                        <w:szCs w:val="20"/>
                      </w:rPr>
                      <w:id w:val="-155225922"/>
                      <w14:checkbox>
                        <w14:checked w14:val="1"/>
                        <w14:checkedState w14:val="2612" w14:font="MS Gothic"/>
                        <w14:uncheckedState w14:val="2610" w14:font="MS Gothic"/>
                      </w14:checkbox>
                    </w:sdtPr>
                    <w:sdtEndPr/>
                    <w:sdtContent>
                      <w:r w:rsidRPr="00BD372F">
                        <w:rPr>
                          <w:rFonts w:ascii="Segoe UI Symbol" w:eastAsia="Calibri" w:hAnsi="Segoe UI Symbol" w:cs="Segoe UI Symbol"/>
                          <w:b/>
                          <w:iCs/>
                          <w:sz w:val="20"/>
                          <w:szCs w:val="20"/>
                        </w:rPr>
                        <w:t>☒</w:t>
                      </w:r>
                    </w:sdtContent>
                  </w:sdt>
                  <w:r w:rsidRPr="00BD372F">
                    <w:rPr>
                      <w:rFonts w:ascii="Times New Roman" w:eastAsia="Calibri" w:hAnsi="Times New Roman"/>
                      <w:b/>
                      <w:iCs/>
                      <w:sz w:val="20"/>
                      <w:szCs w:val="20"/>
                    </w:rPr>
                    <w:t xml:space="preserve"> Nie</w:t>
                  </w:r>
                </w:p>
                <w:p w14:paraId="21088917" w14:textId="77777777" w:rsidR="00BD372F" w:rsidRPr="00BD372F" w:rsidRDefault="00BD372F" w:rsidP="00BD372F">
                  <w:pPr>
                    <w:autoSpaceDE w:val="0"/>
                    <w:autoSpaceDN w:val="0"/>
                    <w:adjustRightInd w:val="0"/>
                    <w:spacing w:after="0" w:line="240" w:lineRule="auto"/>
                    <w:rPr>
                      <w:rFonts w:ascii="Times New Roman" w:eastAsia="Calibri" w:hAnsi="Times New Roman"/>
                      <w:i/>
                      <w:iCs/>
                      <w:sz w:val="20"/>
                      <w:szCs w:val="20"/>
                    </w:rPr>
                  </w:pPr>
                </w:p>
                <w:p w14:paraId="5F800AE6" w14:textId="77777777" w:rsidR="00BD372F" w:rsidRPr="00BD372F" w:rsidRDefault="00BD372F" w:rsidP="00BD372F">
                  <w:pPr>
                    <w:autoSpaceDE w:val="0"/>
                    <w:autoSpaceDN w:val="0"/>
                    <w:adjustRightInd w:val="0"/>
                    <w:spacing w:after="0" w:line="240" w:lineRule="auto"/>
                    <w:rPr>
                      <w:rFonts w:ascii="Times New Roman" w:eastAsia="Calibri" w:hAnsi="Times New Roman"/>
                      <w:sz w:val="20"/>
                      <w:szCs w:val="20"/>
                    </w:rPr>
                  </w:pPr>
                  <w:r w:rsidRPr="00BD372F">
                    <w:rPr>
                      <w:rFonts w:ascii="Times New Roman" w:eastAsia="Calibri" w:hAnsi="Times New Roman"/>
                      <w:i/>
                      <w:iCs/>
                      <w:sz w:val="20"/>
                      <w:szCs w:val="20"/>
                    </w:rPr>
                    <w:t xml:space="preserve">Ak áno, uveďte, ktorých vplyvov podľa bodu 9 sa goldplating týka: </w:t>
                  </w:r>
                </w:p>
              </w:tc>
            </w:tr>
            <w:tr w:rsidR="00BD372F" w:rsidRPr="00BD372F" w14:paraId="3048508C" w14:textId="77777777" w:rsidTr="00154BAB">
              <w:trPr>
                <w:trHeight w:val="296"/>
              </w:trPr>
              <w:tc>
                <w:tcPr>
                  <w:tcW w:w="8643" w:type="dxa"/>
                </w:tcPr>
                <w:p w14:paraId="7D473850" w14:textId="77777777" w:rsidR="00BD372F" w:rsidRPr="00BD372F" w:rsidRDefault="00BD372F" w:rsidP="00BD372F">
                  <w:pPr>
                    <w:autoSpaceDE w:val="0"/>
                    <w:autoSpaceDN w:val="0"/>
                    <w:adjustRightInd w:val="0"/>
                    <w:spacing w:after="0" w:line="240" w:lineRule="auto"/>
                    <w:rPr>
                      <w:rFonts w:ascii="Segoe UI Symbol" w:eastAsia="Calibri" w:hAnsi="Segoe UI Symbol" w:cs="Segoe UI Symbol"/>
                      <w:sz w:val="20"/>
                      <w:szCs w:val="20"/>
                    </w:rPr>
                  </w:pPr>
                </w:p>
              </w:tc>
            </w:tr>
          </w:tbl>
          <w:p w14:paraId="6146CB85" w14:textId="77777777" w:rsidR="00BD372F" w:rsidRPr="00BD372F" w:rsidRDefault="00BD372F" w:rsidP="00BD372F">
            <w:pPr>
              <w:spacing w:after="0" w:line="240" w:lineRule="auto"/>
              <w:jc w:val="both"/>
              <w:rPr>
                <w:rFonts w:ascii="Times New Roman" w:hAnsi="Times New Roman"/>
                <w:i/>
                <w:sz w:val="20"/>
                <w:szCs w:val="20"/>
                <w:lang w:eastAsia="sk-SK"/>
              </w:rPr>
            </w:pPr>
          </w:p>
        </w:tc>
      </w:tr>
      <w:tr w:rsidR="00BD372F" w:rsidRPr="00BD372F" w14:paraId="2E9B470B" w14:textId="77777777" w:rsidTr="00154BAB">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71784927" w14:textId="77777777" w:rsidR="00BD372F" w:rsidRPr="00BD372F" w:rsidRDefault="00BD372F" w:rsidP="00BD372F">
            <w:pPr>
              <w:spacing w:after="0" w:line="240" w:lineRule="auto"/>
              <w:jc w:val="center"/>
              <w:rPr>
                <w:rFonts w:ascii="Times New Roman" w:hAnsi="Times New Roman"/>
                <w:sz w:val="20"/>
                <w:szCs w:val="20"/>
                <w:lang w:eastAsia="sk-SK"/>
              </w:rPr>
            </w:pPr>
          </w:p>
        </w:tc>
      </w:tr>
      <w:tr w:rsidR="00BD372F" w:rsidRPr="00BD372F" w14:paraId="48AC9BEB" w14:textId="77777777" w:rsidTr="00154BAB">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6013DCD" w14:textId="77777777" w:rsidR="00BD372F" w:rsidRPr="00BD372F" w:rsidRDefault="00BD372F" w:rsidP="00BD372F">
            <w:pPr>
              <w:numPr>
                <w:ilvl w:val="0"/>
                <w:numId w:val="6"/>
              </w:numPr>
              <w:spacing w:after="0" w:line="240" w:lineRule="auto"/>
              <w:ind w:left="426"/>
              <w:contextualSpacing/>
              <w:rPr>
                <w:rFonts w:ascii="Times New Roman" w:hAnsi="Times New Roman"/>
                <w:b/>
                <w:szCs w:val="22"/>
              </w:rPr>
            </w:pPr>
            <w:r w:rsidRPr="00BD372F">
              <w:rPr>
                <w:rFonts w:ascii="Times New Roman" w:hAnsi="Times New Roman"/>
                <w:b/>
                <w:szCs w:val="22"/>
              </w:rPr>
              <w:t>Preskúmanie účelnosti</w:t>
            </w:r>
          </w:p>
        </w:tc>
      </w:tr>
      <w:tr w:rsidR="00BD372F" w:rsidRPr="00BD372F" w14:paraId="2D75EB67" w14:textId="77777777" w:rsidTr="00154BAB">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20E653ED" w14:textId="77777777" w:rsidR="00BD372F" w:rsidRPr="00BD372F" w:rsidRDefault="00BD372F" w:rsidP="00BD372F">
            <w:pPr>
              <w:spacing w:after="0" w:line="240" w:lineRule="auto"/>
              <w:rPr>
                <w:rFonts w:ascii="Times New Roman" w:hAnsi="Times New Roman"/>
                <w:i/>
                <w:sz w:val="20"/>
                <w:szCs w:val="20"/>
                <w:lang w:eastAsia="sk-SK"/>
              </w:rPr>
            </w:pPr>
            <w:r w:rsidRPr="00BD372F">
              <w:rPr>
                <w:rFonts w:ascii="Times New Roman" w:hAnsi="Times New Roman"/>
                <w:i/>
                <w:sz w:val="20"/>
                <w:szCs w:val="20"/>
                <w:lang w:eastAsia="sk-SK"/>
              </w:rPr>
              <w:t>Uveďte termín, kedy by malo dôjsť k preskúmaniu účinnosti a účelnosti predkladaného materiálu.</w:t>
            </w:r>
          </w:p>
          <w:p w14:paraId="3F2E5E80" w14:textId="77777777" w:rsidR="00BD372F" w:rsidRPr="00BD372F" w:rsidRDefault="00BD372F" w:rsidP="00BD372F">
            <w:pPr>
              <w:spacing w:after="0" w:line="240" w:lineRule="auto"/>
              <w:rPr>
                <w:rFonts w:ascii="Times New Roman" w:hAnsi="Times New Roman"/>
                <w:i/>
                <w:sz w:val="20"/>
                <w:szCs w:val="20"/>
                <w:lang w:eastAsia="sk-SK"/>
              </w:rPr>
            </w:pPr>
            <w:r w:rsidRPr="00BD372F">
              <w:rPr>
                <w:rFonts w:ascii="Times New Roman" w:hAnsi="Times New Roman"/>
                <w:i/>
                <w:sz w:val="20"/>
                <w:szCs w:val="20"/>
                <w:lang w:eastAsia="sk-SK"/>
              </w:rPr>
              <w:t>Uveďte kritériá, na základe ktorých bude preskúmanie vykonané.</w:t>
            </w:r>
          </w:p>
          <w:p w14:paraId="70EC1F33" w14:textId="77777777" w:rsidR="00BD372F" w:rsidRPr="00BD372F" w:rsidRDefault="00BD372F" w:rsidP="00BD372F">
            <w:pPr>
              <w:spacing w:after="0" w:line="240" w:lineRule="auto"/>
              <w:jc w:val="both"/>
              <w:rPr>
                <w:rFonts w:ascii="Times New Roman" w:hAnsi="Times New Roman"/>
                <w:i/>
                <w:sz w:val="20"/>
                <w:szCs w:val="20"/>
                <w:lang w:eastAsia="sk-SK"/>
              </w:rPr>
            </w:pPr>
            <w:r w:rsidRPr="00BD372F">
              <w:rPr>
                <w:rFonts w:ascii="Times New Roman" w:hAnsi="Times New Roman"/>
                <w:sz w:val="20"/>
                <w:szCs w:val="20"/>
                <w:lang w:eastAsia="sk-SK"/>
              </w:rPr>
              <w:t xml:space="preserve">Vzhľadom na skutočnosť, že </w:t>
            </w:r>
            <w:r w:rsidRPr="00BD372F">
              <w:rPr>
                <w:rFonts w:ascii="Times New Roman" w:hAnsi="Times New Roman"/>
                <w:i/>
                <w:sz w:val="20"/>
                <w:szCs w:val="20"/>
                <w:lang w:eastAsia="sk-SK"/>
              </w:rPr>
              <w:t>Zmluva o poskytovaní služby vedenia centrálnej evidencie, zúčtovania a vrátenia poplatkov a  prevádzkovania centrálneho systému pre službu evidencie, zúčtovania a vrátenia poplatkov</w:t>
            </w:r>
            <w:r w:rsidRPr="00BD372F">
              <w:rPr>
                <w:rFonts w:ascii="Times New Roman" w:hAnsi="Times New Roman"/>
                <w:sz w:val="20"/>
                <w:szCs w:val="20"/>
                <w:lang w:eastAsia="sk-SK"/>
              </w:rPr>
              <w:t xml:space="preserve"> uzatvorená medzi Ministerstvom financií SR a prevádzkovateľnom systému je platná do apríla 2029 (s možnosťou využitia opcie na jej predĺženie) a súčasne počas tohto obdobia bude prebiehať postupný onboarding orgánov verejnej moci do centrálneho systému evidencie poplatkov Štátnej pokladnice, navrhuje sa stanoviť dátum preskúmania účinnosti a účelnosti predkladaného materiálu na 31.12.2029. Kritériom preskúmania bude najmä podiel orgánov verejnej moci zapojených do centrálneho systému evidencie poplatkov Štátnej pokladnice a podiel orgánov moci zapojených do centrálneho systému evidencie poplatkov prevádzkovateľa systému, čo bude možné vyhodnotiť podľa toho, či je naďalej potrebné ponechať duálny režim centrálnej evidencie poplatkov v dvoch systémoch, alebo niektorý z centrálnych systémov evidencie poplatkov je možné z predmetnej legislatívy vypustiť. </w:t>
            </w:r>
          </w:p>
        </w:tc>
      </w:tr>
      <w:tr w:rsidR="00BD372F" w:rsidRPr="00BD372F" w14:paraId="5FBE6113" w14:textId="77777777" w:rsidTr="00154BAB">
        <w:tc>
          <w:tcPr>
            <w:tcW w:w="9180" w:type="dxa"/>
            <w:gridSpan w:val="11"/>
            <w:tcBorders>
              <w:top w:val="nil"/>
              <w:left w:val="nil"/>
              <w:bottom w:val="single" w:sz="4" w:space="0" w:color="auto"/>
              <w:right w:val="nil"/>
            </w:tcBorders>
            <w:shd w:val="clear" w:color="auto" w:fill="FFFFFF"/>
          </w:tcPr>
          <w:p w14:paraId="1FD49C45" w14:textId="77777777" w:rsidR="00BD372F" w:rsidRPr="00BD372F" w:rsidRDefault="00BD372F" w:rsidP="00BD372F">
            <w:pPr>
              <w:spacing w:after="0" w:line="240" w:lineRule="auto"/>
              <w:jc w:val="both"/>
              <w:rPr>
                <w:rFonts w:ascii="Times New Roman" w:hAnsi="Times New Roman"/>
                <w:b/>
                <w:sz w:val="20"/>
                <w:szCs w:val="20"/>
                <w:lang w:eastAsia="sk-SK"/>
              </w:rPr>
            </w:pPr>
          </w:p>
          <w:p w14:paraId="3A7BD257" w14:textId="77777777" w:rsidR="00BD372F" w:rsidRPr="00BD372F" w:rsidRDefault="00BD372F" w:rsidP="00BD372F">
            <w:pPr>
              <w:spacing w:after="0" w:line="240" w:lineRule="auto"/>
              <w:ind w:left="142" w:hanging="142"/>
              <w:jc w:val="both"/>
              <w:rPr>
                <w:rFonts w:ascii="Times New Roman" w:hAnsi="Times New Roman"/>
                <w:sz w:val="20"/>
                <w:szCs w:val="20"/>
                <w:lang w:eastAsia="sk-SK"/>
              </w:rPr>
            </w:pPr>
            <w:r w:rsidRPr="00BD372F">
              <w:rPr>
                <w:rFonts w:ascii="Times New Roman" w:hAnsi="Times New Roman"/>
                <w:sz w:val="20"/>
                <w:szCs w:val="20"/>
                <w:lang w:eastAsia="sk-SK"/>
              </w:rPr>
              <w:t xml:space="preserve">* vyplniť iba v prípade, ak materiál nie je zahrnutý do Plánu práce vlády Slovenskej republiky alebo Plánu        legislatívnych úloh vlády Slovenskej republiky. </w:t>
            </w:r>
          </w:p>
          <w:p w14:paraId="3B413430" w14:textId="77777777" w:rsidR="00BD372F" w:rsidRPr="00BD372F" w:rsidRDefault="00BD372F" w:rsidP="00BD372F">
            <w:pPr>
              <w:spacing w:after="0" w:line="240" w:lineRule="auto"/>
              <w:jc w:val="both"/>
              <w:rPr>
                <w:rFonts w:ascii="Times New Roman" w:hAnsi="Times New Roman"/>
                <w:sz w:val="20"/>
                <w:szCs w:val="20"/>
                <w:lang w:eastAsia="sk-SK"/>
              </w:rPr>
            </w:pPr>
            <w:r w:rsidRPr="00BD372F">
              <w:rPr>
                <w:rFonts w:ascii="Times New Roman" w:hAnsi="Times New Roman"/>
                <w:sz w:val="20"/>
                <w:szCs w:val="20"/>
                <w:lang w:eastAsia="sk-SK"/>
              </w:rPr>
              <w:t>** vyplniť iba v prípade, ak sa záverečné posúdenie vybraných vplyvov uskutočnilo v zmysle bodu 9.1. jednotnej metodiky.</w:t>
            </w:r>
          </w:p>
          <w:p w14:paraId="4F7BF472" w14:textId="77777777" w:rsidR="00BD372F" w:rsidRPr="00BD372F" w:rsidRDefault="00BD372F" w:rsidP="00BD372F">
            <w:pPr>
              <w:spacing w:after="0" w:line="240" w:lineRule="auto"/>
              <w:jc w:val="both"/>
              <w:rPr>
                <w:rFonts w:ascii="Times New Roman" w:hAnsi="Times New Roman"/>
                <w:sz w:val="20"/>
                <w:szCs w:val="20"/>
                <w:lang w:eastAsia="sk-SK"/>
              </w:rPr>
            </w:pPr>
            <w:r w:rsidRPr="00BD372F">
              <w:rPr>
                <w:rFonts w:ascii="Times New Roman" w:hAnsi="Times New Roman"/>
                <w:sz w:val="20"/>
                <w:szCs w:val="20"/>
                <w:lang w:eastAsia="sk-SK"/>
              </w:rPr>
              <w:t>*** posudzovanie sa týka len zmien v I. a II. pilieri univerzálneho systému dôchodkového zabezpečenia s identifikovaným dopadom od 0,1 % HDP (vrátane) na dlhodobom horizonte.</w:t>
            </w:r>
          </w:p>
          <w:p w14:paraId="615D9F8A" w14:textId="77777777" w:rsidR="00BD372F" w:rsidRPr="00BD372F" w:rsidRDefault="00BD372F" w:rsidP="00BD372F">
            <w:pPr>
              <w:spacing w:after="0" w:line="240" w:lineRule="auto"/>
              <w:jc w:val="both"/>
              <w:rPr>
                <w:rFonts w:ascii="Times New Roman" w:hAnsi="Times New Roman"/>
                <w:b/>
                <w:sz w:val="20"/>
                <w:szCs w:val="20"/>
                <w:lang w:eastAsia="sk-SK"/>
              </w:rPr>
            </w:pPr>
          </w:p>
        </w:tc>
      </w:tr>
      <w:tr w:rsidR="00BD372F" w:rsidRPr="00BD372F" w14:paraId="5F82451F" w14:textId="77777777" w:rsidTr="00154BAB">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259EFDFB" w14:textId="77777777" w:rsidR="00BD372F" w:rsidRPr="00BD372F" w:rsidRDefault="00BD372F" w:rsidP="00BD372F">
            <w:pPr>
              <w:numPr>
                <w:ilvl w:val="0"/>
                <w:numId w:val="6"/>
              </w:numPr>
              <w:spacing w:after="0" w:line="240" w:lineRule="auto"/>
              <w:ind w:left="426"/>
              <w:contextualSpacing/>
              <w:rPr>
                <w:rFonts w:ascii="Times New Roman" w:hAnsi="Times New Roman"/>
                <w:b/>
                <w:szCs w:val="22"/>
              </w:rPr>
            </w:pPr>
            <w:r w:rsidRPr="00BD372F">
              <w:rPr>
                <w:rFonts w:ascii="Times New Roman" w:hAnsi="Times New Roman"/>
                <w:b/>
                <w:szCs w:val="22"/>
              </w:rPr>
              <w:t>Vybrané vplyvy materiálu</w:t>
            </w:r>
          </w:p>
        </w:tc>
      </w:tr>
      <w:tr w:rsidR="00BD372F" w:rsidRPr="00BD372F" w14:paraId="71DDF6D9" w14:textId="77777777" w:rsidTr="00154BAB">
        <w:tc>
          <w:tcPr>
            <w:tcW w:w="3812" w:type="dxa"/>
            <w:tcBorders>
              <w:top w:val="single" w:sz="4" w:space="0" w:color="auto"/>
              <w:left w:val="single" w:sz="4" w:space="0" w:color="auto"/>
              <w:bottom w:val="nil"/>
              <w:right w:val="single" w:sz="4" w:space="0" w:color="auto"/>
            </w:tcBorders>
            <w:shd w:val="clear" w:color="auto" w:fill="E2E2E2"/>
          </w:tcPr>
          <w:p w14:paraId="23A2A648" w14:textId="77777777" w:rsidR="00BD372F" w:rsidRPr="00BD372F" w:rsidRDefault="00BD372F" w:rsidP="00BD372F">
            <w:pPr>
              <w:spacing w:after="0" w:line="240" w:lineRule="auto"/>
              <w:rPr>
                <w:rFonts w:ascii="Times New Roman" w:hAnsi="Times New Roman"/>
                <w:b/>
                <w:sz w:val="20"/>
                <w:szCs w:val="20"/>
                <w:lang w:eastAsia="sk-SK"/>
              </w:rPr>
            </w:pPr>
            <w:r w:rsidRPr="00BD372F">
              <w:rPr>
                <w:rFonts w:ascii="Times New Roman" w:hAnsi="Times New Roman"/>
                <w:b/>
                <w:sz w:val="20"/>
                <w:szCs w:val="20"/>
                <w:lang w:eastAsia="sk-SK"/>
              </w:rPr>
              <w:t>Vplyvy na rozpočet verejnej správy</w:t>
            </w:r>
          </w:p>
        </w:tc>
        <w:sdt>
          <w:sdtPr>
            <w:rPr>
              <w:rFonts w:ascii="Times New Roman" w:hAnsi="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31D1E0D6" w14:textId="77777777" w:rsidR="00BD372F" w:rsidRPr="00BD372F" w:rsidRDefault="00BD372F" w:rsidP="00BD372F">
                <w:pPr>
                  <w:spacing w:after="0" w:line="240" w:lineRule="auto"/>
                  <w:jc w:val="center"/>
                  <w:rPr>
                    <w:rFonts w:ascii="Times New Roman" w:hAnsi="Times New Roman"/>
                    <w:b/>
                    <w:sz w:val="20"/>
                    <w:szCs w:val="20"/>
                    <w:lang w:eastAsia="sk-SK"/>
                  </w:rPr>
                </w:pPr>
                <w:r w:rsidRPr="00BD372F">
                  <w:rPr>
                    <w:rFonts w:ascii="Segoe UI Symbol" w:hAnsi="Segoe UI Symbol" w:cs="Segoe UI Symbol"/>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5BAB52EC" w14:textId="77777777" w:rsidR="00BD372F" w:rsidRPr="00BD372F" w:rsidRDefault="00BD372F" w:rsidP="00BD372F">
            <w:pPr>
              <w:spacing w:after="0" w:line="240" w:lineRule="auto"/>
              <w:rPr>
                <w:rFonts w:ascii="Times New Roman" w:hAnsi="Times New Roman"/>
                <w:b/>
                <w:sz w:val="20"/>
                <w:szCs w:val="20"/>
                <w:lang w:eastAsia="sk-SK"/>
              </w:rPr>
            </w:pPr>
            <w:r w:rsidRPr="00BD372F">
              <w:rPr>
                <w:rFonts w:ascii="Times New Roman" w:hAnsi="Times New Roman"/>
                <w:b/>
                <w:sz w:val="20"/>
                <w:szCs w:val="20"/>
                <w:lang w:eastAsia="sk-SK"/>
              </w:rPr>
              <w:t>Pozitívne</w:t>
            </w:r>
          </w:p>
        </w:tc>
        <w:sdt>
          <w:sdtPr>
            <w:rPr>
              <w:rFonts w:ascii="Times New Roman" w:hAnsi="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56991820" w14:textId="77777777" w:rsidR="00BD372F" w:rsidRPr="00BD372F" w:rsidRDefault="00BD372F" w:rsidP="00BD372F">
                <w:pPr>
                  <w:spacing w:after="0" w:line="240" w:lineRule="auto"/>
                  <w:jc w:val="center"/>
                  <w:rPr>
                    <w:rFonts w:ascii="Times New Roman" w:hAnsi="Times New Roman"/>
                    <w:b/>
                    <w:sz w:val="20"/>
                    <w:szCs w:val="20"/>
                    <w:lang w:eastAsia="sk-SK"/>
                  </w:rPr>
                </w:pPr>
                <w:r w:rsidRPr="00BD372F">
                  <w:rPr>
                    <w:rFonts w:ascii="Segoe UI Symbol"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tcPr>
          <w:p w14:paraId="4A3F6F26" w14:textId="77777777" w:rsidR="00BD372F" w:rsidRPr="00BD372F" w:rsidRDefault="00BD372F" w:rsidP="00BD372F">
            <w:pPr>
              <w:spacing w:after="0" w:line="240" w:lineRule="auto"/>
              <w:rPr>
                <w:rFonts w:ascii="Times New Roman" w:hAnsi="Times New Roman"/>
                <w:b/>
                <w:sz w:val="20"/>
                <w:szCs w:val="20"/>
                <w:lang w:eastAsia="sk-SK"/>
              </w:rPr>
            </w:pPr>
            <w:r w:rsidRPr="00BD372F">
              <w:rPr>
                <w:rFonts w:ascii="Times New Roman" w:hAnsi="Times New Roman"/>
                <w:b/>
                <w:sz w:val="20"/>
                <w:szCs w:val="20"/>
                <w:lang w:eastAsia="sk-SK"/>
              </w:rPr>
              <w:t>Žiadne</w:t>
            </w:r>
          </w:p>
        </w:tc>
        <w:sdt>
          <w:sdtPr>
            <w:rPr>
              <w:rFonts w:ascii="Times New Roman" w:hAnsi="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7E97D161" w14:textId="77777777" w:rsidR="00BD372F" w:rsidRPr="00BD372F" w:rsidRDefault="00BD372F" w:rsidP="00BD372F">
                <w:pPr>
                  <w:spacing w:after="0" w:line="240" w:lineRule="auto"/>
                  <w:ind w:left="-107" w:right="-108"/>
                  <w:jc w:val="center"/>
                  <w:rPr>
                    <w:rFonts w:ascii="Times New Roman" w:hAnsi="Times New Roman"/>
                    <w:b/>
                    <w:sz w:val="20"/>
                    <w:szCs w:val="20"/>
                    <w:lang w:eastAsia="sk-SK"/>
                  </w:rPr>
                </w:pPr>
                <w:r w:rsidRPr="00BD372F">
                  <w:rPr>
                    <w:rFonts w:ascii="Segoe UI Symbol"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21486882" w14:textId="77777777" w:rsidR="00BD372F" w:rsidRPr="00BD372F" w:rsidRDefault="00BD372F" w:rsidP="00BD372F">
            <w:pPr>
              <w:spacing w:after="0" w:line="240" w:lineRule="auto"/>
              <w:ind w:left="34"/>
              <w:rPr>
                <w:rFonts w:ascii="Times New Roman" w:hAnsi="Times New Roman"/>
                <w:b/>
                <w:sz w:val="20"/>
                <w:szCs w:val="20"/>
                <w:lang w:eastAsia="sk-SK"/>
              </w:rPr>
            </w:pPr>
            <w:r w:rsidRPr="00BD372F">
              <w:rPr>
                <w:rFonts w:ascii="Times New Roman" w:hAnsi="Times New Roman"/>
                <w:b/>
                <w:sz w:val="20"/>
                <w:szCs w:val="20"/>
                <w:lang w:eastAsia="sk-SK"/>
              </w:rPr>
              <w:t>Negatívne</w:t>
            </w:r>
          </w:p>
        </w:tc>
      </w:tr>
      <w:tr w:rsidR="00BD372F" w:rsidRPr="00BD372F" w14:paraId="76B7C3B8" w14:textId="77777777" w:rsidTr="00154BAB">
        <w:tc>
          <w:tcPr>
            <w:tcW w:w="3812" w:type="dxa"/>
            <w:tcBorders>
              <w:top w:val="nil"/>
              <w:left w:val="single" w:sz="4" w:space="0" w:color="auto"/>
              <w:bottom w:val="nil"/>
              <w:right w:val="single" w:sz="4" w:space="0" w:color="auto"/>
            </w:tcBorders>
            <w:shd w:val="clear" w:color="auto" w:fill="E2E2E2"/>
          </w:tcPr>
          <w:p w14:paraId="6B53E8CD" w14:textId="77777777" w:rsidR="00BD372F" w:rsidRPr="00BD372F" w:rsidRDefault="00BD372F" w:rsidP="00BD372F">
            <w:pPr>
              <w:spacing w:after="0" w:line="240" w:lineRule="auto"/>
              <w:rPr>
                <w:rFonts w:ascii="Times New Roman" w:hAnsi="Times New Roman"/>
                <w:sz w:val="20"/>
                <w:szCs w:val="20"/>
                <w:lang w:eastAsia="sk-SK"/>
              </w:rPr>
            </w:pPr>
            <w:r w:rsidRPr="00BD372F">
              <w:rPr>
                <w:rFonts w:ascii="Times New Roman" w:hAnsi="Times New Roman"/>
                <w:sz w:val="20"/>
                <w:szCs w:val="20"/>
                <w:lang w:eastAsia="sk-SK"/>
              </w:rPr>
              <w:t xml:space="preserve">    z toho rozpočtovo zabezpečené vplyvy,         </w:t>
            </w:r>
          </w:p>
          <w:p w14:paraId="0D16F7FD" w14:textId="77777777" w:rsidR="00BD372F" w:rsidRPr="00BD372F" w:rsidRDefault="00BD372F" w:rsidP="00BD372F">
            <w:pPr>
              <w:spacing w:after="0" w:line="240" w:lineRule="auto"/>
              <w:rPr>
                <w:rFonts w:ascii="Times New Roman" w:hAnsi="Times New Roman"/>
                <w:sz w:val="20"/>
                <w:szCs w:val="20"/>
                <w:lang w:eastAsia="sk-SK"/>
              </w:rPr>
            </w:pPr>
            <w:r w:rsidRPr="00BD372F">
              <w:rPr>
                <w:rFonts w:ascii="Times New Roman" w:hAnsi="Times New Roman"/>
                <w:sz w:val="20"/>
                <w:szCs w:val="20"/>
                <w:lang w:eastAsia="sk-SK"/>
              </w:rPr>
              <w:t xml:space="preserve">    v prípade identifikovaného negatívneho </w:t>
            </w:r>
          </w:p>
          <w:p w14:paraId="45344D99" w14:textId="77777777" w:rsidR="00BD372F" w:rsidRPr="00BD372F" w:rsidRDefault="00BD372F" w:rsidP="00BD372F">
            <w:pPr>
              <w:spacing w:after="0" w:line="240" w:lineRule="auto"/>
              <w:rPr>
                <w:rFonts w:ascii="Times New Roman" w:hAnsi="Times New Roman"/>
                <w:sz w:val="20"/>
                <w:szCs w:val="20"/>
                <w:lang w:eastAsia="sk-SK"/>
              </w:rPr>
            </w:pPr>
            <w:r w:rsidRPr="00BD372F">
              <w:rPr>
                <w:rFonts w:ascii="Times New Roman" w:hAnsi="Times New Roman"/>
                <w:sz w:val="20"/>
                <w:szCs w:val="20"/>
                <w:lang w:eastAsia="sk-SK"/>
              </w:rPr>
              <w:t xml:space="preserve">    vplyvu</w:t>
            </w:r>
          </w:p>
        </w:tc>
        <w:sdt>
          <w:sdtPr>
            <w:rPr>
              <w:rFonts w:ascii="Times New Roman" w:hAnsi="Times New Roman"/>
              <w:sz w:val="20"/>
              <w:szCs w:val="20"/>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0291B244"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Segoe UI Symbol" w:hAnsi="Segoe UI Symbol" w:cs="Segoe UI Symbol"/>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2A70795A" w14:textId="77777777" w:rsidR="00BD372F" w:rsidRPr="00BD372F" w:rsidRDefault="00BD372F" w:rsidP="00BD372F">
            <w:pPr>
              <w:spacing w:after="0" w:line="240" w:lineRule="auto"/>
              <w:rPr>
                <w:rFonts w:ascii="Times New Roman" w:hAnsi="Times New Roman"/>
                <w:sz w:val="20"/>
                <w:szCs w:val="20"/>
                <w:lang w:eastAsia="sk-SK"/>
              </w:rPr>
            </w:pPr>
            <w:r w:rsidRPr="00BD372F">
              <w:rPr>
                <w:rFonts w:ascii="Times New Roman" w:hAnsi="Times New Roman"/>
                <w:sz w:val="20"/>
                <w:szCs w:val="20"/>
                <w:lang w:eastAsia="sk-SK"/>
              </w:rPr>
              <w:t>Áno</w:t>
            </w:r>
          </w:p>
        </w:tc>
        <w:sdt>
          <w:sdtPr>
            <w:rPr>
              <w:rFonts w:ascii="Times New Roman" w:hAnsi="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37EC3057"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Segoe UI Symbol" w:hAnsi="Segoe UI Symbol" w:cs="Segoe UI Symbol"/>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7B073E63" w14:textId="77777777" w:rsidR="00BD372F" w:rsidRPr="00BD372F" w:rsidRDefault="00BD372F" w:rsidP="00BD372F">
            <w:pPr>
              <w:spacing w:after="0" w:line="240" w:lineRule="auto"/>
              <w:rPr>
                <w:rFonts w:ascii="Times New Roman" w:hAnsi="Times New Roman"/>
                <w:sz w:val="20"/>
                <w:szCs w:val="20"/>
                <w:lang w:eastAsia="sk-SK"/>
              </w:rPr>
            </w:pPr>
            <w:r w:rsidRPr="00BD372F">
              <w:rPr>
                <w:rFonts w:ascii="Times New Roman" w:hAnsi="Times New Roman"/>
                <w:sz w:val="20"/>
                <w:szCs w:val="20"/>
                <w:lang w:eastAsia="sk-SK"/>
              </w:rPr>
              <w:t>Nie</w:t>
            </w:r>
          </w:p>
        </w:tc>
        <w:sdt>
          <w:sdtPr>
            <w:rPr>
              <w:rFonts w:ascii="Times New Roman" w:hAnsi="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5FF1526D" w14:textId="77777777" w:rsidR="00BD372F" w:rsidRPr="00BD372F" w:rsidRDefault="00BD372F" w:rsidP="00BD372F">
                <w:pPr>
                  <w:spacing w:after="0" w:line="240" w:lineRule="auto"/>
                  <w:ind w:left="-107" w:right="-108"/>
                  <w:jc w:val="center"/>
                  <w:rPr>
                    <w:rFonts w:ascii="Times New Roman" w:hAnsi="Times New Roman"/>
                    <w:sz w:val="20"/>
                    <w:szCs w:val="20"/>
                    <w:lang w:eastAsia="sk-SK"/>
                  </w:rPr>
                </w:pPr>
                <w:r w:rsidRPr="00BD372F">
                  <w:rPr>
                    <w:rFonts w:ascii="Segoe UI Symbol"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47F4002E" w14:textId="77777777" w:rsidR="00BD372F" w:rsidRPr="00BD372F" w:rsidRDefault="00BD372F" w:rsidP="00BD372F">
            <w:pPr>
              <w:spacing w:after="0" w:line="240" w:lineRule="auto"/>
              <w:ind w:left="34"/>
              <w:rPr>
                <w:rFonts w:ascii="Times New Roman" w:hAnsi="Times New Roman"/>
                <w:sz w:val="20"/>
                <w:szCs w:val="20"/>
                <w:lang w:eastAsia="sk-SK"/>
              </w:rPr>
            </w:pPr>
            <w:r w:rsidRPr="00BD372F">
              <w:rPr>
                <w:rFonts w:ascii="Times New Roman" w:hAnsi="Times New Roman"/>
                <w:sz w:val="20"/>
                <w:szCs w:val="20"/>
                <w:lang w:eastAsia="sk-SK"/>
              </w:rPr>
              <w:t>Čiastočne</w:t>
            </w:r>
          </w:p>
        </w:tc>
      </w:tr>
      <w:tr w:rsidR="00BD372F" w:rsidRPr="00BD372F" w14:paraId="74D901E1" w14:textId="77777777" w:rsidTr="00154BAB">
        <w:tc>
          <w:tcPr>
            <w:tcW w:w="3812" w:type="dxa"/>
            <w:tcBorders>
              <w:top w:val="nil"/>
              <w:left w:val="single" w:sz="4" w:space="0" w:color="auto"/>
              <w:bottom w:val="nil"/>
              <w:right w:val="single" w:sz="4" w:space="0" w:color="auto"/>
            </w:tcBorders>
            <w:shd w:val="clear" w:color="auto" w:fill="E2E2E2"/>
          </w:tcPr>
          <w:p w14:paraId="02DC4FFA" w14:textId="77777777" w:rsidR="00BD372F" w:rsidRPr="00BD372F" w:rsidRDefault="00BD372F" w:rsidP="00BD372F">
            <w:pPr>
              <w:spacing w:after="0" w:line="240" w:lineRule="auto"/>
              <w:rPr>
                <w:rFonts w:ascii="Times New Roman" w:hAnsi="Times New Roman"/>
                <w:b/>
                <w:sz w:val="20"/>
                <w:szCs w:val="20"/>
                <w:lang w:eastAsia="sk-SK"/>
              </w:rPr>
            </w:pPr>
            <w:r w:rsidRPr="00BD372F">
              <w:rPr>
                <w:rFonts w:ascii="Times New Roman" w:hAnsi="Times New Roman"/>
                <w:b/>
                <w:sz w:val="20"/>
                <w:szCs w:val="20"/>
                <w:lang w:eastAsia="sk-SK"/>
              </w:rPr>
              <w:t>v tom vplyvy na rozpočty obcí a vyšších územných celkov</w:t>
            </w:r>
          </w:p>
        </w:tc>
        <w:sdt>
          <w:sdtPr>
            <w:rPr>
              <w:rFonts w:ascii="Times New Roman" w:hAnsi="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58F4CD1C" w14:textId="77777777" w:rsidR="00BD372F" w:rsidRPr="00BD372F" w:rsidRDefault="00BD372F" w:rsidP="00BD372F">
                <w:pPr>
                  <w:spacing w:after="0" w:line="240" w:lineRule="auto"/>
                  <w:jc w:val="center"/>
                  <w:rPr>
                    <w:rFonts w:ascii="Times New Roman" w:hAnsi="Times New Roman"/>
                    <w:b/>
                    <w:sz w:val="20"/>
                    <w:szCs w:val="20"/>
                    <w:lang w:eastAsia="sk-SK"/>
                  </w:rPr>
                </w:pPr>
                <w:r w:rsidRPr="00BD372F">
                  <w:rPr>
                    <w:rFonts w:ascii="Segoe UI Symbol" w:hAnsi="Segoe UI Symbol" w:cs="Segoe UI Symbol"/>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426D9A38" w14:textId="77777777" w:rsidR="00BD372F" w:rsidRPr="00BD372F" w:rsidRDefault="00BD372F" w:rsidP="00BD372F">
            <w:pPr>
              <w:spacing w:after="0" w:line="240" w:lineRule="auto"/>
              <w:rPr>
                <w:rFonts w:ascii="Times New Roman" w:hAnsi="Times New Roman"/>
                <w:b/>
                <w:sz w:val="20"/>
                <w:szCs w:val="20"/>
                <w:lang w:eastAsia="sk-SK"/>
              </w:rPr>
            </w:pPr>
            <w:r w:rsidRPr="00BD372F">
              <w:rPr>
                <w:rFonts w:ascii="Times New Roman" w:hAnsi="Times New Roman"/>
                <w:b/>
                <w:sz w:val="20"/>
                <w:szCs w:val="20"/>
                <w:lang w:eastAsia="sk-SK"/>
              </w:rPr>
              <w:t>Pozitívne</w:t>
            </w:r>
          </w:p>
        </w:tc>
        <w:sdt>
          <w:sdtPr>
            <w:rPr>
              <w:rFonts w:ascii="Times New Roman" w:hAnsi="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01C2282B" w14:textId="77777777" w:rsidR="00BD372F" w:rsidRPr="00BD372F" w:rsidRDefault="00BD372F" w:rsidP="00BD372F">
                <w:pPr>
                  <w:spacing w:after="0" w:line="240" w:lineRule="auto"/>
                  <w:jc w:val="center"/>
                  <w:rPr>
                    <w:rFonts w:ascii="Times New Roman" w:hAnsi="Times New Roman"/>
                    <w:b/>
                    <w:sz w:val="20"/>
                    <w:szCs w:val="20"/>
                    <w:lang w:eastAsia="sk-SK"/>
                  </w:rPr>
                </w:pPr>
                <w:r w:rsidRPr="00BD372F">
                  <w:rPr>
                    <w:rFonts w:ascii="Segoe UI Symbol" w:hAnsi="Segoe UI Symbol" w:cs="Segoe UI Symbol"/>
                    <w:b/>
                    <w:sz w:val="20"/>
                    <w:szCs w:val="20"/>
                    <w:lang w:eastAsia="sk-SK"/>
                  </w:rPr>
                  <w:t>☒</w:t>
                </w:r>
              </w:p>
            </w:tc>
          </w:sdtContent>
        </w:sdt>
        <w:tc>
          <w:tcPr>
            <w:tcW w:w="1133" w:type="dxa"/>
            <w:tcBorders>
              <w:top w:val="dotted" w:sz="4" w:space="0" w:color="auto"/>
              <w:left w:val="nil"/>
              <w:bottom w:val="dotted" w:sz="4" w:space="0" w:color="auto"/>
              <w:right w:val="nil"/>
            </w:tcBorders>
          </w:tcPr>
          <w:p w14:paraId="108BBA96" w14:textId="77777777" w:rsidR="00BD372F" w:rsidRPr="00BD372F" w:rsidRDefault="00BD372F" w:rsidP="00BD372F">
            <w:pPr>
              <w:spacing w:after="0" w:line="240" w:lineRule="auto"/>
              <w:rPr>
                <w:rFonts w:ascii="Times New Roman" w:hAnsi="Times New Roman"/>
                <w:b/>
                <w:sz w:val="20"/>
                <w:szCs w:val="20"/>
                <w:lang w:eastAsia="sk-SK"/>
              </w:rPr>
            </w:pPr>
            <w:r w:rsidRPr="00BD372F">
              <w:rPr>
                <w:rFonts w:ascii="Times New Roman" w:hAnsi="Times New Roman"/>
                <w:b/>
                <w:sz w:val="20"/>
                <w:szCs w:val="20"/>
                <w:lang w:eastAsia="sk-SK"/>
              </w:rPr>
              <w:t>Žiadne</w:t>
            </w:r>
          </w:p>
        </w:tc>
        <w:sdt>
          <w:sdtPr>
            <w:rPr>
              <w:rFonts w:ascii="Times New Roman" w:hAnsi="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5B81D27A" w14:textId="77777777" w:rsidR="00BD372F" w:rsidRPr="00BD372F" w:rsidRDefault="00BD372F" w:rsidP="00BD372F">
                <w:pPr>
                  <w:spacing w:after="0" w:line="240" w:lineRule="auto"/>
                  <w:ind w:left="-107" w:right="-108"/>
                  <w:jc w:val="center"/>
                  <w:rPr>
                    <w:rFonts w:ascii="Times New Roman" w:hAnsi="Times New Roman"/>
                    <w:b/>
                    <w:sz w:val="20"/>
                    <w:szCs w:val="20"/>
                    <w:lang w:eastAsia="sk-SK"/>
                  </w:rPr>
                </w:pPr>
                <w:r w:rsidRPr="00BD372F">
                  <w:rPr>
                    <w:rFonts w:ascii="Segoe UI Symbol"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1E7475D4" w14:textId="77777777" w:rsidR="00BD372F" w:rsidRPr="00BD372F" w:rsidRDefault="00BD372F" w:rsidP="00BD372F">
            <w:pPr>
              <w:spacing w:after="0" w:line="240" w:lineRule="auto"/>
              <w:ind w:left="34"/>
              <w:rPr>
                <w:rFonts w:ascii="Times New Roman" w:hAnsi="Times New Roman"/>
                <w:b/>
                <w:sz w:val="20"/>
                <w:szCs w:val="20"/>
                <w:lang w:eastAsia="sk-SK"/>
              </w:rPr>
            </w:pPr>
            <w:r w:rsidRPr="00BD372F">
              <w:rPr>
                <w:rFonts w:ascii="Times New Roman" w:hAnsi="Times New Roman"/>
                <w:b/>
                <w:sz w:val="20"/>
                <w:szCs w:val="20"/>
                <w:lang w:eastAsia="sk-SK"/>
              </w:rPr>
              <w:t>Negatívne</w:t>
            </w:r>
          </w:p>
        </w:tc>
      </w:tr>
      <w:tr w:rsidR="00BD372F" w:rsidRPr="00BD372F" w14:paraId="3B65C64B" w14:textId="77777777" w:rsidTr="00154BAB">
        <w:tc>
          <w:tcPr>
            <w:tcW w:w="3812" w:type="dxa"/>
            <w:tcBorders>
              <w:top w:val="nil"/>
              <w:left w:val="single" w:sz="4" w:space="0" w:color="auto"/>
              <w:bottom w:val="single" w:sz="4" w:space="0" w:color="auto"/>
              <w:right w:val="single" w:sz="4" w:space="0" w:color="auto"/>
            </w:tcBorders>
            <w:shd w:val="clear" w:color="auto" w:fill="E2E2E2"/>
          </w:tcPr>
          <w:p w14:paraId="442A19F6" w14:textId="77777777" w:rsidR="00BD372F" w:rsidRPr="00BD372F" w:rsidRDefault="00BD372F" w:rsidP="00BD372F">
            <w:pPr>
              <w:spacing w:after="0" w:line="240" w:lineRule="auto"/>
              <w:ind w:left="171"/>
              <w:rPr>
                <w:rFonts w:ascii="Times New Roman" w:hAnsi="Times New Roman"/>
                <w:sz w:val="20"/>
                <w:szCs w:val="20"/>
                <w:lang w:eastAsia="sk-SK"/>
              </w:rPr>
            </w:pPr>
            <w:r w:rsidRPr="00BD372F">
              <w:rPr>
                <w:rFonts w:ascii="Times New Roman" w:hAnsi="Times New Roman"/>
                <w:sz w:val="20"/>
                <w:szCs w:val="20"/>
                <w:lang w:eastAsia="sk-SK"/>
              </w:rPr>
              <w:t>z toho rozpočtovo zabezpečené vplyvy,</w:t>
            </w:r>
          </w:p>
          <w:p w14:paraId="1E32CAB6" w14:textId="77777777" w:rsidR="00BD372F" w:rsidRPr="00BD372F" w:rsidRDefault="00BD372F" w:rsidP="00BD372F">
            <w:pPr>
              <w:spacing w:after="0" w:line="240" w:lineRule="auto"/>
              <w:ind w:left="171"/>
              <w:rPr>
                <w:rFonts w:ascii="Times New Roman" w:hAnsi="Times New Roman"/>
                <w:sz w:val="20"/>
                <w:szCs w:val="20"/>
                <w:lang w:eastAsia="sk-SK"/>
              </w:rPr>
            </w:pPr>
            <w:r w:rsidRPr="00BD372F">
              <w:rPr>
                <w:rFonts w:ascii="Times New Roman" w:hAnsi="Times New Roman"/>
                <w:sz w:val="20"/>
                <w:szCs w:val="20"/>
                <w:lang w:eastAsia="sk-SK"/>
              </w:rPr>
              <w:t>v prípade identifikovaného negatívneho vplyvu</w:t>
            </w:r>
          </w:p>
        </w:tc>
        <w:sdt>
          <w:sdtPr>
            <w:rPr>
              <w:rFonts w:ascii="Times New Roman" w:hAnsi="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1D976184"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Segoe UI Symbol" w:hAnsi="Segoe UI Symbol" w:cs="Segoe UI Symbol"/>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5384BDAC" w14:textId="77777777" w:rsidR="00BD372F" w:rsidRPr="00BD372F" w:rsidRDefault="00BD372F" w:rsidP="00BD372F">
            <w:pPr>
              <w:spacing w:after="0" w:line="240" w:lineRule="auto"/>
              <w:rPr>
                <w:rFonts w:ascii="Times New Roman" w:hAnsi="Times New Roman"/>
                <w:sz w:val="20"/>
                <w:szCs w:val="20"/>
                <w:lang w:eastAsia="sk-SK"/>
              </w:rPr>
            </w:pPr>
            <w:r w:rsidRPr="00BD372F">
              <w:rPr>
                <w:rFonts w:ascii="Times New Roman" w:hAnsi="Times New Roman"/>
                <w:sz w:val="20"/>
                <w:szCs w:val="20"/>
                <w:lang w:eastAsia="sk-SK"/>
              </w:rPr>
              <w:t>Áno</w:t>
            </w:r>
          </w:p>
        </w:tc>
        <w:sdt>
          <w:sdtPr>
            <w:rPr>
              <w:rFonts w:ascii="Times New Roman" w:hAnsi="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266D5C95"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Segoe UI Symbol" w:hAnsi="Segoe UI Symbol" w:cs="Segoe UI Symbol"/>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4C858596" w14:textId="77777777" w:rsidR="00BD372F" w:rsidRPr="00BD372F" w:rsidRDefault="00BD372F" w:rsidP="00BD372F">
            <w:pPr>
              <w:spacing w:after="0" w:line="240" w:lineRule="auto"/>
              <w:rPr>
                <w:rFonts w:ascii="Times New Roman" w:hAnsi="Times New Roman"/>
                <w:sz w:val="20"/>
                <w:szCs w:val="20"/>
                <w:lang w:eastAsia="sk-SK"/>
              </w:rPr>
            </w:pPr>
            <w:r w:rsidRPr="00BD372F">
              <w:rPr>
                <w:rFonts w:ascii="Times New Roman" w:hAnsi="Times New Roman"/>
                <w:sz w:val="20"/>
                <w:szCs w:val="20"/>
                <w:lang w:eastAsia="sk-SK"/>
              </w:rPr>
              <w:t>Nie</w:t>
            </w:r>
          </w:p>
        </w:tc>
        <w:sdt>
          <w:sdtPr>
            <w:rPr>
              <w:rFonts w:ascii="Times New Roman" w:hAnsi="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3962B3F1" w14:textId="77777777" w:rsidR="00BD372F" w:rsidRPr="00BD372F" w:rsidRDefault="00BD372F" w:rsidP="00BD372F">
                <w:pPr>
                  <w:spacing w:after="0" w:line="240" w:lineRule="auto"/>
                  <w:ind w:left="-107" w:right="-108"/>
                  <w:jc w:val="center"/>
                  <w:rPr>
                    <w:rFonts w:ascii="Times New Roman" w:hAnsi="Times New Roman"/>
                    <w:sz w:val="20"/>
                    <w:szCs w:val="20"/>
                    <w:lang w:eastAsia="sk-SK"/>
                  </w:rPr>
                </w:pPr>
                <w:r w:rsidRPr="00BD372F">
                  <w:rPr>
                    <w:rFonts w:ascii="Segoe UI Symbol" w:hAnsi="Segoe UI Symbol" w:cs="Segoe UI Symbol"/>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1A9E0656" w14:textId="77777777" w:rsidR="00BD372F" w:rsidRPr="00BD372F" w:rsidRDefault="00BD372F" w:rsidP="00BD372F">
            <w:pPr>
              <w:spacing w:after="0" w:line="240" w:lineRule="auto"/>
              <w:ind w:left="34"/>
              <w:rPr>
                <w:rFonts w:ascii="Times New Roman" w:hAnsi="Times New Roman"/>
                <w:sz w:val="20"/>
                <w:szCs w:val="20"/>
                <w:lang w:eastAsia="sk-SK"/>
              </w:rPr>
            </w:pPr>
            <w:r w:rsidRPr="00BD372F">
              <w:rPr>
                <w:rFonts w:ascii="Times New Roman" w:hAnsi="Times New Roman"/>
                <w:sz w:val="20"/>
                <w:szCs w:val="20"/>
                <w:lang w:eastAsia="sk-SK"/>
              </w:rPr>
              <w:t>Čiastočne</w:t>
            </w:r>
          </w:p>
        </w:tc>
      </w:tr>
      <w:tr w:rsidR="00BD372F" w:rsidRPr="00BD372F" w14:paraId="52A355A3" w14:textId="77777777" w:rsidTr="00154BAB">
        <w:tc>
          <w:tcPr>
            <w:tcW w:w="3812" w:type="dxa"/>
            <w:tcBorders>
              <w:top w:val="single" w:sz="4" w:space="0" w:color="auto"/>
              <w:left w:val="single" w:sz="4" w:space="0" w:color="auto"/>
              <w:bottom w:val="single" w:sz="4" w:space="0" w:color="auto"/>
              <w:right w:val="single" w:sz="4" w:space="0" w:color="auto"/>
            </w:tcBorders>
            <w:shd w:val="clear" w:color="auto" w:fill="E2E2E2"/>
          </w:tcPr>
          <w:p w14:paraId="4A74F5CD" w14:textId="77777777" w:rsidR="00BD372F" w:rsidRPr="00BD372F" w:rsidRDefault="00BD372F" w:rsidP="00BD372F">
            <w:pPr>
              <w:spacing w:after="0" w:line="240" w:lineRule="auto"/>
              <w:ind w:left="171"/>
              <w:rPr>
                <w:rFonts w:ascii="Times New Roman" w:hAnsi="Times New Roman"/>
                <w:sz w:val="20"/>
                <w:szCs w:val="20"/>
                <w:lang w:eastAsia="sk-SK"/>
              </w:rPr>
            </w:pPr>
            <w:r w:rsidRPr="00BD372F">
              <w:rPr>
                <w:rFonts w:ascii="Times New Roman" w:hAnsi="Times New Roman"/>
                <w:sz w:val="20"/>
                <w:szCs w:val="20"/>
                <w:lang w:eastAsia="sk-SK"/>
              </w:rPr>
              <w:t>Vplyv na dlhodobú udržateľnosť verejných financií v prípade vybraných opatrení ***</w:t>
            </w:r>
          </w:p>
        </w:tc>
        <w:sdt>
          <w:sdtPr>
            <w:rPr>
              <w:rFonts w:ascii="Times New Roman" w:hAnsi="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0406890D"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Segoe UI Symbol" w:hAnsi="Segoe UI Symbol" w:cs="Segoe UI Symbol"/>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09C46775" w14:textId="77777777" w:rsidR="00BD372F" w:rsidRPr="00BD372F" w:rsidRDefault="00BD372F" w:rsidP="00BD372F">
            <w:pPr>
              <w:spacing w:after="0" w:line="240" w:lineRule="auto"/>
              <w:rPr>
                <w:rFonts w:ascii="Times New Roman" w:hAnsi="Times New Roman"/>
                <w:sz w:val="20"/>
                <w:szCs w:val="20"/>
                <w:lang w:eastAsia="sk-SK"/>
              </w:rPr>
            </w:pPr>
            <w:r w:rsidRPr="00BD372F">
              <w:rPr>
                <w:rFonts w:ascii="Times New Roman" w:hAnsi="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4EC19BAA"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1133" w:type="dxa"/>
            <w:tcBorders>
              <w:top w:val="single" w:sz="4" w:space="0" w:color="auto"/>
              <w:left w:val="nil"/>
              <w:bottom w:val="single" w:sz="4" w:space="0" w:color="auto"/>
              <w:right w:val="nil"/>
            </w:tcBorders>
            <w:vAlign w:val="center"/>
          </w:tcPr>
          <w:p w14:paraId="747DB061" w14:textId="77777777" w:rsidR="00BD372F" w:rsidRPr="00BD372F" w:rsidRDefault="00BD372F" w:rsidP="00BD372F">
            <w:pPr>
              <w:spacing w:after="0" w:line="240" w:lineRule="auto"/>
              <w:rPr>
                <w:rFonts w:ascii="Times New Roman" w:hAnsi="Times New Roman"/>
                <w:sz w:val="20"/>
                <w:szCs w:val="20"/>
                <w:lang w:eastAsia="sk-SK"/>
              </w:rPr>
            </w:pPr>
          </w:p>
        </w:tc>
        <w:sdt>
          <w:sdtPr>
            <w:rPr>
              <w:rFonts w:ascii="Times New Roman" w:hAnsi="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14E48176" w14:textId="77777777" w:rsidR="00BD372F" w:rsidRPr="00BD372F" w:rsidRDefault="00BD372F" w:rsidP="00BD372F">
                <w:pPr>
                  <w:spacing w:after="0" w:line="240" w:lineRule="auto"/>
                  <w:ind w:left="-107" w:right="-108"/>
                  <w:jc w:val="center"/>
                  <w:rPr>
                    <w:rFonts w:ascii="Times New Roman" w:hAnsi="Times New Roman"/>
                    <w:sz w:val="20"/>
                    <w:szCs w:val="20"/>
                    <w:lang w:eastAsia="sk-SK"/>
                  </w:rPr>
                </w:pPr>
                <w:r w:rsidRPr="00BD372F">
                  <w:rPr>
                    <w:rFonts w:ascii="Segoe UI Symbol" w:hAnsi="Segoe UI Symbol" w:cs="Segoe UI Symbol"/>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1D474809" w14:textId="77777777" w:rsidR="00BD372F" w:rsidRPr="00BD372F" w:rsidRDefault="00BD372F" w:rsidP="00BD372F">
            <w:pPr>
              <w:spacing w:after="0" w:line="240" w:lineRule="auto"/>
              <w:ind w:left="34"/>
              <w:rPr>
                <w:rFonts w:ascii="Times New Roman" w:hAnsi="Times New Roman"/>
                <w:sz w:val="20"/>
                <w:szCs w:val="20"/>
                <w:lang w:eastAsia="sk-SK"/>
              </w:rPr>
            </w:pPr>
            <w:r w:rsidRPr="00BD372F">
              <w:rPr>
                <w:rFonts w:ascii="Times New Roman" w:hAnsi="Times New Roman"/>
                <w:sz w:val="20"/>
                <w:szCs w:val="20"/>
                <w:lang w:eastAsia="sk-SK"/>
              </w:rPr>
              <w:t>Nie</w:t>
            </w:r>
          </w:p>
        </w:tc>
      </w:tr>
      <w:tr w:rsidR="00BD372F" w:rsidRPr="00BD372F" w14:paraId="482B93AF" w14:textId="77777777" w:rsidTr="00154BAB">
        <w:tc>
          <w:tcPr>
            <w:tcW w:w="3812" w:type="dxa"/>
            <w:tcBorders>
              <w:top w:val="single" w:sz="4" w:space="0" w:color="auto"/>
              <w:left w:val="single" w:sz="4" w:space="0" w:color="auto"/>
              <w:bottom w:val="single" w:sz="4" w:space="0" w:color="auto"/>
              <w:right w:val="single" w:sz="4" w:space="0" w:color="auto"/>
            </w:tcBorders>
            <w:shd w:val="clear" w:color="auto" w:fill="E2E2E2"/>
          </w:tcPr>
          <w:p w14:paraId="5F193C48" w14:textId="77777777" w:rsidR="00BD372F" w:rsidRPr="00BD372F" w:rsidRDefault="00BD372F" w:rsidP="00BD372F">
            <w:pPr>
              <w:spacing w:after="0" w:line="240" w:lineRule="auto"/>
              <w:rPr>
                <w:rFonts w:ascii="Times New Roman" w:hAnsi="Times New Roman"/>
                <w:b/>
                <w:sz w:val="20"/>
                <w:szCs w:val="20"/>
                <w:lang w:eastAsia="sk-SK"/>
              </w:rPr>
            </w:pPr>
            <w:r w:rsidRPr="00BD372F">
              <w:rPr>
                <w:rFonts w:ascii="Times New Roman" w:hAnsi="Times New Roman"/>
                <w:b/>
                <w:sz w:val="20"/>
                <w:szCs w:val="20"/>
                <w:lang w:eastAsia="sk-SK"/>
              </w:rPr>
              <w:t>Vplyvy na limit verejných výdavkov</w:t>
            </w:r>
          </w:p>
        </w:tc>
        <w:sdt>
          <w:sdtPr>
            <w:rPr>
              <w:rFonts w:ascii="Times New Roman" w:hAnsi="Times New Roman"/>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662A8FD6"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Segoe UI Symbol" w:hAnsi="Segoe UI Symbol" w:cs="Segoe UI Symbol"/>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09DD0459" w14:textId="77777777" w:rsidR="00BD372F" w:rsidRPr="00BD372F" w:rsidRDefault="00BD372F" w:rsidP="00BD372F">
            <w:pPr>
              <w:spacing w:after="0" w:line="240" w:lineRule="auto"/>
              <w:rPr>
                <w:rFonts w:ascii="Times New Roman" w:hAnsi="Times New Roman"/>
                <w:sz w:val="20"/>
                <w:szCs w:val="20"/>
                <w:lang w:eastAsia="sk-SK"/>
              </w:rPr>
            </w:pPr>
            <w:r w:rsidRPr="00BD372F">
              <w:rPr>
                <w:rFonts w:ascii="Times New Roman" w:hAnsi="Times New Roman"/>
                <w:b/>
                <w:sz w:val="20"/>
                <w:szCs w:val="20"/>
                <w:lang w:eastAsia="sk-SK"/>
              </w:rPr>
              <w:t>Pozitívne</w:t>
            </w:r>
          </w:p>
        </w:tc>
        <w:sdt>
          <w:sdtPr>
            <w:rPr>
              <w:rFonts w:ascii="Times New Roman" w:hAnsi="Times New Roman"/>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7EFC8A9E"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Segoe UI Symbol" w:hAnsi="Segoe UI Symbol" w:cs="Segoe UI Symbol"/>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395EC9C2" w14:textId="77777777" w:rsidR="00BD372F" w:rsidRPr="00BD372F" w:rsidRDefault="00BD372F" w:rsidP="00BD372F">
            <w:pPr>
              <w:spacing w:after="0" w:line="240" w:lineRule="auto"/>
              <w:rPr>
                <w:rFonts w:ascii="Times New Roman" w:hAnsi="Times New Roman"/>
                <w:sz w:val="20"/>
                <w:szCs w:val="20"/>
                <w:lang w:eastAsia="sk-SK"/>
              </w:rPr>
            </w:pPr>
            <w:r w:rsidRPr="00BD372F">
              <w:rPr>
                <w:rFonts w:ascii="Times New Roman" w:hAnsi="Times New Roman"/>
                <w:b/>
                <w:sz w:val="20"/>
                <w:szCs w:val="20"/>
                <w:lang w:eastAsia="sk-SK"/>
              </w:rPr>
              <w:t>Žiadne</w:t>
            </w:r>
          </w:p>
        </w:tc>
        <w:sdt>
          <w:sdtPr>
            <w:rPr>
              <w:rFonts w:ascii="Times New Roman" w:hAnsi="Times New Roman"/>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046EE2C9" w14:textId="77777777" w:rsidR="00BD372F" w:rsidRPr="00BD372F" w:rsidRDefault="00BD372F" w:rsidP="00BD372F">
                <w:pPr>
                  <w:spacing w:after="0" w:line="240" w:lineRule="auto"/>
                  <w:ind w:left="-107" w:right="-108"/>
                  <w:jc w:val="center"/>
                  <w:rPr>
                    <w:rFonts w:ascii="Times New Roman" w:hAnsi="Times New Roman"/>
                    <w:sz w:val="20"/>
                    <w:szCs w:val="20"/>
                    <w:lang w:eastAsia="sk-SK"/>
                  </w:rPr>
                </w:pPr>
                <w:r w:rsidRPr="00BD372F">
                  <w:rPr>
                    <w:rFonts w:ascii="Segoe UI Symbol" w:hAnsi="Segoe UI Symbol" w:cs="Segoe UI Symbol"/>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2CFEDB30" w14:textId="77777777" w:rsidR="00BD372F" w:rsidRPr="00BD372F" w:rsidRDefault="00BD372F" w:rsidP="00BD372F">
            <w:pPr>
              <w:spacing w:after="0" w:line="240" w:lineRule="auto"/>
              <w:ind w:left="34"/>
              <w:rPr>
                <w:rFonts w:ascii="Times New Roman" w:hAnsi="Times New Roman"/>
                <w:sz w:val="20"/>
                <w:szCs w:val="20"/>
                <w:lang w:eastAsia="sk-SK"/>
              </w:rPr>
            </w:pPr>
            <w:r w:rsidRPr="00BD372F">
              <w:rPr>
                <w:rFonts w:ascii="Times New Roman" w:hAnsi="Times New Roman"/>
                <w:b/>
                <w:sz w:val="20"/>
                <w:szCs w:val="20"/>
                <w:lang w:eastAsia="sk-SK"/>
              </w:rPr>
              <w:t>Negatívne</w:t>
            </w:r>
          </w:p>
        </w:tc>
      </w:tr>
      <w:tr w:rsidR="00BD372F" w:rsidRPr="00BD372F" w14:paraId="7762B4DD" w14:textId="77777777" w:rsidTr="00154BAB">
        <w:tc>
          <w:tcPr>
            <w:tcW w:w="3812" w:type="dxa"/>
            <w:tcBorders>
              <w:top w:val="single" w:sz="4" w:space="0" w:color="auto"/>
              <w:left w:val="single" w:sz="4" w:space="0" w:color="auto"/>
              <w:bottom w:val="nil"/>
              <w:right w:val="single" w:sz="4" w:space="0" w:color="auto"/>
            </w:tcBorders>
            <w:shd w:val="clear" w:color="auto" w:fill="E2E2E2"/>
          </w:tcPr>
          <w:p w14:paraId="4ACD72D8" w14:textId="77777777" w:rsidR="00BD372F" w:rsidRPr="00BD372F" w:rsidRDefault="00BD372F" w:rsidP="00BD372F">
            <w:pPr>
              <w:spacing w:after="0" w:line="240" w:lineRule="auto"/>
              <w:rPr>
                <w:rFonts w:ascii="Times New Roman" w:hAnsi="Times New Roman"/>
                <w:b/>
                <w:sz w:val="20"/>
                <w:szCs w:val="20"/>
                <w:lang w:eastAsia="sk-SK"/>
              </w:rPr>
            </w:pPr>
            <w:r w:rsidRPr="00BD372F">
              <w:rPr>
                <w:rFonts w:ascii="Times New Roman" w:hAnsi="Times New Roman"/>
                <w:b/>
                <w:sz w:val="20"/>
                <w:szCs w:val="20"/>
                <w:lang w:eastAsia="sk-SK"/>
              </w:rPr>
              <w:t>Vplyvy na podnikateľské prostredie</w:t>
            </w:r>
          </w:p>
        </w:tc>
        <w:sdt>
          <w:sdtPr>
            <w:rPr>
              <w:rFonts w:ascii="Times New Roman" w:hAnsi="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46BBB33E" w14:textId="77777777" w:rsidR="00BD372F" w:rsidRPr="00BD372F" w:rsidRDefault="00BD372F" w:rsidP="00BD372F">
                <w:pPr>
                  <w:spacing w:after="0" w:line="240" w:lineRule="auto"/>
                  <w:jc w:val="center"/>
                  <w:rPr>
                    <w:rFonts w:ascii="Times New Roman" w:hAnsi="Times New Roman"/>
                    <w:b/>
                    <w:sz w:val="20"/>
                    <w:szCs w:val="20"/>
                    <w:lang w:eastAsia="sk-SK"/>
                  </w:rPr>
                </w:pPr>
                <w:r w:rsidRPr="00BD372F">
                  <w:rPr>
                    <w:rFonts w:ascii="Segoe UI Symbol" w:hAnsi="Segoe UI Symbol" w:cs="Segoe UI Symbol"/>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29D82525" w14:textId="77777777" w:rsidR="00BD372F" w:rsidRPr="00BD372F" w:rsidRDefault="00BD372F" w:rsidP="00BD372F">
            <w:pPr>
              <w:spacing w:after="0" w:line="240" w:lineRule="auto"/>
              <w:ind w:right="-108"/>
              <w:rPr>
                <w:rFonts w:ascii="Times New Roman" w:hAnsi="Times New Roman"/>
                <w:b/>
                <w:sz w:val="20"/>
                <w:szCs w:val="20"/>
                <w:lang w:eastAsia="sk-SK"/>
              </w:rPr>
            </w:pPr>
            <w:r w:rsidRPr="00BD372F">
              <w:rPr>
                <w:rFonts w:ascii="Times New Roman" w:hAnsi="Times New Roman"/>
                <w:b/>
                <w:sz w:val="20"/>
                <w:szCs w:val="20"/>
                <w:lang w:eastAsia="sk-SK"/>
              </w:rPr>
              <w:t>Pozitívne</w:t>
            </w:r>
          </w:p>
        </w:tc>
        <w:sdt>
          <w:sdtPr>
            <w:rPr>
              <w:rFonts w:ascii="Times New Roman" w:hAnsi="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6415CB30" w14:textId="77777777" w:rsidR="00BD372F" w:rsidRPr="00BD372F" w:rsidRDefault="00BD372F" w:rsidP="00BD372F">
                <w:pPr>
                  <w:spacing w:after="0" w:line="240" w:lineRule="auto"/>
                  <w:jc w:val="center"/>
                  <w:rPr>
                    <w:rFonts w:ascii="Times New Roman" w:hAnsi="Times New Roman"/>
                    <w:b/>
                    <w:sz w:val="20"/>
                    <w:szCs w:val="20"/>
                    <w:lang w:eastAsia="sk-SK"/>
                  </w:rPr>
                </w:pPr>
                <w:r w:rsidRPr="00BD372F">
                  <w:rPr>
                    <w:rFonts w:ascii="Segoe UI Symbol"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3320ECF8" w14:textId="77777777" w:rsidR="00BD372F" w:rsidRPr="00BD372F" w:rsidRDefault="00BD372F" w:rsidP="00BD372F">
            <w:pPr>
              <w:spacing w:after="0" w:line="240" w:lineRule="auto"/>
              <w:rPr>
                <w:rFonts w:ascii="Times New Roman" w:hAnsi="Times New Roman"/>
                <w:b/>
                <w:sz w:val="20"/>
                <w:szCs w:val="20"/>
                <w:lang w:eastAsia="sk-SK"/>
              </w:rPr>
            </w:pPr>
            <w:r w:rsidRPr="00BD372F">
              <w:rPr>
                <w:rFonts w:ascii="Times New Roman" w:hAnsi="Times New Roman"/>
                <w:b/>
                <w:sz w:val="20"/>
                <w:szCs w:val="20"/>
                <w:lang w:eastAsia="sk-SK"/>
              </w:rPr>
              <w:t>Žiadne</w:t>
            </w:r>
          </w:p>
        </w:tc>
        <w:sdt>
          <w:sdtPr>
            <w:rPr>
              <w:rFonts w:ascii="Times New Roman" w:hAnsi="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112FBB97" w14:textId="77777777" w:rsidR="00BD372F" w:rsidRPr="00BD372F" w:rsidRDefault="00BD372F" w:rsidP="00BD372F">
                <w:pPr>
                  <w:spacing w:after="0" w:line="240" w:lineRule="auto"/>
                  <w:jc w:val="center"/>
                  <w:rPr>
                    <w:rFonts w:ascii="Times New Roman" w:hAnsi="Times New Roman"/>
                    <w:b/>
                    <w:sz w:val="20"/>
                    <w:szCs w:val="20"/>
                    <w:lang w:eastAsia="sk-SK"/>
                  </w:rPr>
                </w:pPr>
                <w:r w:rsidRPr="00BD372F">
                  <w:rPr>
                    <w:rFonts w:ascii="Segoe UI Symbol"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6F3C4CFF" w14:textId="77777777" w:rsidR="00BD372F" w:rsidRPr="00BD372F" w:rsidRDefault="00BD372F" w:rsidP="00BD372F">
            <w:pPr>
              <w:spacing w:after="0" w:line="240" w:lineRule="auto"/>
              <w:ind w:left="54"/>
              <w:rPr>
                <w:rFonts w:ascii="Times New Roman" w:hAnsi="Times New Roman"/>
                <w:b/>
                <w:sz w:val="20"/>
                <w:szCs w:val="20"/>
                <w:lang w:eastAsia="sk-SK"/>
              </w:rPr>
            </w:pPr>
            <w:r w:rsidRPr="00BD372F">
              <w:rPr>
                <w:rFonts w:ascii="Times New Roman" w:hAnsi="Times New Roman"/>
                <w:b/>
                <w:sz w:val="20"/>
                <w:szCs w:val="20"/>
                <w:lang w:eastAsia="sk-SK"/>
              </w:rPr>
              <w:t>Negatívne</w:t>
            </w:r>
          </w:p>
        </w:tc>
      </w:tr>
      <w:tr w:rsidR="00BD372F" w:rsidRPr="00BD372F" w14:paraId="06901269" w14:textId="77777777" w:rsidTr="00154BAB">
        <w:tc>
          <w:tcPr>
            <w:tcW w:w="3812" w:type="dxa"/>
            <w:tcBorders>
              <w:top w:val="nil"/>
              <w:left w:val="single" w:sz="4" w:space="0" w:color="000000"/>
              <w:bottom w:val="nil"/>
              <w:right w:val="single" w:sz="4" w:space="0" w:color="000000"/>
            </w:tcBorders>
            <w:shd w:val="clear" w:color="auto" w:fill="E2E2E2"/>
          </w:tcPr>
          <w:p w14:paraId="20C18796" w14:textId="77777777" w:rsidR="00BD372F" w:rsidRPr="00BD372F" w:rsidRDefault="00BD372F" w:rsidP="00BD372F">
            <w:pPr>
              <w:spacing w:after="0" w:line="240" w:lineRule="auto"/>
              <w:rPr>
                <w:rFonts w:ascii="Times New Roman" w:hAnsi="Times New Roman"/>
                <w:sz w:val="20"/>
                <w:szCs w:val="20"/>
                <w:lang w:eastAsia="sk-SK"/>
              </w:rPr>
            </w:pPr>
            <w:r w:rsidRPr="00BD372F">
              <w:rPr>
                <w:rFonts w:ascii="Times New Roman" w:hAnsi="Times New Roman"/>
                <w:sz w:val="20"/>
                <w:szCs w:val="20"/>
                <w:lang w:eastAsia="sk-SK"/>
              </w:rPr>
              <w:t xml:space="preserve">    z toho vplyvy na MSP</w:t>
            </w:r>
          </w:p>
          <w:p w14:paraId="3B7B3E5D" w14:textId="77777777" w:rsidR="00BD372F" w:rsidRPr="00BD372F" w:rsidRDefault="00BD372F" w:rsidP="00BD372F">
            <w:pPr>
              <w:spacing w:after="0" w:line="240" w:lineRule="auto"/>
              <w:rPr>
                <w:rFonts w:ascii="Times New Roman" w:hAnsi="Times New Roman"/>
                <w:sz w:val="20"/>
                <w:szCs w:val="20"/>
                <w:lang w:eastAsia="sk-SK"/>
              </w:rPr>
            </w:pPr>
          </w:p>
        </w:tc>
        <w:sdt>
          <w:sdtPr>
            <w:rPr>
              <w:rFonts w:ascii="Times New Roman" w:hAnsi="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02144A75"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Segoe UI Symbol" w:hAnsi="Segoe UI Symbol" w:cs="Segoe UI Symbol"/>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5F7927B8" w14:textId="77777777" w:rsidR="00BD372F" w:rsidRPr="00BD372F" w:rsidRDefault="00BD372F" w:rsidP="00BD372F">
            <w:pPr>
              <w:spacing w:after="0" w:line="240" w:lineRule="auto"/>
              <w:ind w:right="-108"/>
              <w:rPr>
                <w:rFonts w:ascii="Times New Roman" w:hAnsi="Times New Roman"/>
                <w:sz w:val="20"/>
                <w:szCs w:val="20"/>
                <w:lang w:eastAsia="sk-SK"/>
              </w:rPr>
            </w:pPr>
            <w:r w:rsidRPr="00BD372F">
              <w:rPr>
                <w:rFonts w:ascii="Times New Roman" w:hAnsi="Times New Roman"/>
                <w:sz w:val="20"/>
                <w:szCs w:val="20"/>
                <w:lang w:eastAsia="sk-SK"/>
              </w:rPr>
              <w:t>Pozitívne</w:t>
            </w:r>
          </w:p>
        </w:tc>
        <w:sdt>
          <w:sdtPr>
            <w:rPr>
              <w:rFonts w:ascii="Times New Roman" w:hAnsi="Times New Roman"/>
              <w:sz w:val="20"/>
              <w:szCs w:val="20"/>
              <w:lang w:eastAsia="sk-SK"/>
            </w:rPr>
            <w:id w:val="994611021"/>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45F5A70C"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Segoe UI Symbol" w:hAnsi="Segoe UI Symbol" w:cs="Segoe UI Symbol"/>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7C1642BC" w14:textId="77777777" w:rsidR="00BD372F" w:rsidRPr="00BD372F" w:rsidRDefault="00BD372F" w:rsidP="00BD372F">
            <w:pPr>
              <w:spacing w:after="0" w:line="240" w:lineRule="auto"/>
              <w:rPr>
                <w:rFonts w:ascii="Times New Roman" w:hAnsi="Times New Roman"/>
                <w:sz w:val="20"/>
                <w:szCs w:val="20"/>
                <w:lang w:eastAsia="sk-SK"/>
              </w:rPr>
            </w:pPr>
            <w:r w:rsidRPr="00BD372F">
              <w:rPr>
                <w:rFonts w:ascii="Times New Roman" w:hAnsi="Times New Roman"/>
                <w:sz w:val="20"/>
                <w:szCs w:val="20"/>
                <w:lang w:eastAsia="sk-SK"/>
              </w:rPr>
              <w:t>Žiadne</w:t>
            </w:r>
          </w:p>
        </w:tc>
        <w:sdt>
          <w:sdtPr>
            <w:rPr>
              <w:rFonts w:ascii="Times New Roman" w:hAnsi="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7D0B1C28"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Segoe UI Symbol"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2E442018" w14:textId="77777777" w:rsidR="00BD372F" w:rsidRPr="00BD372F" w:rsidRDefault="00BD372F" w:rsidP="00BD372F">
            <w:pPr>
              <w:spacing w:after="0" w:line="240" w:lineRule="auto"/>
              <w:ind w:left="54"/>
              <w:rPr>
                <w:rFonts w:ascii="Times New Roman" w:hAnsi="Times New Roman"/>
                <w:sz w:val="20"/>
                <w:szCs w:val="20"/>
                <w:lang w:eastAsia="sk-SK"/>
              </w:rPr>
            </w:pPr>
            <w:r w:rsidRPr="00BD372F">
              <w:rPr>
                <w:rFonts w:ascii="Times New Roman" w:hAnsi="Times New Roman"/>
                <w:sz w:val="20"/>
                <w:szCs w:val="20"/>
                <w:lang w:eastAsia="sk-SK"/>
              </w:rPr>
              <w:t>Negatívne</w:t>
            </w:r>
          </w:p>
        </w:tc>
      </w:tr>
      <w:tr w:rsidR="00BD372F" w:rsidRPr="00BD372F" w14:paraId="3ACA9662" w14:textId="77777777" w:rsidTr="00154BAB">
        <w:tc>
          <w:tcPr>
            <w:tcW w:w="3812" w:type="dxa"/>
            <w:tcBorders>
              <w:top w:val="nil"/>
              <w:left w:val="single" w:sz="4" w:space="0" w:color="auto"/>
              <w:bottom w:val="single" w:sz="4" w:space="0" w:color="auto"/>
              <w:right w:val="single" w:sz="4" w:space="0" w:color="auto"/>
            </w:tcBorders>
            <w:shd w:val="clear" w:color="auto" w:fill="E2E2E2"/>
          </w:tcPr>
          <w:p w14:paraId="601F09E1" w14:textId="77777777" w:rsidR="00BD372F" w:rsidRPr="00BD372F" w:rsidRDefault="00BD372F" w:rsidP="00BD372F">
            <w:pPr>
              <w:spacing w:after="0" w:line="240" w:lineRule="auto"/>
              <w:rPr>
                <w:rFonts w:ascii="Times New Roman" w:hAnsi="Times New Roman"/>
                <w:sz w:val="20"/>
                <w:szCs w:val="20"/>
                <w:lang w:eastAsia="sk-SK"/>
              </w:rPr>
            </w:pPr>
            <w:r w:rsidRPr="00BD372F">
              <w:rPr>
                <w:rFonts w:ascii="Times New Roman" w:hAnsi="Times New Roman"/>
                <w:sz w:val="20"/>
                <w:szCs w:val="20"/>
                <w:lang w:eastAsia="sk-SK"/>
              </w:rPr>
              <w:t xml:space="preserve">    Mechanizmus znižovania byrokracie    </w:t>
            </w:r>
          </w:p>
          <w:p w14:paraId="21CADE5F" w14:textId="77777777" w:rsidR="00BD372F" w:rsidRPr="00BD372F" w:rsidRDefault="00BD372F" w:rsidP="00BD372F">
            <w:pPr>
              <w:spacing w:after="0" w:line="240" w:lineRule="auto"/>
              <w:rPr>
                <w:rFonts w:ascii="Times New Roman" w:hAnsi="Times New Roman"/>
                <w:b/>
                <w:sz w:val="20"/>
                <w:szCs w:val="20"/>
                <w:lang w:eastAsia="sk-SK"/>
              </w:rPr>
            </w:pPr>
            <w:r w:rsidRPr="00BD372F">
              <w:rPr>
                <w:rFonts w:ascii="Times New Roman" w:hAnsi="Times New Roman"/>
                <w:sz w:val="20"/>
                <w:szCs w:val="20"/>
                <w:lang w:eastAsia="sk-SK"/>
              </w:rPr>
              <w:t xml:space="preserve">    a nákladov sa uplatňuje:</w:t>
            </w:r>
          </w:p>
        </w:tc>
        <w:sdt>
          <w:sdtPr>
            <w:rPr>
              <w:rFonts w:ascii="Times New Roman" w:hAnsi="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7EC1AFFC" w14:textId="77777777" w:rsidR="00BD372F" w:rsidRPr="00BD372F" w:rsidRDefault="00BD372F" w:rsidP="00BD372F">
                <w:pPr>
                  <w:spacing w:after="0" w:line="240" w:lineRule="auto"/>
                  <w:jc w:val="center"/>
                  <w:rPr>
                    <w:rFonts w:ascii="Times New Roman" w:hAnsi="Times New Roman"/>
                    <w:b/>
                    <w:sz w:val="20"/>
                    <w:szCs w:val="20"/>
                    <w:lang w:eastAsia="sk-SK"/>
                  </w:rPr>
                </w:pPr>
                <w:r w:rsidRPr="00BD372F">
                  <w:rPr>
                    <w:rFonts w:ascii="Segoe UI Symbol" w:hAnsi="Segoe UI Symbol" w:cs="Segoe UI Symbol"/>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67894FB4" w14:textId="77777777" w:rsidR="00BD372F" w:rsidRPr="00BD372F" w:rsidRDefault="00BD372F" w:rsidP="00BD372F">
            <w:pPr>
              <w:spacing w:after="0" w:line="240" w:lineRule="auto"/>
              <w:ind w:right="-108"/>
              <w:rPr>
                <w:rFonts w:ascii="Times New Roman" w:hAnsi="Times New Roman"/>
                <w:b/>
                <w:sz w:val="20"/>
                <w:szCs w:val="20"/>
                <w:lang w:eastAsia="sk-SK"/>
              </w:rPr>
            </w:pPr>
            <w:r w:rsidRPr="00BD372F">
              <w:rPr>
                <w:rFonts w:ascii="Times New Roman" w:hAnsi="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19C3A1A8" w14:textId="77777777" w:rsidR="00BD372F" w:rsidRPr="00BD372F" w:rsidRDefault="00BD372F" w:rsidP="00BD372F">
            <w:pPr>
              <w:spacing w:after="0" w:line="240" w:lineRule="auto"/>
              <w:jc w:val="center"/>
              <w:rPr>
                <w:rFonts w:ascii="Times New Roman" w:hAnsi="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011D67C7" w14:textId="77777777" w:rsidR="00BD372F" w:rsidRPr="00BD372F" w:rsidRDefault="00BD372F" w:rsidP="00BD372F">
            <w:pPr>
              <w:spacing w:after="0" w:line="240" w:lineRule="auto"/>
              <w:jc w:val="center"/>
              <w:rPr>
                <w:rFonts w:ascii="Times New Roman" w:hAnsi="Times New Roman"/>
                <w:b/>
                <w:sz w:val="20"/>
                <w:szCs w:val="20"/>
                <w:lang w:eastAsia="sk-SK"/>
              </w:rPr>
            </w:pPr>
          </w:p>
        </w:tc>
        <w:sdt>
          <w:sdtPr>
            <w:rPr>
              <w:rFonts w:ascii="Times New Roman" w:hAnsi="Times New Roman"/>
              <w:b/>
              <w:sz w:val="20"/>
              <w:szCs w:val="20"/>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6022E42E" w14:textId="77777777" w:rsidR="00BD372F" w:rsidRPr="00BD372F" w:rsidRDefault="00BD372F" w:rsidP="00BD372F">
                <w:pPr>
                  <w:spacing w:after="0" w:line="240" w:lineRule="auto"/>
                  <w:jc w:val="center"/>
                  <w:rPr>
                    <w:rFonts w:ascii="Times New Roman" w:hAnsi="Times New Roman"/>
                    <w:b/>
                    <w:sz w:val="20"/>
                    <w:szCs w:val="20"/>
                    <w:lang w:eastAsia="sk-SK"/>
                  </w:rPr>
                </w:pPr>
                <w:r w:rsidRPr="00BD372F">
                  <w:rPr>
                    <w:rFonts w:ascii="Segoe UI Symbol" w:hAnsi="Segoe UI Symbol" w:cs="Segoe UI Symbol"/>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35989CF8" w14:textId="77777777" w:rsidR="00BD372F" w:rsidRPr="00BD372F" w:rsidRDefault="00BD372F" w:rsidP="00BD372F">
            <w:pPr>
              <w:spacing w:after="0" w:line="240" w:lineRule="auto"/>
              <w:ind w:left="54"/>
              <w:rPr>
                <w:rFonts w:ascii="Times New Roman" w:hAnsi="Times New Roman"/>
                <w:b/>
                <w:sz w:val="20"/>
                <w:szCs w:val="20"/>
                <w:lang w:eastAsia="sk-SK"/>
              </w:rPr>
            </w:pPr>
            <w:r w:rsidRPr="00BD372F">
              <w:rPr>
                <w:rFonts w:ascii="Times New Roman" w:hAnsi="Times New Roman"/>
                <w:sz w:val="20"/>
                <w:szCs w:val="20"/>
                <w:lang w:eastAsia="sk-SK"/>
              </w:rPr>
              <w:t>Nie</w:t>
            </w:r>
          </w:p>
        </w:tc>
      </w:tr>
      <w:tr w:rsidR="00BD372F" w:rsidRPr="00BD372F" w14:paraId="134DF8AD" w14:textId="77777777" w:rsidTr="00154BAB">
        <w:tc>
          <w:tcPr>
            <w:tcW w:w="3812" w:type="dxa"/>
            <w:tcBorders>
              <w:top w:val="single" w:sz="4" w:space="0" w:color="000000"/>
              <w:left w:val="single" w:sz="4" w:space="0" w:color="auto"/>
              <w:bottom w:val="single" w:sz="4" w:space="0" w:color="auto"/>
              <w:right w:val="single" w:sz="4" w:space="0" w:color="auto"/>
            </w:tcBorders>
            <w:shd w:val="clear" w:color="auto" w:fill="E2E2E2"/>
          </w:tcPr>
          <w:p w14:paraId="08F8019A" w14:textId="77777777" w:rsidR="00BD372F" w:rsidRPr="00BD372F" w:rsidRDefault="00BD372F" w:rsidP="00BD372F">
            <w:pPr>
              <w:spacing w:after="0" w:line="240" w:lineRule="auto"/>
              <w:rPr>
                <w:rFonts w:ascii="Times New Roman" w:hAnsi="Times New Roman"/>
                <w:b/>
                <w:sz w:val="20"/>
                <w:szCs w:val="20"/>
                <w:lang w:eastAsia="sk-SK"/>
              </w:rPr>
            </w:pPr>
            <w:r w:rsidRPr="00BD372F">
              <w:rPr>
                <w:rFonts w:ascii="Times New Roman" w:hAnsi="Times New Roman"/>
                <w:b/>
                <w:sz w:val="20"/>
                <w:szCs w:val="20"/>
                <w:lang w:eastAsia="sk-SK"/>
              </w:rPr>
              <w:t>Sociálne vplyvy</w:t>
            </w:r>
          </w:p>
        </w:tc>
        <w:sdt>
          <w:sdtPr>
            <w:rPr>
              <w:rFonts w:ascii="Times New Roman" w:hAnsi="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2D6215D0" w14:textId="77777777" w:rsidR="00BD372F" w:rsidRPr="00BD372F" w:rsidRDefault="00BD372F" w:rsidP="00BD372F">
                <w:pPr>
                  <w:spacing w:after="0" w:line="240" w:lineRule="auto"/>
                  <w:jc w:val="center"/>
                  <w:rPr>
                    <w:rFonts w:ascii="Times New Roman" w:hAnsi="Times New Roman"/>
                    <w:b/>
                    <w:sz w:val="20"/>
                    <w:szCs w:val="20"/>
                    <w:lang w:eastAsia="sk-SK"/>
                  </w:rPr>
                </w:pPr>
                <w:r w:rsidRPr="00BD372F">
                  <w:rPr>
                    <w:rFonts w:ascii="Segoe UI Symbol"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26EB8E20" w14:textId="77777777" w:rsidR="00BD372F" w:rsidRPr="00BD372F" w:rsidRDefault="00BD372F" w:rsidP="00BD372F">
            <w:pPr>
              <w:spacing w:after="0" w:line="240" w:lineRule="auto"/>
              <w:ind w:right="-108"/>
              <w:rPr>
                <w:rFonts w:ascii="Times New Roman" w:hAnsi="Times New Roman"/>
                <w:b/>
                <w:sz w:val="20"/>
                <w:szCs w:val="20"/>
                <w:lang w:eastAsia="sk-SK"/>
              </w:rPr>
            </w:pPr>
            <w:r w:rsidRPr="00BD372F">
              <w:rPr>
                <w:rFonts w:ascii="Times New Roman" w:hAnsi="Times New Roman"/>
                <w:b/>
                <w:sz w:val="20"/>
                <w:szCs w:val="20"/>
                <w:lang w:eastAsia="sk-SK"/>
              </w:rPr>
              <w:t>Pozitívne</w:t>
            </w:r>
          </w:p>
        </w:tc>
        <w:sdt>
          <w:sdtPr>
            <w:rPr>
              <w:rFonts w:ascii="Times New Roman" w:hAnsi="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35B838FE" w14:textId="77777777" w:rsidR="00BD372F" w:rsidRPr="00BD372F" w:rsidRDefault="00BD372F" w:rsidP="00BD372F">
                <w:pPr>
                  <w:spacing w:after="0" w:line="240" w:lineRule="auto"/>
                  <w:jc w:val="center"/>
                  <w:rPr>
                    <w:rFonts w:ascii="Times New Roman" w:hAnsi="Times New Roman"/>
                    <w:b/>
                    <w:sz w:val="20"/>
                    <w:szCs w:val="20"/>
                    <w:lang w:eastAsia="sk-SK"/>
                  </w:rPr>
                </w:pPr>
                <w:r w:rsidRPr="00BD372F">
                  <w:rPr>
                    <w:rFonts w:ascii="Segoe UI Symbol"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776F3A2B" w14:textId="77777777" w:rsidR="00BD372F" w:rsidRPr="00BD372F" w:rsidRDefault="00BD372F" w:rsidP="00BD372F">
            <w:pPr>
              <w:spacing w:after="0" w:line="240" w:lineRule="auto"/>
              <w:rPr>
                <w:rFonts w:ascii="Times New Roman" w:hAnsi="Times New Roman"/>
                <w:b/>
                <w:sz w:val="20"/>
                <w:szCs w:val="20"/>
                <w:lang w:eastAsia="sk-SK"/>
              </w:rPr>
            </w:pPr>
            <w:r w:rsidRPr="00BD372F">
              <w:rPr>
                <w:rFonts w:ascii="Times New Roman" w:hAnsi="Times New Roman"/>
                <w:b/>
                <w:sz w:val="20"/>
                <w:szCs w:val="20"/>
                <w:lang w:eastAsia="sk-SK"/>
              </w:rPr>
              <w:t>Žiadne</w:t>
            </w:r>
          </w:p>
        </w:tc>
        <w:sdt>
          <w:sdtPr>
            <w:rPr>
              <w:rFonts w:ascii="Times New Roman" w:hAnsi="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011771EB" w14:textId="77777777" w:rsidR="00BD372F" w:rsidRPr="00BD372F" w:rsidRDefault="00BD372F" w:rsidP="00BD372F">
                <w:pPr>
                  <w:spacing w:after="0" w:line="240" w:lineRule="auto"/>
                  <w:jc w:val="center"/>
                  <w:rPr>
                    <w:rFonts w:ascii="Times New Roman" w:hAnsi="Times New Roman"/>
                    <w:b/>
                    <w:sz w:val="20"/>
                    <w:szCs w:val="20"/>
                    <w:lang w:eastAsia="sk-SK"/>
                  </w:rPr>
                </w:pPr>
                <w:r w:rsidRPr="00BD372F">
                  <w:rPr>
                    <w:rFonts w:ascii="Segoe UI Symbol"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7B7A063B" w14:textId="77777777" w:rsidR="00BD372F" w:rsidRPr="00BD372F" w:rsidRDefault="00BD372F" w:rsidP="00BD372F">
            <w:pPr>
              <w:spacing w:after="0" w:line="240" w:lineRule="auto"/>
              <w:ind w:left="54"/>
              <w:rPr>
                <w:rFonts w:ascii="Times New Roman" w:hAnsi="Times New Roman"/>
                <w:b/>
                <w:sz w:val="20"/>
                <w:szCs w:val="20"/>
                <w:lang w:eastAsia="sk-SK"/>
              </w:rPr>
            </w:pPr>
            <w:r w:rsidRPr="00BD372F">
              <w:rPr>
                <w:rFonts w:ascii="Times New Roman" w:hAnsi="Times New Roman"/>
                <w:b/>
                <w:sz w:val="20"/>
                <w:szCs w:val="20"/>
                <w:lang w:eastAsia="sk-SK"/>
              </w:rPr>
              <w:t>Negatívne</w:t>
            </w:r>
          </w:p>
        </w:tc>
      </w:tr>
      <w:tr w:rsidR="00BD372F" w:rsidRPr="00BD372F" w14:paraId="50D06A70" w14:textId="77777777" w:rsidTr="00154BAB">
        <w:tc>
          <w:tcPr>
            <w:tcW w:w="3812" w:type="dxa"/>
            <w:tcBorders>
              <w:top w:val="single" w:sz="4" w:space="0" w:color="auto"/>
              <w:left w:val="single" w:sz="4" w:space="0" w:color="auto"/>
              <w:bottom w:val="nil"/>
              <w:right w:val="single" w:sz="4" w:space="0" w:color="auto"/>
            </w:tcBorders>
            <w:shd w:val="clear" w:color="auto" w:fill="E2E2E2"/>
          </w:tcPr>
          <w:p w14:paraId="3149D1CD" w14:textId="77777777" w:rsidR="00BD372F" w:rsidRPr="00BD372F" w:rsidRDefault="00BD372F" w:rsidP="00BD372F">
            <w:pPr>
              <w:spacing w:after="0" w:line="240" w:lineRule="auto"/>
              <w:rPr>
                <w:rFonts w:ascii="Times New Roman" w:hAnsi="Times New Roman"/>
                <w:b/>
                <w:sz w:val="20"/>
                <w:szCs w:val="20"/>
                <w:lang w:eastAsia="sk-SK"/>
              </w:rPr>
            </w:pPr>
            <w:r w:rsidRPr="00BD372F">
              <w:rPr>
                <w:rFonts w:ascii="Times New Roman" w:hAnsi="Times New Roman"/>
                <w:b/>
                <w:sz w:val="20"/>
                <w:szCs w:val="20"/>
                <w:lang w:eastAsia="sk-SK"/>
              </w:rPr>
              <w:t>Vplyvy na životné prostredie</w:t>
            </w:r>
          </w:p>
        </w:tc>
        <w:sdt>
          <w:sdtPr>
            <w:rPr>
              <w:rFonts w:ascii="Times New Roman" w:hAnsi="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78026DDA" w14:textId="77777777" w:rsidR="00BD372F" w:rsidRPr="00BD372F" w:rsidRDefault="00BD372F" w:rsidP="00BD372F">
                <w:pPr>
                  <w:spacing w:after="0" w:line="240" w:lineRule="auto"/>
                  <w:jc w:val="center"/>
                  <w:rPr>
                    <w:rFonts w:ascii="Times New Roman" w:hAnsi="Times New Roman"/>
                    <w:b/>
                    <w:sz w:val="20"/>
                    <w:szCs w:val="20"/>
                    <w:lang w:eastAsia="sk-SK"/>
                  </w:rPr>
                </w:pPr>
                <w:r w:rsidRPr="00BD372F">
                  <w:rPr>
                    <w:rFonts w:ascii="Segoe UI Symbol"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103D2FDF" w14:textId="77777777" w:rsidR="00BD372F" w:rsidRPr="00BD372F" w:rsidRDefault="00BD372F" w:rsidP="00BD372F">
            <w:pPr>
              <w:spacing w:after="0" w:line="240" w:lineRule="auto"/>
              <w:ind w:right="-108"/>
              <w:rPr>
                <w:rFonts w:ascii="Times New Roman" w:hAnsi="Times New Roman"/>
                <w:b/>
                <w:sz w:val="20"/>
                <w:szCs w:val="20"/>
                <w:lang w:eastAsia="sk-SK"/>
              </w:rPr>
            </w:pPr>
            <w:r w:rsidRPr="00BD372F">
              <w:rPr>
                <w:rFonts w:ascii="Times New Roman" w:hAnsi="Times New Roman"/>
                <w:b/>
                <w:sz w:val="20"/>
                <w:szCs w:val="20"/>
                <w:lang w:eastAsia="sk-SK"/>
              </w:rPr>
              <w:t>Pozitívne</w:t>
            </w:r>
          </w:p>
        </w:tc>
        <w:sdt>
          <w:sdtPr>
            <w:rPr>
              <w:rFonts w:ascii="Times New Roman" w:hAnsi="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1662323D" w14:textId="77777777" w:rsidR="00BD372F" w:rsidRPr="00BD372F" w:rsidRDefault="00BD372F" w:rsidP="00BD372F">
                <w:pPr>
                  <w:spacing w:after="0" w:line="240" w:lineRule="auto"/>
                  <w:jc w:val="center"/>
                  <w:rPr>
                    <w:rFonts w:ascii="Times New Roman" w:hAnsi="Times New Roman"/>
                    <w:b/>
                    <w:sz w:val="20"/>
                    <w:szCs w:val="20"/>
                    <w:lang w:eastAsia="sk-SK"/>
                  </w:rPr>
                </w:pPr>
                <w:r w:rsidRPr="00BD372F">
                  <w:rPr>
                    <w:rFonts w:ascii="Segoe UI Symbol"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502E18CA" w14:textId="77777777" w:rsidR="00BD372F" w:rsidRPr="00BD372F" w:rsidRDefault="00BD372F" w:rsidP="00BD372F">
            <w:pPr>
              <w:spacing w:after="0" w:line="240" w:lineRule="auto"/>
              <w:rPr>
                <w:rFonts w:ascii="Times New Roman" w:hAnsi="Times New Roman"/>
                <w:b/>
                <w:sz w:val="20"/>
                <w:szCs w:val="20"/>
                <w:lang w:eastAsia="sk-SK"/>
              </w:rPr>
            </w:pPr>
            <w:r w:rsidRPr="00BD372F">
              <w:rPr>
                <w:rFonts w:ascii="Times New Roman" w:hAnsi="Times New Roman"/>
                <w:b/>
                <w:sz w:val="20"/>
                <w:szCs w:val="20"/>
                <w:lang w:eastAsia="sk-SK"/>
              </w:rPr>
              <w:t>Žiadne</w:t>
            </w:r>
          </w:p>
        </w:tc>
        <w:sdt>
          <w:sdtPr>
            <w:rPr>
              <w:rFonts w:ascii="Times New Roman" w:hAnsi="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1379D3EE" w14:textId="77777777" w:rsidR="00BD372F" w:rsidRPr="00BD372F" w:rsidRDefault="00BD372F" w:rsidP="00BD372F">
                <w:pPr>
                  <w:spacing w:after="0" w:line="240" w:lineRule="auto"/>
                  <w:jc w:val="center"/>
                  <w:rPr>
                    <w:rFonts w:ascii="Times New Roman" w:hAnsi="Times New Roman"/>
                    <w:b/>
                    <w:sz w:val="20"/>
                    <w:szCs w:val="20"/>
                    <w:lang w:eastAsia="sk-SK"/>
                  </w:rPr>
                </w:pPr>
                <w:r w:rsidRPr="00BD372F">
                  <w:rPr>
                    <w:rFonts w:ascii="Segoe UI Symbol"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43C3FD12" w14:textId="77777777" w:rsidR="00BD372F" w:rsidRPr="00BD372F" w:rsidRDefault="00BD372F" w:rsidP="00BD372F">
            <w:pPr>
              <w:spacing w:after="0" w:line="240" w:lineRule="auto"/>
              <w:ind w:left="54"/>
              <w:rPr>
                <w:rFonts w:ascii="Times New Roman" w:hAnsi="Times New Roman"/>
                <w:b/>
                <w:sz w:val="20"/>
                <w:szCs w:val="20"/>
                <w:lang w:eastAsia="sk-SK"/>
              </w:rPr>
            </w:pPr>
            <w:r w:rsidRPr="00BD372F">
              <w:rPr>
                <w:rFonts w:ascii="Times New Roman" w:hAnsi="Times New Roman"/>
                <w:b/>
                <w:sz w:val="20"/>
                <w:szCs w:val="20"/>
                <w:lang w:eastAsia="sk-SK"/>
              </w:rPr>
              <w:t>Negatívne</w:t>
            </w:r>
          </w:p>
        </w:tc>
      </w:tr>
      <w:tr w:rsidR="00BD372F" w:rsidRPr="00BD372F" w14:paraId="23299FA2" w14:textId="77777777" w:rsidTr="00154BAB">
        <w:tc>
          <w:tcPr>
            <w:tcW w:w="3812" w:type="dxa"/>
            <w:tcBorders>
              <w:top w:val="nil"/>
              <w:left w:val="single" w:sz="4" w:space="0" w:color="auto"/>
              <w:bottom w:val="single" w:sz="4" w:space="0" w:color="auto"/>
              <w:right w:val="single" w:sz="4" w:space="0" w:color="auto"/>
            </w:tcBorders>
            <w:shd w:val="clear" w:color="auto" w:fill="E2E2E2"/>
          </w:tcPr>
          <w:p w14:paraId="66902ECA" w14:textId="77777777" w:rsidR="00BD372F" w:rsidRPr="00BD372F" w:rsidRDefault="00BD372F" w:rsidP="00BD372F">
            <w:pPr>
              <w:spacing w:after="0" w:line="240" w:lineRule="auto"/>
              <w:rPr>
                <w:rFonts w:ascii="Times New Roman" w:hAnsi="Times New Roman"/>
                <w:sz w:val="20"/>
                <w:szCs w:val="20"/>
                <w:lang w:eastAsia="sk-SK"/>
              </w:rPr>
            </w:pPr>
          </w:p>
          <w:p w14:paraId="445FEEFF" w14:textId="77777777" w:rsidR="00BD372F" w:rsidRPr="00BD372F" w:rsidRDefault="00BD372F" w:rsidP="00BD372F">
            <w:pPr>
              <w:spacing w:after="0" w:line="240" w:lineRule="auto"/>
              <w:ind w:left="164"/>
              <w:rPr>
                <w:rFonts w:ascii="Times New Roman" w:hAnsi="Times New Roman"/>
                <w:b/>
                <w:sz w:val="20"/>
                <w:szCs w:val="20"/>
                <w:lang w:eastAsia="sk-SK"/>
              </w:rPr>
            </w:pPr>
            <w:r w:rsidRPr="00BD372F">
              <w:rPr>
                <w:rFonts w:ascii="Times New Roman" w:hAnsi="Times New Roman"/>
                <w:sz w:val="20"/>
                <w:szCs w:val="20"/>
                <w:lang w:eastAsia="sk-SK"/>
              </w:rPr>
              <w:t>Materiál je posudzovaný podľa zákona č. 24/2006 Z. z. o posudzovaní vplyvov na životné prostredie a o zmene a doplnení niektorých zákonov v znení neskorších predpisov</w:t>
            </w:r>
          </w:p>
        </w:tc>
        <w:sdt>
          <w:sdtPr>
            <w:rPr>
              <w:rFonts w:ascii="Times New Roman" w:hAnsi="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2F6090E4" w14:textId="77777777" w:rsidR="00BD372F" w:rsidRPr="00BD372F" w:rsidRDefault="00BD372F" w:rsidP="00BD372F">
                <w:pPr>
                  <w:spacing w:after="0" w:line="240" w:lineRule="auto"/>
                  <w:jc w:val="center"/>
                  <w:rPr>
                    <w:rFonts w:ascii="Times New Roman" w:hAnsi="Times New Roman"/>
                    <w:b/>
                    <w:sz w:val="20"/>
                    <w:szCs w:val="20"/>
                    <w:lang w:eastAsia="sk-SK"/>
                  </w:rPr>
                </w:pPr>
                <w:r w:rsidRPr="00BD372F">
                  <w:rPr>
                    <w:rFonts w:ascii="Segoe UI Symbol"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26A35605" w14:textId="77777777" w:rsidR="00BD372F" w:rsidRPr="00BD372F" w:rsidRDefault="00BD372F" w:rsidP="00BD372F">
            <w:pPr>
              <w:spacing w:after="0" w:line="240" w:lineRule="auto"/>
              <w:ind w:right="-108"/>
              <w:rPr>
                <w:rFonts w:ascii="Times New Roman" w:hAnsi="Times New Roman"/>
                <w:b/>
                <w:sz w:val="20"/>
                <w:szCs w:val="20"/>
                <w:lang w:eastAsia="sk-SK"/>
              </w:rPr>
            </w:pPr>
            <w:r w:rsidRPr="00BD372F">
              <w:rPr>
                <w:rFonts w:ascii="Times New Roman" w:hAnsi="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6327B377" w14:textId="77777777" w:rsidR="00BD372F" w:rsidRPr="00BD372F" w:rsidRDefault="00BD372F" w:rsidP="00BD372F">
            <w:pPr>
              <w:spacing w:after="0" w:line="240" w:lineRule="auto"/>
              <w:jc w:val="center"/>
              <w:rPr>
                <w:rFonts w:ascii="Times New Roman" w:hAnsi="Times New Roman"/>
                <w:b/>
                <w:sz w:val="20"/>
                <w:szCs w:val="20"/>
                <w:lang w:eastAsia="sk-SK"/>
              </w:rPr>
            </w:pPr>
          </w:p>
        </w:tc>
        <w:tc>
          <w:tcPr>
            <w:tcW w:w="1133" w:type="dxa"/>
            <w:tcBorders>
              <w:top w:val="single" w:sz="4" w:space="0" w:color="auto"/>
              <w:left w:val="nil"/>
              <w:bottom w:val="single" w:sz="4" w:space="0" w:color="auto"/>
              <w:right w:val="nil"/>
            </w:tcBorders>
            <w:vAlign w:val="center"/>
          </w:tcPr>
          <w:p w14:paraId="051CB82C" w14:textId="77777777" w:rsidR="00BD372F" w:rsidRPr="00BD372F" w:rsidRDefault="00BD372F" w:rsidP="00BD372F">
            <w:pPr>
              <w:spacing w:after="0" w:line="240" w:lineRule="auto"/>
              <w:jc w:val="center"/>
              <w:rPr>
                <w:rFonts w:ascii="Times New Roman" w:hAnsi="Times New Roman"/>
                <w:b/>
                <w:sz w:val="20"/>
                <w:szCs w:val="20"/>
                <w:lang w:eastAsia="sk-SK"/>
              </w:rPr>
            </w:pPr>
          </w:p>
        </w:tc>
        <w:sdt>
          <w:sdtPr>
            <w:rPr>
              <w:rFonts w:ascii="Times New Roman" w:hAnsi="Times New Roman"/>
              <w:b/>
              <w:sz w:val="20"/>
              <w:szCs w:val="20"/>
              <w:lang w:eastAsia="sk-SK"/>
            </w:rPr>
            <w:id w:val="1786776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39D21E97" w14:textId="77777777" w:rsidR="00BD372F" w:rsidRPr="00BD372F" w:rsidRDefault="00BD372F" w:rsidP="00BD372F">
                <w:pPr>
                  <w:spacing w:after="0" w:line="240" w:lineRule="auto"/>
                  <w:jc w:val="center"/>
                  <w:rPr>
                    <w:rFonts w:ascii="Times New Roman" w:hAnsi="Times New Roman"/>
                    <w:b/>
                    <w:sz w:val="20"/>
                    <w:szCs w:val="20"/>
                    <w:lang w:eastAsia="sk-SK"/>
                  </w:rPr>
                </w:pPr>
                <w:r w:rsidRPr="00BD372F">
                  <w:rPr>
                    <w:rFonts w:ascii="Segoe UI Symbol"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4CEC5FF2" w14:textId="77777777" w:rsidR="00BD372F" w:rsidRPr="00BD372F" w:rsidRDefault="00BD372F" w:rsidP="00BD372F">
            <w:pPr>
              <w:spacing w:after="0" w:line="240" w:lineRule="auto"/>
              <w:ind w:left="54"/>
              <w:rPr>
                <w:rFonts w:ascii="Times New Roman" w:hAnsi="Times New Roman"/>
                <w:b/>
                <w:sz w:val="20"/>
                <w:szCs w:val="20"/>
                <w:lang w:eastAsia="sk-SK"/>
              </w:rPr>
            </w:pPr>
            <w:r w:rsidRPr="00BD372F">
              <w:rPr>
                <w:rFonts w:ascii="Times New Roman" w:hAnsi="Times New Roman"/>
                <w:sz w:val="20"/>
                <w:szCs w:val="20"/>
                <w:lang w:eastAsia="sk-SK"/>
              </w:rPr>
              <w:t>Nie</w:t>
            </w:r>
          </w:p>
        </w:tc>
      </w:tr>
      <w:tr w:rsidR="00BD372F" w:rsidRPr="00BD372F" w14:paraId="06242D49" w14:textId="77777777" w:rsidTr="00154BAB">
        <w:tc>
          <w:tcPr>
            <w:tcW w:w="3812" w:type="dxa"/>
            <w:tcBorders>
              <w:top w:val="single" w:sz="4" w:space="0" w:color="auto"/>
              <w:left w:val="single" w:sz="4" w:space="0" w:color="auto"/>
              <w:bottom w:val="single" w:sz="4" w:space="0" w:color="auto"/>
              <w:right w:val="single" w:sz="4" w:space="0" w:color="auto"/>
            </w:tcBorders>
            <w:shd w:val="clear" w:color="auto" w:fill="E2E2E2"/>
          </w:tcPr>
          <w:p w14:paraId="0EDDBFBA" w14:textId="77777777" w:rsidR="00BD372F" w:rsidRPr="00BD372F" w:rsidRDefault="00BD372F" w:rsidP="00BD372F">
            <w:pPr>
              <w:spacing w:after="0" w:line="240" w:lineRule="auto"/>
              <w:rPr>
                <w:rFonts w:ascii="Times New Roman" w:hAnsi="Times New Roman"/>
                <w:b/>
                <w:sz w:val="20"/>
                <w:szCs w:val="20"/>
                <w:lang w:eastAsia="sk-SK"/>
              </w:rPr>
            </w:pPr>
            <w:r w:rsidRPr="00BD372F">
              <w:rPr>
                <w:rFonts w:ascii="Times New Roman" w:hAnsi="Times New Roman"/>
                <w:b/>
                <w:sz w:val="20"/>
                <w:szCs w:val="20"/>
                <w:lang w:eastAsia="sk-SK"/>
              </w:rPr>
              <w:t>Vplyvy na informatizáciu spoločnosti</w:t>
            </w:r>
          </w:p>
        </w:tc>
        <w:sdt>
          <w:sdtPr>
            <w:rPr>
              <w:rFonts w:ascii="Times New Roman" w:hAnsi="Times New Roman"/>
              <w:b/>
              <w:sz w:val="20"/>
              <w:szCs w:val="20"/>
              <w:lang w:eastAsia="sk-SK"/>
            </w:rPr>
            <w:id w:val="-15734213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6C110D0C" w14:textId="77777777" w:rsidR="00BD372F" w:rsidRPr="00BD372F" w:rsidRDefault="00BD372F" w:rsidP="00BD372F">
                <w:pPr>
                  <w:spacing w:after="0" w:line="240" w:lineRule="auto"/>
                  <w:jc w:val="center"/>
                  <w:rPr>
                    <w:rFonts w:ascii="Times New Roman" w:hAnsi="Times New Roman"/>
                    <w:b/>
                    <w:sz w:val="20"/>
                    <w:szCs w:val="20"/>
                    <w:lang w:eastAsia="sk-SK"/>
                  </w:rPr>
                </w:pPr>
                <w:r w:rsidRPr="00BD372F">
                  <w:rPr>
                    <w:rFonts w:ascii="Segoe UI Symbol"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652E7454" w14:textId="77777777" w:rsidR="00BD372F" w:rsidRPr="00BD372F" w:rsidRDefault="00BD372F" w:rsidP="00BD372F">
            <w:pPr>
              <w:spacing w:after="0" w:line="240" w:lineRule="auto"/>
              <w:ind w:right="-108"/>
              <w:rPr>
                <w:rFonts w:ascii="Times New Roman" w:hAnsi="Times New Roman"/>
                <w:b/>
                <w:sz w:val="20"/>
                <w:szCs w:val="20"/>
                <w:lang w:eastAsia="sk-SK"/>
              </w:rPr>
            </w:pPr>
            <w:r w:rsidRPr="00BD372F">
              <w:rPr>
                <w:rFonts w:ascii="Times New Roman" w:hAnsi="Times New Roman"/>
                <w:b/>
                <w:sz w:val="20"/>
                <w:szCs w:val="20"/>
                <w:lang w:eastAsia="sk-SK"/>
              </w:rPr>
              <w:t>Pozitívne</w:t>
            </w:r>
          </w:p>
        </w:tc>
        <w:sdt>
          <w:sdtPr>
            <w:rPr>
              <w:rFonts w:ascii="Times New Roman" w:hAnsi="Times New Roman"/>
              <w:b/>
              <w:sz w:val="20"/>
              <w:szCs w:val="20"/>
              <w:lang w:eastAsia="sk-SK"/>
            </w:rPr>
            <w:id w:val="16960343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423194CE" w14:textId="77777777" w:rsidR="00BD372F" w:rsidRPr="00BD372F" w:rsidRDefault="00BD372F" w:rsidP="00BD372F">
                <w:pPr>
                  <w:spacing w:after="0" w:line="240" w:lineRule="auto"/>
                  <w:jc w:val="center"/>
                  <w:rPr>
                    <w:rFonts w:ascii="Times New Roman" w:hAnsi="Times New Roman"/>
                    <w:b/>
                    <w:sz w:val="20"/>
                    <w:szCs w:val="20"/>
                    <w:lang w:eastAsia="sk-SK"/>
                  </w:rPr>
                </w:pPr>
                <w:r w:rsidRPr="00BD372F">
                  <w:rPr>
                    <w:rFonts w:ascii="Segoe UI Symbol"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032677F5" w14:textId="77777777" w:rsidR="00BD372F" w:rsidRPr="00BD372F" w:rsidRDefault="00BD372F" w:rsidP="00BD372F">
            <w:pPr>
              <w:spacing w:after="0" w:line="240" w:lineRule="auto"/>
              <w:rPr>
                <w:rFonts w:ascii="Times New Roman" w:hAnsi="Times New Roman"/>
                <w:b/>
                <w:sz w:val="20"/>
                <w:szCs w:val="20"/>
                <w:lang w:eastAsia="sk-SK"/>
              </w:rPr>
            </w:pPr>
            <w:r w:rsidRPr="00BD372F">
              <w:rPr>
                <w:rFonts w:ascii="Times New Roman" w:hAnsi="Times New Roman"/>
                <w:b/>
                <w:sz w:val="20"/>
                <w:szCs w:val="20"/>
                <w:lang w:eastAsia="sk-SK"/>
              </w:rPr>
              <w:t>Žiadne</w:t>
            </w:r>
          </w:p>
        </w:tc>
        <w:sdt>
          <w:sdtPr>
            <w:rPr>
              <w:rFonts w:ascii="Times New Roman" w:hAnsi="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75D4B2AA" w14:textId="77777777" w:rsidR="00BD372F" w:rsidRPr="00BD372F" w:rsidRDefault="00BD372F" w:rsidP="00BD372F">
                <w:pPr>
                  <w:spacing w:after="0" w:line="240" w:lineRule="auto"/>
                  <w:jc w:val="center"/>
                  <w:rPr>
                    <w:rFonts w:ascii="Times New Roman" w:hAnsi="Times New Roman"/>
                    <w:b/>
                    <w:sz w:val="20"/>
                    <w:szCs w:val="20"/>
                    <w:lang w:eastAsia="sk-SK"/>
                  </w:rPr>
                </w:pPr>
                <w:r w:rsidRPr="00BD372F">
                  <w:rPr>
                    <w:rFonts w:ascii="Segoe UI Symbol"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7BD71A98" w14:textId="77777777" w:rsidR="00BD372F" w:rsidRPr="00BD372F" w:rsidRDefault="00BD372F" w:rsidP="00BD372F">
            <w:pPr>
              <w:spacing w:after="0" w:line="240" w:lineRule="auto"/>
              <w:ind w:left="54"/>
              <w:rPr>
                <w:rFonts w:ascii="Times New Roman" w:hAnsi="Times New Roman"/>
                <w:b/>
                <w:sz w:val="20"/>
                <w:szCs w:val="20"/>
                <w:lang w:eastAsia="sk-SK"/>
              </w:rPr>
            </w:pPr>
            <w:r w:rsidRPr="00BD372F">
              <w:rPr>
                <w:rFonts w:ascii="Times New Roman" w:hAnsi="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BD372F" w:rsidRPr="00BD372F" w14:paraId="4CB0E380" w14:textId="77777777" w:rsidTr="00154BAB">
        <w:tc>
          <w:tcPr>
            <w:tcW w:w="3812" w:type="dxa"/>
            <w:tcBorders>
              <w:top w:val="single" w:sz="4" w:space="0" w:color="auto"/>
              <w:left w:val="single" w:sz="4" w:space="0" w:color="auto"/>
              <w:bottom w:val="nil"/>
              <w:right w:val="single" w:sz="4" w:space="0" w:color="auto"/>
            </w:tcBorders>
            <w:shd w:val="clear" w:color="auto" w:fill="E2E2E2"/>
          </w:tcPr>
          <w:p w14:paraId="34EA0AEF" w14:textId="77777777" w:rsidR="00BD372F" w:rsidRPr="00BD372F" w:rsidRDefault="00BD372F" w:rsidP="00BD372F">
            <w:pPr>
              <w:spacing w:after="0" w:line="240" w:lineRule="auto"/>
              <w:rPr>
                <w:rFonts w:ascii="Times New Roman" w:hAnsi="Times New Roman"/>
                <w:b/>
                <w:sz w:val="20"/>
                <w:szCs w:val="20"/>
                <w:lang w:eastAsia="sk-SK"/>
              </w:rPr>
            </w:pPr>
            <w:r w:rsidRPr="00BD372F">
              <w:rPr>
                <w:rFonts w:ascii="Times New Roman" w:eastAsia="Calibri" w:hAnsi="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tcPr>
          <w:p w14:paraId="11B23C42" w14:textId="77777777" w:rsidR="00BD372F" w:rsidRPr="00BD372F" w:rsidRDefault="00BD372F" w:rsidP="00BD372F">
            <w:pPr>
              <w:spacing w:after="0" w:line="240" w:lineRule="auto"/>
              <w:jc w:val="center"/>
              <w:rPr>
                <w:rFonts w:ascii="Times New Roman" w:eastAsia="MS Mincho" w:hAnsi="Times New Roman"/>
                <w:b/>
                <w:sz w:val="20"/>
                <w:szCs w:val="20"/>
                <w:lang w:eastAsia="sk-SK"/>
              </w:rPr>
            </w:pPr>
          </w:p>
        </w:tc>
        <w:tc>
          <w:tcPr>
            <w:tcW w:w="1281" w:type="dxa"/>
            <w:tcBorders>
              <w:top w:val="single" w:sz="4" w:space="0" w:color="auto"/>
              <w:left w:val="nil"/>
              <w:bottom w:val="nil"/>
              <w:right w:val="nil"/>
            </w:tcBorders>
          </w:tcPr>
          <w:p w14:paraId="7DBE63C0" w14:textId="77777777" w:rsidR="00BD372F" w:rsidRPr="00BD372F" w:rsidRDefault="00BD372F" w:rsidP="00BD372F">
            <w:pPr>
              <w:spacing w:after="0" w:line="240" w:lineRule="auto"/>
              <w:ind w:right="-108"/>
              <w:rPr>
                <w:rFonts w:ascii="Times New Roman" w:hAnsi="Times New Roman"/>
                <w:b/>
                <w:sz w:val="20"/>
                <w:szCs w:val="20"/>
                <w:lang w:eastAsia="sk-SK"/>
              </w:rPr>
            </w:pPr>
          </w:p>
        </w:tc>
        <w:tc>
          <w:tcPr>
            <w:tcW w:w="569" w:type="dxa"/>
            <w:gridSpan w:val="2"/>
            <w:tcBorders>
              <w:top w:val="single" w:sz="4" w:space="0" w:color="auto"/>
              <w:left w:val="nil"/>
              <w:bottom w:val="nil"/>
              <w:right w:val="nil"/>
            </w:tcBorders>
          </w:tcPr>
          <w:p w14:paraId="0C05AA4C" w14:textId="77777777" w:rsidR="00BD372F" w:rsidRPr="00BD372F" w:rsidRDefault="00BD372F" w:rsidP="00BD372F">
            <w:pPr>
              <w:spacing w:after="0" w:line="240" w:lineRule="auto"/>
              <w:jc w:val="center"/>
              <w:rPr>
                <w:rFonts w:ascii="Times New Roman" w:eastAsia="MS Mincho" w:hAnsi="Times New Roman"/>
                <w:b/>
                <w:sz w:val="20"/>
                <w:szCs w:val="20"/>
                <w:lang w:eastAsia="sk-SK"/>
              </w:rPr>
            </w:pPr>
          </w:p>
        </w:tc>
        <w:tc>
          <w:tcPr>
            <w:tcW w:w="1133" w:type="dxa"/>
            <w:tcBorders>
              <w:top w:val="single" w:sz="4" w:space="0" w:color="auto"/>
              <w:left w:val="nil"/>
              <w:bottom w:val="nil"/>
              <w:right w:val="nil"/>
            </w:tcBorders>
          </w:tcPr>
          <w:p w14:paraId="5062EEAA" w14:textId="77777777" w:rsidR="00BD372F" w:rsidRPr="00BD372F" w:rsidRDefault="00BD372F" w:rsidP="00BD372F">
            <w:pPr>
              <w:spacing w:after="0" w:line="240" w:lineRule="auto"/>
              <w:rPr>
                <w:rFonts w:ascii="Times New Roman" w:hAnsi="Times New Roman"/>
                <w:b/>
                <w:sz w:val="20"/>
                <w:szCs w:val="20"/>
                <w:lang w:eastAsia="sk-SK"/>
              </w:rPr>
            </w:pPr>
          </w:p>
        </w:tc>
        <w:tc>
          <w:tcPr>
            <w:tcW w:w="547" w:type="dxa"/>
            <w:tcBorders>
              <w:top w:val="single" w:sz="4" w:space="0" w:color="auto"/>
              <w:left w:val="nil"/>
              <w:bottom w:val="nil"/>
              <w:right w:val="nil"/>
            </w:tcBorders>
          </w:tcPr>
          <w:p w14:paraId="7E6ACD6A" w14:textId="77777777" w:rsidR="00BD372F" w:rsidRPr="00BD372F" w:rsidRDefault="00BD372F" w:rsidP="00BD372F">
            <w:pPr>
              <w:spacing w:after="0" w:line="240" w:lineRule="auto"/>
              <w:jc w:val="center"/>
              <w:rPr>
                <w:rFonts w:ascii="Times New Roman" w:eastAsia="MS Mincho" w:hAnsi="Times New Roman"/>
                <w:b/>
                <w:sz w:val="20"/>
                <w:szCs w:val="20"/>
                <w:lang w:eastAsia="sk-SK"/>
              </w:rPr>
            </w:pPr>
          </w:p>
        </w:tc>
        <w:tc>
          <w:tcPr>
            <w:tcW w:w="1297" w:type="dxa"/>
            <w:tcBorders>
              <w:top w:val="single" w:sz="4" w:space="0" w:color="auto"/>
              <w:left w:val="nil"/>
              <w:bottom w:val="nil"/>
              <w:right w:val="single" w:sz="4" w:space="0" w:color="auto"/>
            </w:tcBorders>
          </w:tcPr>
          <w:p w14:paraId="62575DA8" w14:textId="77777777" w:rsidR="00BD372F" w:rsidRPr="00BD372F" w:rsidRDefault="00BD372F" w:rsidP="00BD372F">
            <w:pPr>
              <w:spacing w:after="0" w:line="240" w:lineRule="auto"/>
              <w:ind w:left="54"/>
              <w:rPr>
                <w:rFonts w:ascii="Times New Roman" w:hAnsi="Times New Roman"/>
                <w:b/>
                <w:sz w:val="20"/>
                <w:szCs w:val="20"/>
                <w:lang w:eastAsia="sk-SK"/>
              </w:rPr>
            </w:pPr>
          </w:p>
        </w:tc>
      </w:tr>
      <w:tr w:rsidR="00BD372F" w:rsidRPr="00BD372F" w14:paraId="0D3BD6DB" w14:textId="77777777" w:rsidTr="00154BAB">
        <w:tc>
          <w:tcPr>
            <w:tcW w:w="3812" w:type="dxa"/>
            <w:tcBorders>
              <w:top w:val="nil"/>
              <w:left w:val="single" w:sz="4" w:space="0" w:color="auto"/>
              <w:bottom w:val="nil"/>
              <w:right w:val="single" w:sz="4" w:space="0" w:color="auto"/>
            </w:tcBorders>
            <w:shd w:val="clear" w:color="auto" w:fill="E2E2E2"/>
          </w:tcPr>
          <w:p w14:paraId="39148DCD" w14:textId="77777777" w:rsidR="00BD372F" w:rsidRPr="00BD372F" w:rsidRDefault="00BD372F" w:rsidP="00BD372F">
            <w:pPr>
              <w:spacing w:after="0" w:line="240" w:lineRule="auto"/>
              <w:ind w:left="196" w:hanging="196"/>
              <w:rPr>
                <w:rFonts w:ascii="Times New Roman" w:eastAsia="Calibri" w:hAnsi="Times New Roman"/>
                <w:b/>
                <w:sz w:val="20"/>
                <w:szCs w:val="20"/>
              </w:rPr>
            </w:pPr>
            <w:r w:rsidRPr="00BD372F">
              <w:rPr>
                <w:rFonts w:ascii="Times New Roman" w:eastAsia="Calibri" w:hAnsi="Times New Roman"/>
                <w:b/>
                <w:sz w:val="20"/>
                <w:szCs w:val="20"/>
              </w:rPr>
              <w:t xml:space="preserve">    vplyvy služieb verejnej správy na občana</w:t>
            </w:r>
          </w:p>
        </w:tc>
        <w:sdt>
          <w:sdtPr>
            <w:rPr>
              <w:rFonts w:ascii="Times New Roman" w:hAnsi="Times New Roman"/>
              <w:b/>
              <w:sz w:val="20"/>
              <w:szCs w:val="20"/>
              <w:lang w:eastAsia="sk-SK"/>
            </w:rPr>
            <w:id w:val="2031215792"/>
            <w14:checkbox>
              <w14:checked w14:val="1"/>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tcPr>
              <w:p w14:paraId="6490C551" w14:textId="77777777" w:rsidR="00BD372F" w:rsidRPr="00BD372F" w:rsidRDefault="00BD372F" w:rsidP="00BD372F">
                <w:pPr>
                  <w:spacing w:after="0" w:line="240" w:lineRule="auto"/>
                  <w:jc w:val="center"/>
                  <w:rPr>
                    <w:rFonts w:ascii="Times New Roman" w:hAnsi="Times New Roman"/>
                    <w:b/>
                    <w:sz w:val="20"/>
                    <w:szCs w:val="20"/>
                    <w:lang w:eastAsia="sk-SK"/>
                  </w:rPr>
                </w:pPr>
                <w:r w:rsidRPr="00BD372F">
                  <w:rPr>
                    <w:rFonts w:ascii="Times New Roman" w:eastAsia="MS Gothic" w:hAnsi="Times New Roman" w:hint="eastAsia"/>
                    <w:b/>
                    <w:sz w:val="20"/>
                    <w:szCs w:val="20"/>
                    <w:lang w:eastAsia="sk-SK"/>
                  </w:rPr>
                  <w:t>☒</w:t>
                </w:r>
              </w:p>
            </w:tc>
          </w:sdtContent>
        </w:sdt>
        <w:tc>
          <w:tcPr>
            <w:tcW w:w="1312" w:type="dxa"/>
            <w:gridSpan w:val="2"/>
            <w:tcBorders>
              <w:top w:val="nil"/>
              <w:left w:val="nil"/>
              <w:bottom w:val="dotted" w:sz="4" w:space="0" w:color="auto"/>
              <w:right w:val="nil"/>
            </w:tcBorders>
          </w:tcPr>
          <w:p w14:paraId="20EE9815" w14:textId="77777777" w:rsidR="00BD372F" w:rsidRPr="00BD372F" w:rsidRDefault="00BD372F" w:rsidP="00BD372F">
            <w:pPr>
              <w:spacing w:after="0" w:line="240" w:lineRule="auto"/>
              <w:ind w:right="-108"/>
              <w:rPr>
                <w:rFonts w:ascii="Times New Roman" w:hAnsi="Times New Roman"/>
                <w:b/>
                <w:sz w:val="20"/>
                <w:szCs w:val="20"/>
                <w:lang w:eastAsia="sk-SK"/>
              </w:rPr>
            </w:pPr>
            <w:r w:rsidRPr="00BD372F">
              <w:rPr>
                <w:rFonts w:ascii="Times New Roman" w:hAnsi="Times New Roman"/>
                <w:b/>
                <w:sz w:val="20"/>
                <w:szCs w:val="20"/>
                <w:lang w:eastAsia="sk-SK"/>
              </w:rPr>
              <w:t>Pozitívne</w:t>
            </w:r>
          </w:p>
        </w:tc>
        <w:sdt>
          <w:sdtPr>
            <w:rPr>
              <w:rFonts w:ascii="Times New Roman" w:hAnsi="Times New Roman"/>
              <w:b/>
              <w:sz w:val="20"/>
              <w:szCs w:val="20"/>
              <w:lang w:eastAsia="sk-SK"/>
            </w:rPr>
            <w:id w:val="-1752193863"/>
            <w14:checkbox>
              <w14:checked w14:val="0"/>
              <w14:checkedState w14:val="2612" w14:font="MS Gothic"/>
              <w14:uncheckedState w14:val="2610" w14:font="MS Gothic"/>
            </w14:checkbox>
          </w:sdtPr>
          <w:sdtEndPr/>
          <w:sdtContent>
            <w:tc>
              <w:tcPr>
                <w:tcW w:w="538" w:type="dxa"/>
                <w:tcBorders>
                  <w:top w:val="nil"/>
                  <w:left w:val="nil"/>
                  <w:bottom w:val="dotted" w:sz="4" w:space="0" w:color="auto"/>
                  <w:right w:val="nil"/>
                </w:tcBorders>
              </w:tcPr>
              <w:p w14:paraId="7C4D276E" w14:textId="77777777" w:rsidR="00BD372F" w:rsidRPr="00BD372F" w:rsidRDefault="00BD372F" w:rsidP="00BD372F">
                <w:pPr>
                  <w:spacing w:after="0" w:line="240" w:lineRule="auto"/>
                  <w:jc w:val="center"/>
                  <w:rPr>
                    <w:rFonts w:ascii="Times New Roman" w:hAnsi="Times New Roman"/>
                    <w:b/>
                    <w:sz w:val="20"/>
                    <w:szCs w:val="20"/>
                    <w:lang w:eastAsia="sk-SK"/>
                  </w:rPr>
                </w:pPr>
                <w:r w:rsidRPr="00BD372F">
                  <w:rPr>
                    <w:rFonts w:ascii="Times New Roman" w:eastAsia="MS Gothic" w:hAnsi="Times New Roman" w:hint="eastAsia"/>
                    <w:b/>
                    <w:sz w:val="20"/>
                    <w:szCs w:val="20"/>
                    <w:lang w:eastAsia="sk-SK"/>
                  </w:rPr>
                  <w:t>☐</w:t>
                </w:r>
              </w:p>
            </w:tc>
          </w:sdtContent>
        </w:sdt>
        <w:tc>
          <w:tcPr>
            <w:tcW w:w="1133" w:type="dxa"/>
            <w:tcBorders>
              <w:top w:val="nil"/>
              <w:left w:val="nil"/>
              <w:bottom w:val="dotted" w:sz="4" w:space="0" w:color="auto"/>
              <w:right w:val="nil"/>
            </w:tcBorders>
          </w:tcPr>
          <w:p w14:paraId="36EEA3F1" w14:textId="77777777" w:rsidR="00BD372F" w:rsidRPr="00BD372F" w:rsidRDefault="00BD372F" w:rsidP="00BD372F">
            <w:pPr>
              <w:spacing w:after="0" w:line="240" w:lineRule="auto"/>
              <w:rPr>
                <w:rFonts w:ascii="Times New Roman" w:hAnsi="Times New Roman"/>
                <w:b/>
                <w:sz w:val="20"/>
                <w:szCs w:val="20"/>
                <w:lang w:eastAsia="sk-SK"/>
              </w:rPr>
            </w:pPr>
            <w:r w:rsidRPr="00BD372F">
              <w:rPr>
                <w:rFonts w:ascii="Times New Roman" w:hAnsi="Times New Roman"/>
                <w:b/>
                <w:sz w:val="20"/>
                <w:szCs w:val="20"/>
                <w:lang w:eastAsia="sk-SK"/>
              </w:rPr>
              <w:t>Žiadne</w:t>
            </w:r>
          </w:p>
        </w:tc>
        <w:sdt>
          <w:sdtPr>
            <w:rPr>
              <w:rFonts w:ascii="Times New Roman" w:hAnsi="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tcPr>
              <w:p w14:paraId="7C142D7D" w14:textId="77777777" w:rsidR="00BD372F" w:rsidRPr="00BD372F" w:rsidRDefault="00BD372F" w:rsidP="00BD372F">
                <w:pPr>
                  <w:spacing w:after="0" w:line="240" w:lineRule="auto"/>
                  <w:jc w:val="center"/>
                  <w:rPr>
                    <w:rFonts w:ascii="Times New Roman" w:hAnsi="Times New Roman"/>
                    <w:b/>
                    <w:sz w:val="20"/>
                    <w:szCs w:val="20"/>
                    <w:lang w:eastAsia="sk-SK"/>
                  </w:rPr>
                </w:pPr>
                <w:r w:rsidRPr="00BD372F">
                  <w:rPr>
                    <w:rFonts w:ascii="Times New Roman" w:eastAsia="MS Gothic" w:hAnsi="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tcPr>
          <w:p w14:paraId="2D22058E" w14:textId="77777777" w:rsidR="00BD372F" w:rsidRPr="00BD372F" w:rsidRDefault="00BD372F" w:rsidP="00BD372F">
            <w:pPr>
              <w:spacing w:after="0" w:line="240" w:lineRule="auto"/>
              <w:ind w:left="54"/>
              <w:rPr>
                <w:rFonts w:ascii="Times New Roman" w:hAnsi="Times New Roman"/>
                <w:b/>
                <w:sz w:val="20"/>
                <w:szCs w:val="20"/>
                <w:lang w:eastAsia="sk-SK"/>
              </w:rPr>
            </w:pPr>
            <w:r w:rsidRPr="00BD372F">
              <w:rPr>
                <w:rFonts w:ascii="Times New Roman" w:hAnsi="Times New Roman"/>
                <w:b/>
                <w:sz w:val="20"/>
                <w:szCs w:val="20"/>
                <w:lang w:eastAsia="sk-SK"/>
              </w:rPr>
              <w:t>Negatívne</w:t>
            </w:r>
          </w:p>
        </w:tc>
      </w:tr>
      <w:tr w:rsidR="00BD372F" w:rsidRPr="00BD372F" w14:paraId="4AA4DD60" w14:textId="77777777" w:rsidTr="00154BAB">
        <w:tc>
          <w:tcPr>
            <w:tcW w:w="3812" w:type="dxa"/>
            <w:tcBorders>
              <w:top w:val="nil"/>
              <w:left w:val="single" w:sz="4" w:space="0" w:color="auto"/>
              <w:bottom w:val="nil"/>
              <w:right w:val="single" w:sz="4" w:space="0" w:color="auto"/>
            </w:tcBorders>
            <w:shd w:val="clear" w:color="auto" w:fill="E2E2E2"/>
          </w:tcPr>
          <w:p w14:paraId="4BAE40DC" w14:textId="77777777" w:rsidR="00BD372F" w:rsidRPr="00BD372F" w:rsidRDefault="00BD372F" w:rsidP="00BD372F">
            <w:pPr>
              <w:spacing w:after="0" w:line="240" w:lineRule="auto"/>
              <w:ind w:left="168" w:hanging="168"/>
              <w:rPr>
                <w:rFonts w:ascii="Times New Roman" w:eastAsia="Calibri" w:hAnsi="Times New Roman"/>
                <w:b/>
                <w:sz w:val="20"/>
                <w:szCs w:val="20"/>
              </w:rPr>
            </w:pPr>
            <w:r w:rsidRPr="00BD372F">
              <w:rPr>
                <w:rFonts w:ascii="Times New Roman" w:eastAsia="Calibri" w:hAnsi="Times New Roman"/>
                <w:b/>
                <w:sz w:val="20"/>
                <w:szCs w:val="20"/>
              </w:rPr>
              <w:t xml:space="preserve">    vplyvy na procesy služieb vo verejnej správe</w:t>
            </w:r>
          </w:p>
        </w:tc>
        <w:sdt>
          <w:sdtPr>
            <w:rPr>
              <w:rFonts w:ascii="Times New Roman" w:hAnsi="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vAlign w:val="center"/>
              </w:tcPr>
              <w:p w14:paraId="76FB25B0" w14:textId="77777777" w:rsidR="00BD372F" w:rsidRPr="00BD372F" w:rsidRDefault="00BD372F" w:rsidP="00BD372F">
                <w:pPr>
                  <w:spacing w:after="0" w:line="240" w:lineRule="auto"/>
                  <w:jc w:val="center"/>
                  <w:rPr>
                    <w:rFonts w:ascii="Times New Roman" w:hAnsi="Times New Roman"/>
                    <w:b/>
                    <w:sz w:val="20"/>
                    <w:szCs w:val="20"/>
                    <w:lang w:eastAsia="sk-SK"/>
                  </w:rPr>
                </w:pPr>
                <w:r w:rsidRPr="00BD372F">
                  <w:rPr>
                    <w:rFonts w:ascii="Times New Roman" w:eastAsia="MS Gothic" w:hAnsi="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1BE1D51D" w14:textId="77777777" w:rsidR="00BD372F" w:rsidRPr="00BD372F" w:rsidRDefault="00BD372F" w:rsidP="00BD372F">
            <w:pPr>
              <w:spacing w:after="0" w:line="240" w:lineRule="auto"/>
              <w:ind w:right="-108"/>
              <w:rPr>
                <w:rFonts w:ascii="Times New Roman" w:hAnsi="Times New Roman"/>
                <w:b/>
                <w:sz w:val="20"/>
                <w:szCs w:val="20"/>
                <w:lang w:eastAsia="sk-SK"/>
              </w:rPr>
            </w:pPr>
            <w:r w:rsidRPr="00BD372F">
              <w:rPr>
                <w:rFonts w:ascii="Times New Roman" w:hAnsi="Times New Roman"/>
                <w:b/>
                <w:sz w:val="20"/>
                <w:szCs w:val="20"/>
                <w:lang w:eastAsia="sk-SK"/>
              </w:rPr>
              <w:t>Pozitívne</w:t>
            </w:r>
          </w:p>
        </w:tc>
        <w:sdt>
          <w:sdtPr>
            <w:rPr>
              <w:rFonts w:ascii="Times New Roman" w:hAnsi="Times New Roman"/>
              <w:b/>
              <w:sz w:val="20"/>
              <w:szCs w:val="20"/>
              <w:lang w:eastAsia="sk-SK"/>
            </w:rPr>
            <w:id w:val="1993677602"/>
            <w14:checkbox>
              <w14:checked w14:val="0"/>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vAlign w:val="center"/>
              </w:tcPr>
              <w:p w14:paraId="41B97CE5" w14:textId="77777777" w:rsidR="00BD372F" w:rsidRPr="00BD372F" w:rsidRDefault="00BD372F" w:rsidP="00BD372F">
                <w:pPr>
                  <w:spacing w:after="0" w:line="240" w:lineRule="auto"/>
                  <w:jc w:val="center"/>
                  <w:rPr>
                    <w:rFonts w:ascii="Times New Roman" w:hAnsi="Times New Roman"/>
                    <w:b/>
                    <w:sz w:val="20"/>
                    <w:szCs w:val="20"/>
                    <w:lang w:eastAsia="sk-SK"/>
                  </w:rPr>
                </w:pPr>
                <w:r w:rsidRPr="00BD372F">
                  <w:rPr>
                    <w:rFonts w:ascii="Times New Roman" w:eastAsia="MS Gothic" w:hAnsi="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03F94259" w14:textId="77777777" w:rsidR="00BD372F" w:rsidRPr="00BD372F" w:rsidRDefault="00BD372F" w:rsidP="00BD372F">
            <w:pPr>
              <w:spacing w:after="0" w:line="240" w:lineRule="auto"/>
              <w:rPr>
                <w:rFonts w:ascii="Times New Roman" w:hAnsi="Times New Roman"/>
                <w:b/>
                <w:sz w:val="20"/>
                <w:szCs w:val="20"/>
                <w:lang w:eastAsia="sk-SK"/>
              </w:rPr>
            </w:pPr>
            <w:r w:rsidRPr="00BD372F">
              <w:rPr>
                <w:rFonts w:ascii="Times New Roman" w:hAnsi="Times New Roman"/>
                <w:b/>
                <w:sz w:val="20"/>
                <w:szCs w:val="20"/>
                <w:lang w:eastAsia="sk-SK"/>
              </w:rPr>
              <w:t>Žiadne</w:t>
            </w:r>
          </w:p>
        </w:tc>
        <w:sdt>
          <w:sdtPr>
            <w:rPr>
              <w:rFonts w:ascii="Times New Roman" w:hAnsi="Times New Roman"/>
              <w:b/>
              <w:sz w:val="20"/>
              <w:szCs w:val="20"/>
              <w:lang w:eastAsia="sk-SK"/>
            </w:rPr>
            <w:id w:val="578477896"/>
            <w14:checkbox>
              <w14:checked w14:val="1"/>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vAlign w:val="center"/>
              </w:tcPr>
              <w:p w14:paraId="0C730C0E" w14:textId="77777777" w:rsidR="00BD372F" w:rsidRPr="00BD372F" w:rsidRDefault="00BD372F" w:rsidP="00BD372F">
                <w:pPr>
                  <w:spacing w:after="0" w:line="240" w:lineRule="auto"/>
                  <w:jc w:val="center"/>
                  <w:rPr>
                    <w:rFonts w:ascii="Times New Roman" w:hAnsi="Times New Roman"/>
                    <w:b/>
                    <w:sz w:val="20"/>
                    <w:szCs w:val="20"/>
                    <w:lang w:eastAsia="sk-SK"/>
                  </w:rPr>
                </w:pPr>
                <w:r w:rsidRPr="00BD372F">
                  <w:rPr>
                    <w:rFonts w:ascii="Times New Roman" w:eastAsia="MS Gothic" w:hAnsi="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34A21FA5" w14:textId="77777777" w:rsidR="00BD372F" w:rsidRPr="00BD372F" w:rsidRDefault="00BD372F" w:rsidP="00BD372F">
            <w:pPr>
              <w:spacing w:after="0" w:line="240" w:lineRule="auto"/>
              <w:ind w:left="54"/>
              <w:rPr>
                <w:rFonts w:ascii="Times New Roman" w:hAnsi="Times New Roman"/>
                <w:b/>
                <w:sz w:val="20"/>
                <w:szCs w:val="20"/>
                <w:lang w:eastAsia="sk-SK"/>
              </w:rPr>
            </w:pPr>
            <w:r w:rsidRPr="00BD372F">
              <w:rPr>
                <w:rFonts w:ascii="Times New Roman" w:hAnsi="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BD372F" w:rsidRPr="00BD372F" w14:paraId="3865966A" w14:textId="77777777" w:rsidTr="00154BAB">
        <w:tc>
          <w:tcPr>
            <w:tcW w:w="3812" w:type="dxa"/>
            <w:tcBorders>
              <w:top w:val="single" w:sz="4" w:space="0" w:color="000000"/>
              <w:left w:val="single" w:sz="4" w:space="0" w:color="auto"/>
              <w:bottom w:val="single" w:sz="4" w:space="0" w:color="auto"/>
              <w:right w:val="single" w:sz="4" w:space="0" w:color="auto"/>
            </w:tcBorders>
            <w:shd w:val="clear" w:color="auto" w:fill="E2E2E2"/>
          </w:tcPr>
          <w:p w14:paraId="31CD7CF3" w14:textId="77777777" w:rsidR="00BD372F" w:rsidRPr="00BD372F" w:rsidRDefault="00BD372F" w:rsidP="00BD372F">
            <w:pPr>
              <w:spacing w:after="0" w:line="240" w:lineRule="auto"/>
              <w:rPr>
                <w:rFonts w:ascii="Times New Roman" w:hAnsi="Times New Roman"/>
                <w:b/>
                <w:sz w:val="20"/>
                <w:szCs w:val="20"/>
                <w:lang w:eastAsia="sk-SK"/>
              </w:rPr>
            </w:pPr>
            <w:r w:rsidRPr="00BD372F">
              <w:rPr>
                <w:rFonts w:ascii="Times New Roman" w:hAnsi="Times New Roman"/>
                <w:b/>
                <w:sz w:val="20"/>
                <w:szCs w:val="20"/>
              </w:rPr>
              <w:t>Vplyvy na manželstvo, rodičovstvo a rodinu</w:t>
            </w:r>
          </w:p>
        </w:tc>
        <w:sdt>
          <w:sdtPr>
            <w:rPr>
              <w:rFonts w:ascii="Times New Roman" w:hAnsi="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333F3E49" w14:textId="77777777" w:rsidR="00BD372F" w:rsidRPr="00BD372F" w:rsidRDefault="00BD372F" w:rsidP="00BD372F">
                <w:pPr>
                  <w:spacing w:after="0" w:line="240" w:lineRule="auto"/>
                  <w:jc w:val="center"/>
                  <w:rPr>
                    <w:rFonts w:ascii="Times New Roman" w:hAnsi="Times New Roman"/>
                    <w:b/>
                    <w:sz w:val="20"/>
                    <w:szCs w:val="20"/>
                    <w:lang w:eastAsia="sk-SK"/>
                  </w:rPr>
                </w:pPr>
                <w:r w:rsidRPr="00BD372F">
                  <w:rPr>
                    <w:rFonts w:ascii="Segoe UI Symbol" w:hAnsi="Segoe UI Symbol" w:cs="Segoe UI Symbol"/>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1C453F5A" w14:textId="77777777" w:rsidR="00BD372F" w:rsidRPr="00BD372F" w:rsidRDefault="00BD372F" w:rsidP="00BD372F">
            <w:pPr>
              <w:spacing w:after="0" w:line="240" w:lineRule="auto"/>
              <w:ind w:right="-108"/>
              <w:rPr>
                <w:rFonts w:ascii="Times New Roman" w:hAnsi="Times New Roman"/>
                <w:b/>
                <w:sz w:val="20"/>
                <w:szCs w:val="20"/>
                <w:lang w:eastAsia="sk-SK"/>
              </w:rPr>
            </w:pPr>
            <w:r w:rsidRPr="00BD372F">
              <w:rPr>
                <w:rFonts w:ascii="Times New Roman" w:hAnsi="Times New Roman"/>
                <w:b/>
                <w:sz w:val="20"/>
                <w:szCs w:val="20"/>
                <w:lang w:eastAsia="sk-SK"/>
              </w:rPr>
              <w:t>Pozitívne</w:t>
            </w:r>
          </w:p>
        </w:tc>
        <w:sdt>
          <w:sdtPr>
            <w:rPr>
              <w:rFonts w:ascii="Times New Roman" w:hAnsi="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279C2874" w14:textId="77777777" w:rsidR="00BD372F" w:rsidRPr="00BD372F" w:rsidRDefault="00BD372F" w:rsidP="00BD372F">
                <w:pPr>
                  <w:spacing w:after="0" w:line="240" w:lineRule="auto"/>
                  <w:jc w:val="center"/>
                  <w:rPr>
                    <w:rFonts w:ascii="Times New Roman" w:hAnsi="Times New Roman"/>
                    <w:b/>
                    <w:sz w:val="20"/>
                    <w:szCs w:val="20"/>
                    <w:lang w:eastAsia="sk-SK"/>
                  </w:rPr>
                </w:pPr>
                <w:r w:rsidRPr="00BD372F">
                  <w:rPr>
                    <w:rFonts w:ascii="Segoe UI Symbol"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2CC8ABEE" w14:textId="77777777" w:rsidR="00BD372F" w:rsidRPr="00BD372F" w:rsidRDefault="00BD372F" w:rsidP="00BD372F">
            <w:pPr>
              <w:spacing w:after="0" w:line="240" w:lineRule="auto"/>
              <w:rPr>
                <w:rFonts w:ascii="Times New Roman" w:hAnsi="Times New Roman"/>
                <w:b/>
                <w:sz w:val="20"/>
                <w:szCs w:val="20"/>
                <w:lang w:eastAsia="sk-SK"/>
              </w:rPr>
            </w:pPr>
            <w:r w:rsidRPr="00BD372F">
              <w:rPr>
                <w:rFonts w:ascii="Times New Roman" w:hAnsi="Times New Roman"/>
                <w:b/>
                <w:sz w:val="20"/>
                <w:szCs w:val="20"/>
                <w:lang w:eastAsia="sk-SK"/>
              </w:rPr>
              <w:t>Žiadne</w:t>
            </w:r>
          </w:p>
        </w:tc>
        <w:sdt>
          <w:sdtPr>
            <w:rPr>
              <w:rFonts w:ascii="Times New Roman" w:hAnsi="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29788F5F" w14:textId="77777777" w:rsidR="00BD372F" w:rsidRPr="00BD372F" w:rsidRDefault="00BD372F" w:rsidP="00BD372F">
                <w:pPr>
                  <w:spacing w:after="0" w:line="240" w:lineRule="auto"/>
                  <w:jc w:val="center"/>
                  <w:rPr>
                    <w:rFonts w:ascii="Times New Roman" w:hAnsi="Times New Roman"/>
                    <w:b/>
                    <w:sz w:val="20"/>
                    <w:szCs w:val="20"/>
                    <w:lang w:eastAsia="sk-SK"/>
                  </w:rPr>
                </w:pPr>
                <w:r w:rsidRPr="00BD372F">
                  <w:rPr>
                    <w:rFonts w:ascii="Segoe UI Symbol"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1120F50C" w14:textId="77777777" w:rsidR="00BD372F" w:rsidRPr="00BD372F" w:rsidRDefault="00BD372F" w:rsidP="00BD372F">
            <w:pPr>
              <w:spacing w:after="0" w:line="240" w:lineRule="auto"/>
              <w:ind w:left="54"/>
              <w:rPr>
                <w:rFonts w:ascii="Times New Roman" w:hAnsi="Times New Roman"/>
                <w:b/>
                <w:sz w:val="20"/>
                <w:szCs w:val="20"/>
                <w:lang w:eastAsia="sk-SK"/>
              </w:rPr>
            </w:pPr>
            <w:r w:rsidRPr="00BD372F">
              <w:rPr>
                <w:rFonts w:ascii="Times New Roman" w:hAnsi="Times New Roman"/>
                <w:b/>
                <w:sz w:val="20"/>
                <w:szCs w:val="20"/>
                <w:lang w:eastAsia="sk-SK"/>
              </w:rPr>
              <w:t>Negatívne</w:t>
            </w:r>
          </w:p>
        </w:tc>
      </w:tr>
    </w:tbl>
    <w:p w14:paraId="2C483E2B" w14:textId="77777777" w:rsidR="00BD372F" w:rsidRPr="00BD372F" w:rsidRDefault="00BD372F" w:rsidP="00BD372F">
      <w:pPr>
        <w:spacing w:after="0" w:line="240" w:lineRule="auto"/>
        <w:ind w:right="141"/>
        <w:rPr>
          <w:rFonts w:ascii="Times New Roman" w:hAnsi="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BD372F" w:rsidRPr="00BD372F" w14:paraId="2B0C2A2E" w14:textId="77777777" w:rsidTr="00154BAB">
        <w:tc>
          <w:tcPr>
            <w:tcW w:w="9176" w:type="dxa"/>
            <w:tcBorders>
              <w:top w:val="single" w:sz="4" w:space="0" w:color="auto"/>
              <w:left w:val="single" w:sz="4" w:space="0" w:color="auto"/>
              <w:bottom w:val="nil"/>
              <w:right w:val="single" w:sz="4" w:space="0" w:color="auto"/>
            </w:tcBorders>
            <w:shd w:val="clear" w:color="auto" w:fill="E2E2E2"/>
          </w:tcPr>
          <w:p w14:paraId="6A85D368" w14:textId="77777777" w:rsidR="00BD372F" w:rsidRPr="00BD372F" w:rsidRDefault="00BD372F" w:rsidP="00BD372F">
            <w:pPr>
              <w:numPr>
                <w:ilvl w:val="0"/>
                <w:numId w:val="6"/>
              </w:numPr>
              <w:spacing w:after="0" w:line="240" w:lineRule="auto"/>
              <w:ind w:left="426"/>
              <w:contextualSpacing/>
              <w:rPr>
                <w:rFonts w:ascii="Times New Roman" w:hAnsi="Times New Roman"/>
                <w:b/>
                <w:szCs w:val="22"/>
              </w:rPr>
            </w:pPr>
            <w:r w:rsidRPr="00BD372F">
              <w:rPr>
                <w:rFonts w:ascii="Times New Roman" w:hAnsi="Times New Roman"/>
                <w:b/>
                <w:szCs w:val="22"/>
              </w:rPr>
              <w:t>Poznámky</w:t>
            </w:r>
          </w:p>
        </w:tc>
      </w:tr>
      <w:tr w:rsidR="00BD372F" w:rsidRPr="00BD372F" w14:paraId="6FA852E3" w14:textId="77777777" w:rsidTr="00154BAB">
        <w:trPr>
          <w:trHeight w:val="713"/>
        </w:trPr>
        <w:tc>
          <w:tcPr>
            <w:tcW w:w="9176" w:type="dxa"/>
            <w:tcBorders>
              <w:top w:val="nil"/>
              <w:left w:val="single" w:sz="4" w:space="0" w:color="auto"/>
              <w:bottom w:val="single" w:sz="4" w:space="0" w:color="FFFFFF"/>
              <w:right w:val="single" w:sz="4" w:space="0" w:color="auto"/>
            </w:tcBorders>
          </w:tcPr>
          <w:p w14:paraId="0CBAE1AF" w14:textId="77777777" w:rsidR="00BD372F" w:rsidRPr="00BD372F" w:rsidRDefault="00BD372F" w:rsidP="00BD372F">
            <w:pPr>
              <w:spacing w:after="0" w:line="240" w:lineRule="auto"/>
              <w:jc w:val="both"/>
              <w:rPr>
                <w:rFonts w:ascii="Times New Roman" w:hAnsi="Times New Roman"/>
                <w:sz w:val="20"/>
                <w:szCs w:val="20"/>
                <w:lang w:eastAsia="sk-SK"/>
              </w:rPr>
            </w:pPr>
            <w:r w:rsidRPr="00BD372F">
              <w:rPr>
                <w:rFonts w:ascii="Times New Roman" w:hAnsi="Times New Roman"/>
                <w:sz w:val="20"/>
                <w:szCs w:val="20"/>
                <w:lang w:eastAsia="sk-SK"/>
              </w:rPr>
              <w:t>Návrh nemá vplyv na podnikateľské prostredie, keďže rozsah poskytovaných služieb štátu a sadzby spoplatnených úkonov nie sú návrhom dotknuté. Prevádzkovateľ systému (Slovenská pošta, a. s.) má uzatvorenú zmluvu na poskytovanie služby vo verejnom záujme do apríla 2029 s možnosťou predĺženia tejto zmluvy využitím opcie o 5x po jeden rok. Do konca platnosti uvedenej zmluvy (4/2029), nie je indikovaný vplyv na prevádzkovateľa systému a z tohto dôvodu je vplyv na podnikateľské prostredie (v analyzovanom horizonte rokov 2025 – 2028) označený ako žiadny vplyv. Do systému výberu súdnych poplatkov a správnych poplatkov prostredníctvom Štátnej pokladnice budú počas duálnej prevádzky zapojené prevažne doteraz nezapojené OVM ako napríklad Úrad priemyselného vlastníctva Slovenskej republiky, zastupiteľské úrady SR v zahraničí a pod. Po ukončení duálnej prevádzky sa predpokladajú významné prevádzkové úspory na strane výdavkov štátu, pozitívny vplyv na konsolidáciu verejných financií a riadenie štátneho dlhu.</w:t>
            </w:r>
          </w:p>
          <w:p w14:paraId="7870A82C" w14:textId="77777777" w:rsidR="00BD372F" w:rsidRPr="00BD372F" w:rsidRDefault="00BD372F" w:rsidP="00BD372F">
            <w:pPr>
              <w:spacing w:after="0" w:line="240" w:lineRule="auto"/>
              <w:jc w:val="both"/>
              <w:rPr>
                <w:rFonts w:ascii="Times New Roman" w:hAnsi="Times New Roman"/>
                <w:sz w:val="20"/>
                <w:szCs w:val="20"/>
                <w:lang w:eastAsia="sk-SK"/>
              </w:rPr>
            </w:pPr>
            <w:r w:rsidRPr="00BD372F">
              <w:rPr>
                <w:rFonts w:ascii="Times New Roman" w:hAnsi="Times New Roman"/>
                <w:sz w:val="20"/>
                <w:szCs w:val="20"/>
                <w:lang w:eastAsia="sk-SK"/>
              </w:rPr>
              <w:t>Zvýšenie hranice na úhradu súdneho poplatku v hotovosti z 300 eur na 500 eur a možnosť úhrady v hotovosti až do sumy 15 000 eur na pobočke pošty alebo hotovostného partnera Štátnej pokladnice nepredpokladá vplyv na rozpočet verejnej správy, nakoľko sa navýšenie výdavkov bude kompenzovať úbytkom platieb platobnou kartou, z ktorých nevznikne transakčný poplatok.</w:t>
            </w:r>
          </w:p>
          <w:p w14:paraId="14F0A9A1" w14:textId="77777777" w:rsidR="00BD372F" w:rsidRPr="00BD372F" w:rsidRDefault="00BD372F" w:rsidP="00BD372F">
            <w:pPr>
              <w:spacing w:after="0" w:line="240" w:lineRule="auto"/>
              <w:jc w:val="both"/>
              <w:rPr>
                <w:rFonts w:ascii="Times New Roman" w:hAnsi="Times New Roman"/>
                <w:i/>
                <w:sz w:val="20"/>
                <w:szCs w:val="20"/>
                <w:lang w:eastAsia="sk-SK"/>
              </w:rPr>
            </w:pPr>
            <w:r w:rsidRPr="00BD372F">
              <w:rPr>
                <w:rFonts w:ascii="Times New Roman" w:hAnsi="Times New Roman"/>
                <w:sz w:val="20"/>
                <w:szCs w:val="20"/>
                <w:lang w:eastAsia="sk-SK"/>
              </w:rPr>
              <w:t>Návrh nemá sociálne vplyvy ani vplyv na manželstvo, rodičovstvo a rodinu, keďže rozsah poskytovaných služieb a sadzby spoplatnených úkonov sa nemenia.</w:t>
            </w:r>
          </w:p>
        </w:tc>
      </w:tr>
      <w:tr w:rsidR="00BD372F" w:rsidRPr="00BD372F" w14:paraId="116BBFFB" w14:textId="77777777" w:rsidTr="00154BAB">
        <w:tc>
          <w:tcPr>
            <w:tcW w:w="9176" w:type="dxa"/>
            <w:tcBorders>
              <w:top w:val="single" w:sz="4" w:space="0" w:color="auto"/>
              <w:left w:val="single" w:sz="4" w:space="0" w:color="auto"/>
              <w:bottom w:val="single" w:sz="4" w:space="0" w:color="FFFFFF"/>
              <w:right w:val="single" w:sz="4" w:space="0" w:color="auto"/>
            </w:tcBorders>
            <w:shd w:val="clear" w:color="auto" w:fill="E2E2E2"/>
          </w:tcPr>
          <w:p w14:paraId="2780C0A8" w14:textId="77777777" w:rsidR="00BD372F" w:rsidRPr="00BD372F" w:rsidRDefault="00BD372F" w:rsidP="00BD372F">
            <w:pPr>
              <w:numPr>
                <w:ilvl w:val="0"/>
                <w:numId w:val="6"/>
              </w:numPr>
              <w:spacing w:after="0" w:line="240" w:lineRule="auto"/>
              <w:ind w:left="426"/>
              <w:contextualSpacing/>
              <w:rPr>
                <w:rFonts w:ascii="Times New Roman" w:hAnsi="Times New Roman"/>
                <w:b/>
                <w:szCs w:val="22"/>
              </w:rPr>
            </w:pPr>
            <w:r w:rsidRPr="00BD372F">
              <w:rPr>
                <w:rFonts w:ascii="Times New Roman" w:hAnsi="Times New Roman"/>
                <w:b/>
                <w:szCs w:val="22"/>
              </w:rPr>
              <w:t>Kontakt na spracovateľa</w:t>
            </w:r>
          </w:p>
        </w:tc>
      </w:tr>
      <w:tr w:rsidR="00BD372F" w:rsidRPr="00BD372F" w14:paraId="2F594706" w14:textId="77777777" w:rsidTr="00154BAB">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6DB0B694" w14:textId="77777777" w:rsidR="00BD372F" w:rsidRPr="00BD372F" w:rsidRDefault="00BD372F" w:rsidP="00BD372F">
            <w:pPr>
              <w:spacing w:after="0" w:line="240" w:lineRule="auto"/>
              <w:rPr>
                <w:rFonts w:ascii="Times New Roman" w:hAnsi="Times New Roman"/>
                <w:i/>
                <w:sz w:val="20"/>
                <w:szCs w:val="20"/>
                <w:lang w:eastAsia="sk-SK"/>
              </w:rPr>
            </w:pPr>
            <w:r w:rsidRPr="00BD372F">
              <w:rPr>
                <w:rFonts w:ascii="Times New Roman" w:hAnsi="Times New Roman"/>
                <w:i/>
                <w:sz w:val="20"/>
                <w:szCs w:val="20"/>
                <w:lang w:eastAsia="sk-SK"/>
              </w:rPr>
              <w:t xml:space="preserve">MF SR, </w:t>
            </w:r>
            <w:hyperlink r:id="rId10" w:history="1">
              <w:r w:rsidRPr="00BD372F">
                <w:rPr>
                  <w:rFonts w:ascii="Times New Roman" w:hAnsi="Times New Roman"/>
                  <w:i/>
                  <w:color w:val="0563C1"/>
                  <w:sz w:val="20"/>
                  <w:szCs w:val="20"/>
                  <w:u w:val="single"/>
                  <w:lang w:eastAsia="sk-SK"/>
                </w:rPr>
                <w:t>miluse.ocovska@mfsr.sk</w:t>
              </w:r>
            </w:hyperlink>
            <w:r w:rsidRPr="00BD372F">
              <w:rPr>
                <w:rFonts w:ascii="Times New Roman" w:hAnsi="Times New Roman"/>
                <w:i/>
                <w:sz w:val="20"/>
                <w:szCs w:val="20"/>
                <w:lang w:eastAsia="sk-SK"/>
              </w:rPr>
              <w:t xml:space="preserve">, </w:t>
            </w:r>
            <w:hyperlink r:id="rId11" w:history="1">
              <w:r w:rsidRPr="00BD372F">
                <w:rPr>
                  <w:rFonts w:ascii="Times New Roman" w:hAnsi="Times New Roman"/>
                  <w:i/>
                  <w:color w:val="0563C1"/>
                  <w:sz w:val="20"/>
                  <w:szCs w:val="20"/>
                  <w:u w:val="single"/>
                  <w:lang w:eastAsia="sk-SK"/>
                </w:rPr>
                <w:t>marek.kulka@mfsr.sk</w:t>
              </w:r>
            </w:hyperlink>
            <w:r w:rsidRPr="00BD372F">
              <w:rPr>
                <w:rFonts w:ascii="Times New Roman" w:hAnsi="Times New Roman"/>
                <w:i/>
                <w:sz w:val="20"/>
                <w:szCs w:val="20"/>
                <w:lang w:eastAsia="sk-SK"/>
              </w:rPr>
              <w:t xml:space="preserve"> </w:t>
            </w:r>
          </w:p>
        </w:tc>
      </w:tr>
      <w:tr w:rsidR="00BD372F" w:rsidRPr="00BD372F" w14:paraId="07EADDAF" w14:textId="77777777" w:rsidTr="00154BAB">
        <w:tc>
          <w:tcPr>
            <w:tcW w:w="9176" w:type="dxa"/>
            <w:tcBorders>
              <w:top w:val="single" w:sz="4" w:space="0" w:color="auto"/>
              <w:left w:val="single" w:sz="4" w:space="0" w:color="auto"/>
              <w:bottom w:val="single" w:sz="4" w:space="0" w:color="FFFFFF"/>
              <w:right w:val="single" w:sz="4" w:space="0" w:color="auto"/>
            </w:tcBorders>
            <w:shd w:val="clear" w:color="auto" w:fill="E2E2E2"/>
          </w:tcPr>
          <w:p w14:paraId="0F068361" w14:textId="77777777" w:rsidR="00BD372F" w:rsidRPr="00BD372F" w:rsidRDefault="00BD372F" w:rsidP="00BD372F">
            <w:pPr>
              <w:numPr>
                <w:ilvl w:val="0"/>
                <w:numId w:val="6"/>
              </w:numPr>
              <w:spacing w:after="0" w:line="240" w:lineRule="auto"/>
              <w:ind w:left="426"/>
              <w:contextualSpacing/>
              <w:rPr>
                <w:rFonts w:ascii="Times New Roman" w:hAnsi="Times New Roman"/>
                <w:b/>
                <w:szCs w:val="22"/>
              </w:rPr>
            </w:pPr>
            <w:r w:rsidRPr="00BD372F">
              <w:rPr>
                <w:rFonts w:ascii="Times New Roman" w:hAnsi="Times New Roman"/>
                <w:b/>
                <w:szCs w:val="22"/>
              </w:rPr>
              <w:t>Zdroje</w:t>
            </w:r>
          </w:p>
        </w:tc>
      </w:tr>
      <w:tr w:rsidR="00BD372F" w:rsidRPr="00BD372F" w14:paraId="3DA50125" w14:textId="77777777" w:rsidTr="00154BAB">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584733F3" w14:textId="77777777" w:rsidR="00BD372F" w:rsidRPr="00BD372F" w:rsidRDefault="00BD372F" w:rsidP="00BD372F">
            <w:pPr>
              <w:spacing w:after="0" w:line="240" w:lineRule="auto"/>
              <w:jc w:val="both"/>
              <w:rPr>
                <w:rFonts w:ascii="Times New Roman" w:hAnsi="Times New Roman"/>
                <w:sz w:val="20"/>
                <w:szCs w:val="20"/>
                <w:lang w:eastAsia="sk-SK"/>
              </w:rPr>
            </w:pPr>
            <w:r w:rsidRPr="00BD372F">
              <w:rPr>
                <w:rFonts w:ascii="Times New Roman" w:hAnsi="Times New Roman"/>
                <w:sz w:val="20"/>
                <w:szCs w:val="20"/>
                <w:lang w:eastAsia="sk-SK"/>
              </w:rPr>
              <w:t>Štúdia realizovateľnosti eKolok na roky 2024 – 2034, ktorá je zverejnená na webovom sídle Ministerstva financií SR: https://www.mfsr.sk/sk/dane-cla-uctovnictvo/platobny-system-uhradu-spravnych-sudnych-poplatkov/</w:t>
            </w:r>
          </w:p>
          <w:p w14:paraId="3EA0E604" w14:textId="77777777" w:rsidR="00BD372F" w:rsidRPr="00BD372F" w:rsidRDefault="00BD372F" w:rsidP="00BD372F">
            <w:pPr>
              <w:spacing w:after="0" w:line="240" w:lineRule="auto"/>
              <w:rPr>
                <w:rFonts w:ascii="Times New Roman" w:hAnsi="Times New Roman"/>
                <w:b/>
                <w:sz w:val="20"/>
                <w:szCs w:val="20"/>
                <w:lang w:eastAsia="sk-SK"/>
              </w:rPr>
            </w:pPr>
          </w:p>
        </w:tc>
      </w:tr>
      <w:tr w:rsidR="00BD372F" w:rsidRPr="00BD372F" w14:paraId="01A139BD" w14:textId="77777777" w:rsidTr="00154BAB">
        <w:tc>
          <w:tcPr>
            <w:tcW w:w="9176" w:type="dxa"/>
            <w:tcBorders>
              <w:top w:val="single" w:sz="4" w:space="0" w:color="auto"/>
              <w:left w:val="single" w:sz="4" w:space="0" w:color="auto"/>
              <w:bottom w:val="single" w:sz="4" w:space="0" w:color="FFFFFF"/>
              <w:right w:val="single" w:sz="4" w:space="0" w:color="auto"/>
            </w:tcBorders>
            <w:shd w:val="clear" w:color="auto" w:fill="E2E2E2"/>
          </w:tcPr>
          <w:p w14:paraId="7E29AC2C" w14:textId="77777777" w:rsidR="00BD372F" w:rsidRPr="00BD372F" w:rsidRDefault="00BD372F" w:rsidP="00BD372F">
            <w:pPr>
              <w:numPr>
                <w:ilvl w:val="0"/>
                <w:numId w:val="6"/>
              </w:numPr>
              <w:spacing w:after="0" w:line="240" w:lineRule="auto"/>
              <w:ind w:left="447" w:hanging="425"/>
              <w:contextualSpacing/>
              <w:rPr>
                <w:rFonts w:ascii="Times New Roman" w:hAnsi="Times New Roman"/>
                <w:b/>
                <w:szCs w:val="22"/>
              </w:rPr>
            </w:pPr>
            <w:r w:rsidRPr="00BD372F">
              <w:rPr>
                <w:rFonts w:ascii="Times New Roman" w:hAnsi="Times New Roman"/>
                <w:b/>
                <w:szCs w:val="22"/>
              </w:rPr>
              <w:t>Stanovisko Komisie na posudzovanie vybraných vplyvov z PPK č. 020/2025</w:t>
            </w:r>
            <w:r w:rsidRPr="00BD372F">
              <w:rPr>
                <w:rFonts w:ascii="Calibri" w:hAnsi="Calibri"/>
                <w:szCs w:val="22"/>
              </w:rPr>
              <w:t xml:space="preserve"> </w:t>
            </w:r>
          </w:p>
          <w:p w14:paraId="1FBF1BFB" w14:textId="77777777" w:rsidR="00BD372F" w:rsidRPr="00BD372F" w:rsidRDefault="00BD372F" w:rsidP="00BD372F">
            <w:pPr>
              <w:spacing w:after="0" w:line="240" w:lineRule="auto"/>
              <w:ind w:left="502"/>
              <w:rPr>
                <w:rFonts w:ascii="Times New Roman" w:hAnsi="Times New Roman"/>
                <w:b/>
                <w:sz w:val="20"/>
                <w:szCs w:val="20"/>
                <w:lang w:eastAsia="sk-SK"/>
              </w:rPr>
            </w:pPr>
            <w:r w:rsidRPr="00BD372F">
              <w:rPr>
                <w:rFonts w:ascii="Times New Roman" w:hAnsi="Times New Roman"/>
                <w:szCs w:val="22"/>
              </w:rPr>
              <w:t>(v prípade, ak sa uskutočnilo v zmysle bodu 8.1 Jednotnej metodiky)</w:t>
            </w:r>
          </w:p>
        </w:tc>
      </w:tr>
      <w:tr w:rsidR="00BD372F" w:rsidRPr="00BD372F" w14:paraId="702BCFFE" w14:textId="77777777" w:rsidTr="00154BAB">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2130BB10" w14:textId="77777777" w:rsidR="00BD372F" w:rsidRPr="00BD372F" w:rsidRDefault="00BD372F" w:rsidP="00BD372F">
            <w:pPr>
              <w:spacing w:after="0" w:line="240" w:lineRule="auto"/>
              <w:rPr>
                <w:rFonts w:ascii="Times New Roman" w:hAnsi="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BD372F" w:rsidRPr="00BD372F" w14:paraId="2ADE6230" w14:textId="77777777" w:rsidTr="00154BAB">
              <w:trPr>
                <w:trHeight w:val="396"/>
              </w:trPr>
              <w:tc>
                <w:tcPr>
                  <w:tcW w:w="2552" w:type="dxa"/>
                </w:tcPr>
                <w:p w14:paraId="65851F84" w14:textId="77777777" w:rsidR="00BD372F" w:rsidRPr="00BD372F" w:rsidRDefault="00A13961" w:rsidP="00BD372F">
                  <w:pPr>
                    <w:spacing w:after="0" w:line="240" w:lineRule="auto"/>
                    <w:rPr>
                      <w:rFonts w:ascii="Times New Roman" w:hAnsi="Times New Roman"/>
                      <w:b/>
                      <w:sz w:val="20"/>
                      <w:szCs w:val="20"/>
                      <w:lang w:eastAsia="sk-SK"/>
                    </w:rPr>
                  </w:pPr>
                  <w:sdt>
                    <w:sdtPr>
                      <w:rPr>
                        <w:rFonts w:ascii="Times New Roman" w:hAnsi="Times New Roman"/>
                        <w:b/>
                        <w:sz w:val="20"/>
                        <w:szCs w:val="20"/>
                        <w:lang w:eastAsia="sk-SK"/>
                      </w:rPr>
                      <w:id w:val="-1874910888"/>
                      <w14:checkbox>
                        <w14:checked w14:val="0"/>
                        <w14:checkedState w14:val="2612" w14:font="MS Gothic"/>
                        <w14:uncheckedState w14:val="2610" w14:font="MS Gothic"/>
                      </w14:checkbox>
                    </w:sdtPr>
                    <w:sdtEndPr/>
                    <w:sdtContent>
                      <w:r w:rsidR="00BD372F" w:rsidRPr="00BD372F">
                        <w:rPr>
                          <w:rFonts w:ascii="Segoe UI Symbol" w:hAnsi="Segoe UI Symbol" w:cs="Segoe UI Symbol"/>
                          <w:b/>
                          <w:sz w:val="20"/>
                          <w:szCs w:val="20"/>
                          <w:lang w:eastAsia="sk-SK"/>
                        </w:rPr>
                        <w:t>☐</w:t>
                      </w:r>
                    </w:sdtContent>
                  </w:sdt>
                  <w:r w:rsidR="00BD372F" w:rsidRPr="00BD372F">
                    <w:rPr>
                      <w:rFonts w:ascii="Times New Roman" w:hAnsi="Times New Roman"/>
                      <w:b/>
                      <w:sz w:val="20"/>
                      <w:szCs w:val="20"/>
                      <w:lang w:eastAsia="sk-SK"/>
                    </w:rPr>
                    <w:t xml:space="preserve">  Súhlasné </w:t>
                  </w:r>
                </w:p>
              </w:tc>
              <w:tc>
                <w:tcPr>
                  <w:tcW w:w="3827" w:type="dxa"/>
                </w:tcPr>
                <w:p w14:paraId="3F16F3F7" w14:textId="77777777" w:rsidR="00BD372F" w:rsidRPr="00BD372F" w:rsidRDefault="00A13961" w:rsidP="00BD372F">
                  <w:pPr>
                    <w:spacing w:after="0" w:line="240" w:lineRule="auto"/>
                    <w:rPr>
                      <w:rFonts w:ascii="Times New Roman" w:hAnsi="Times New Roman"/>
                      <w:b/>
                      <w:sz w:val="20"/>
                      <w:szCs w:val="20"/>
                      <w:lang w:eastAsia="sk-SK"/>
                    </w:rPr>
                  </w:pPr>
                  <w:sdt>
                    <w:sdtPr>
                      <w:rPr>
                        <w:rFonts w:ascii="Times New Roman" w:hAnsi="Times New Roman"/>
                        <w:b/>
                        <w:sz w:val="20"/>
                        <w:szCs w:val="20"/>
                        <w:lang w:eastAsia="sk-SK"/>
                      </w:rPr>
                      <w:id w:val="1697888127"/>
                      <w14:checkbox>
                        <w14:checked w14:val="0"/>
                        <w14:checkedState w14:val="2612" w14:font="MS Gothic"/>
                        <w14:uncheckedState w14:val="2610" w14:font="MS Gothic"/>
                      </w14:checkbox>
                    </w:sdtPr>
                    <w:sdtEndPr/>
                    <w:sdtContent>
                      <w:r w:rsidR="00BD372F" w:rsidRPr="00BD372F">
                        <w:rPr>
                          <w:rFonts w:ascii="Segoe UI Symbol" w:hAnsi="Segoe UI Symbol" w:cs="Segoe UI Symbol"/>
                          <w:b/>
                          <w:sz w:val="20"/>
                          <w:szCs w:val="20"/>
                          <w:lang w:eastAsia="sk-SK"/>
                        </w:rPr>
                        <w:t>☐</w:t>
                      </w:r>
                    </w:sdtContent>
                  </w:sdt>
                  <w:r w:rsidR="00BD372F" w:rsidRPr="00BD372F">
                    <w:rPr>
                      <w:rFonts w:ascii="Times New Roman" w:hAnsi="Times New Roman"/>
                      <w:b/>
                      <w:sz w:val="20"/>
                      <w:szCs w:val="20"/>
                      <w:lang w:eastAsia="sk-SK"/>
                    </w:rPr>
                    <w:t xml:space="preserve">  Súhlasné s návrhom na dopracovanie</w:t>
                  </w:r>
                </w:p>
              </w:tc>
              <w:tc>
                <w:tcPr>
                  <w:tcW w:w="2534" w:type="dxa"/>
                </w:tcPr>
                <w:p w14:paraId="6E9A2731" w14:textId="77777777" w:rsidR="00BD372F" w:rsidRPr="00BD372F" w:rsidRDefault="00A13961" w:rsidP="00BD372F">
                  <w:pPr>
                    <w:spacing w:after="0" w:line="240" w:lineRule="auto"/>
                    <w:ind w:right="459"/>
                    <w:rPr>
                      <w:rFonts w:ascii="Times New Roman" w:hAnsi="Times New Roman"/>
                      <w:b/>
                      <w:sz w:val="20"/>
                      <w:szCs w:val="20"/>
                      <w:lang w:eastAsia="sk-SK"/>
                    </w:rPr>
                  </w:pPr>
                  <w:sdt>
                    <w:sdtPr>
                      <w:rPr>
                        <w:rFonts w:ascii="Times New Roman" w:hAnsi="Times New Roman"/>
                        <w:b/>
                        <w:sz w:val="20"/>
                        <w:szCs w:val="20"/>
                        <w:lang w:eastAsia="sk-SK"/>
                      </w:rPr>
                      <w:id w:val="-647822913"/>
                      <w14:checkbox>
                        <w14:checked w14:val="1"/>
                        <w14:checkedState w14:val="2612" w14:font="MS Gothic"/>
                        <w14:uncheckedState w14:val="2610" w14:font="MS Gothic"/>
                      </w14:checkbox>
                    </w:sdtPr>
                    <w:sdtEndPr/>
                    <w:sdtContent>
                      <w:r w:rsidR="00BD372F" w:rsidRPr="00BD372F">
                        <w:rPr>
                          <w:rFonts w:ascii="Segoe UI Symbol" w:hAnsi="Segoe UI Symbol" w:cs="Segoe UI Symbol"/>
                          <w:b/>
                          <w:sz w:val="20"/>
                          <w:szCs w:val="20"/>
                          <w:lang w:eastAsia="sk-SK"/>
                        </w:rPr>
                        <w:t>☒</w:t>
                      </w:r>
                    </w:sdtContent>
                  </w:sdt>
                  <w:r w:rsidR="00BD372F" w:rsidRPr="00BD372F">
                    <w:rPr>
                      <w:rFonts w:ascii="Times New Roman" w:hAnsi="Times New Roman"/>
                      <w:b/>
                      <w:sz w:val="20"/>
                      <w:szCs w:val="20"/>
                      <w:lang w:eastAsia="sk-SK"/>
                    </w:rPr>
                    <w:t xml:space="preserve">  Nesúhlasné</w:t>
                  </w:r>
                </w:p>
              </w:tc>
            </w:tr>
          </w:tbl>
          <w:p w14:paraId="306987C2" w14:textId="77777777" w:rsidR="00BD372F" w:rsidRPr="00BD372F" w:rsidRDefault="00BD372F" w:rsidP="00BD372F">
            <w:pPr>
              <w:spacing w:after="0" w:line="240" w:lineRule="auto"/>
              <w:jc w:val="both"/>
              <w:rPr>
                <w:rFonts w:ascii="Times New Roman" w:hAnsi="Times New Roman"/>
                <w:b/>
                <w:sz w:val="20"/>
                <w:szCs w:val="20"/>
                <w:lang w:eastAsia="sk-SK"/>
              </w:rPr>
            </w:pPr>
            <w:r w:rsidRPr="00BD372F">
              <w:rPr>
                <w:rFonts w:ascii="Times New Roman" w:hAnsi="Times New Roman"/>
                <w:b/>
                <w:sz w:val="20"/>
                <w:szCs w:val="20"/>
                <w:lang w:eastAsia="sk-SK"/>
              </w:rPr>
              <w:t>Uveďte pripomienky zo stanoviska Komisie z časti II. spolu s Vaším vyhodnotením:</w:t>
            </w:r>
          </w:p>
          <w:p w14:paraId="5B89D96B" w14:textId="77777777" w:rsidR="00BD372F" w:rsidRPr="00BD372F" w:rsidRDefault="00BD372F" w:rsidP="00BD372F">
            <w:pPr>
              <w:spacing w:after="0" w:line="240" w:lineRule="auto"/>
              <w:jc w:val="both"/>
              <w:rPr>
                <w:rFonts w:ascii="Times New Roman" w:hAnsi="Times New Roman"/>
                <w:b/>
                <w:sz w:val="20"/>
                <w:szCs w:val="20"/>
                <w:lang w:eastAsia="sk-SK"/>
              </w:rPr>
            </w:pPr>
          </w:p>
          <w:p w14:paraId="5266C3B3" w14:textId="77777777" w:rsidR="00BD372F" w:rsidRPr="00BD372F" w:rsidRDefault="00BD372F" w:rsidP="00BD372F">
            <w:pPr>
              <w:spacing w:after="0" w:line="240" w:lineRule="auto"/>
              <w:jc w:val="both"/>
              <w:rPr>
                <w:rFonts w:ascii="Times New Roman" w:hAnsi="Times New Roman"/>
                <w:b/>
                <w:sz w:val="20"/>
                <w:szCs w:val="20"/>
                <w:lang w:eastAsia="sk-SK"/>
              </w:rPr>
            </w:pPr>
            <w:r w:rsidRPr="00BD372F">
              <w:rPr>
                <w:rFonts w:ascii="Times New Roman" w:hAnsi="Times New Roman"/>
                <w:b/>
                <w:sz w:val="20"/>
                <w:szCs w:val="20"/>
                <w:lang w:eastAsia="sk-SK"/>
              </w:rPr>
              <w:t>K doložke vybraných vplyvov</w:t>
            </w:r>
          </w:p>
          <w:p w14:paraId="4B6E7E19" w14:textId="77777777" w:rsidR="00BD372F" w:rsidRPr="00BD372F" w:rsidRDefault="00BD372F" w:rsidP="00BD372F">
            <w:pPr>
              <w:spacing w:after="0" w:line="240" w:lineRule="auto"/>
              <w:jc w:val="both"/>
              <w:rPr>
                <w:rFonts w:ascii="Times New Roman" w:hAnsi="Times New Roman"/>
                <w:bCs/>
                <w:sz w:val="20"/>
                <w:szCs w:val="20"/>
                <w:lang w:eastAsia="sk-SK"/>
              </w:rPr>
            </w:pPr>
            <w:r w:rsidRPr="00BD372F">
              <w:rPr>
                <w:rFonts w:ascii="Times New Roman" w:hAnsi="Times New Roman"/>
                <w:bCs/>
                <w:sz w:val="20"/>
                <w:szCs w:val="20"/>
                <w:lang w:eastAsia="sk-SK"/>
              </w:rPr>
              <w:t>Komisia odporúča predkladateľovi v Doložke vybraných vplyvov v časti 8. Preskúmanie účelnosti doplniť dátum a kritéria hodnotenia účelnosti predkladaného materiálu.</w:t>
            </w:r>
          </w:p>
          <w:p w14:paraId="68E85747" w14:textId="77777777" w:rsidR="00BD372F" w:rsidRPr="00BD372F" w:rsidRDefault="00BD372F" w:rsidP="00BD372F">
            <w:pPr>
              <w:spacing w:after="0" w:line="240" w:lineRule="auto"/>
              <w:jc w:val="both"/>
              <w:rPr>
                <w:rFonts w:ascii="Times New Roman" w:hAnsi="Times New Roman"/>
                <w:bCs/>
                <w:sz w:val="20"/>
                <w:szCs w:val="20"/>
                <w:lang w:eastAsia="sk-SK"/>
              </w:rPr>
            </w:pPr>
            <w:r w:rsidRPr="00BD372F">
              <w:rPr>
                <w:rFonts w:ascii="Times New Roman" w:hAnsi="Times New Roman"/>
                <w:bCs/>
                <w:sz w:val="20"/>
                <w:szCs w:val="20"/>
                <w:lang w:eastAsia="sk-SK"/>
              </w:rPr>
              <w:t>Odôvodnenie: Preskúmanie účelnosti sa nastavuje po určitom čase, aby sa zhodnotilo, či a na základe akých kritérií bol cieľ naplnený.</w:t>
            </w:r>
          </w:p>
          <w:p w14:paraId="34692299" w14:textId="77777777" w:rsidR="00BD372F" w:rsidRPr="00BD372F" w:rsidRDefault="00BD372F" w:rsidP="00BD372F">
            <w:pPr>
              <w:spacing w:after="0" w:line="240" w:lineRule="auto"/>
              <w:jc w:val="both"/>
              <w:rPr>
                <w:rFonts w:ascii="Times New Roman" w:hAnsi="Times New Roman"/>
                <w:b/>
                <w:sz w:val="20"/>
                <w:szCs w:val="20"/>
                <w:lang w:eastAsia="sk-SK"/>
              </w:rPr>
            </w:pPr>
          </w:p>
          <w:p w14:paraId="40611F53" w14:textId="77777777" w:rsidR="00BD372F" w:rsidRPr="00BD372F" w:rsidRDefault="00BD372F" w:rsidP="00BD372F">
            <w:pPr>
              <w:spacing w:after="0" w:line="240" w:lineRule="auto"/>
              <w:jc w:val="both"/>
              <w:rPr>
                <w:rFonts w:ascii="Times New Roman" w:hAnsi="Times New Roman"/>
                <w:b/>
                <w:i/>
                <w:iCs/>
                <w:sz w:val="20"/>
                <w:szCs w:val="20"/>
                <w:lang w:eastAsia="sk-SK"/>
              </w:rPr>
            </w:pPr>
            <w:r w:rsidRPr="00BD372F">
              <w:rPr>
                <w:rFonts w:ascii="Times New Roman" w:hAnsi="Times New Roman"/>
                <w:b/>
                <w:i/>
                <w:iCs/>
                <w:sz w:val="20"/>
                <w:szCs w:val="20"/>
                <w:lang w:eastAsia="sk-SK"/>
              </w:rPr>
              <w:t>MF SR: Odporúčanie akceptované, v doložke vplyvov doplnený dátum a kritéria hodnotenia účelnosti.</w:t>
            </w:r>
          </w:p>
          <w:p w14:paraId="68FB8186" w14:textId="77777777" w:rsidR="00BD372F" w:rsidRPr="00BD372F" w:rsidRDefault="00BD372F" w:rsidP="00BD372F">
            <w:pPr>
              <w:spacing w:after="0" w:line="240" w:lineRule="auto"/>
              <w:jc w:val="both"/>
              <w:rPr>
                <w:rFonts w:ascii="Times New Roman" w:hAnsi="Times New Roman"/>
                <w:b/>
                <w:sz w:val="20"/>
                <w:szCs w:val="20"/>
                <w:lang w:eastAsia="sk-SK"/>
              </w:rPr>
            </w:pPr>
          </w:p>
          <w:p w14:paraId="13A4F1BC" w14:textId="77777777" w:rsidR="00BD372F" w:rsidRPr="00BD372F" w:rsidRDefault="00BD372F" w:rsidP="00BD372F">
            <w:pPr>
              <w:spacing w:after="0" w:line="240" w:lineRule="auto"/>
              <w:jc w:val="both"/>
              <w:rPr>
                <w:rFonts w:ascii="Times New Roman" w:hAnsi="Times New Roman"/>
                <w:b/>
                <w:sz w:val="20"/>
                <w:szCs w:val="20"/>
                <w:lang w:eastAsia="sk-SK"/>
              </w:rPr>
            </w:pPr>
            <w:r w:rsidRPr="00BD372F">
              <w:rPr>
                <w:rFonts w:ascii="Times New Roman" w:hAnsi="Times New Roman"/>
                <w:b/>
                <w:sz w:val="20"/>
                <w:szCs w:val="20"/>
                <w:lang w:eastAsia="sk-SK"/>
              </w:rPr>
              <w:t>K vplyvom na rozpočet verejnej správy</w:t>
            </w:r>
          </w:p>
          <w:p w14:paraId="39DA7D08" w14:textId="77777777" w:rsidR="00BD372F" w:rsidRPr="00BD372F" w:rsidRDefault="00BD372F" w:rsidP="00BD372F">
            <w:pPr>
              <w:spacing w:after="0" w:line="240" w:lineRule="auto"/>
              <w:jc w:val="both"/>
              <w:rPr>
                <w:rFonts w:ascii="Times New Roman" w:hAnsi="Times New Roman"/>
                <w:bCs/>
                <w:sz w:val="20"/>
                <w:szCs w:val="20"/>
                <w:lang w:eastAsia="sk-SK"/>
              </w:rPr>
            </w:pPr>
            <w:r w:rsidRPr="00BD372F">
              <w:rPr>
                <w:rFonts w:ascii="Times New Roman" w:hAnsi="Times New Roman"/>
                <w:bCs/>
                <w:sz w:val="20"/>
                <w:szCs w:val="20"/>
                <w:lang w:eastAsia="sk-SK"/>
              </w:rPr>
              <w:t xml:space="preserve">Návrh zákona predpokladá negatívne vplyvy na rozpočet verejnej správy, ktoré sú rozpočtovo zabezpečené. V súvislosti s vplyvmi návrhu zákona na rozpočet verejnej správy v rozpočtovom roku 2025 predkladateľ v analýze vplyvov na rozpočet verejnej správy uvádza, že financovanie predmetných výdavkov na rozvoj IS ŠP </w:t>
            </w:r>
            <w:r w:rsidRPr="00BD372F">
              <w:rPr>
                <w:rFonts w:ascii="Times New Roman" w:hAnsi="Times New Roman"/>
                <w:bCs/>
                <w:sz w:val="20"/>
                <w:szCs w:val="20"/>
                <w:lang w:eastAsia="sk-SK"/>
              </w:rPr>
              <w:lastRenderedPageBreak/>
              <w:t>(+ 240 000 eur v kat. 700, v medzirezortnom podprograme 0EK) je zabezpečené v rámci schválených limitov výdavkov rozpočtu verejnej správy úpravou rozpočtu kapitoly MF SR (- 240 000 eur v kat. 630, v podprograme 07404). Navrhuje sa transformovanie časti bežných výdavkov určených na výber správnych a súdnych poplatkov na kapitálové výdavky na rozvoj IT VS. S uvedeným postupom Komisia súhlasí. V danej súvislosti Komisia žiada, aby predkladateľ v texte analýzy vplyvov výslovne uviedol, že sa tento spôsob financovania v roku 2025 zabezpečí rozpočtovým opatrením, čím sa uvedený postup legalizuje podľa zákona č. 523/2004 Z. z. o rozpočtových pravidlách verejnej správy a o zmene a doplnení niektorých zákonov v znení neskorších predpisov.</w:t>
            </w:r>
          </w:p>
          <w:p w14:paraId="0DFB7D8B" w14:textId="77777777" w:rsidR="00BD372F" w:rsidRPr="00BD372F" w:rsidRDefault="00BD372F" w:rsidP="00BD372F">
            <w:pPr>
              <w:spacing w:after="0" w:line="240" w:lineRule="auto"/>
              <w:jc w:val="both"/>
              <w:rPr>
                <w:rFonts w:ascii="Times New Roman" w:hAnsi="Times New Roman"/>
                <w:b/>
                <w:sz w:val="20"/>
                <w:szCs w:val="20"/>
                <w:lang w:eastAsia="sk-SK"/>
              </w:rPr>
            </w:pPr>
          </w:p>
          <w:p w14:paraId="040BE49D" w14:textId="77777777" w:rsidR="00BD372F" w:rsidRPr="00BD372F" w:rsidRDefault="00BD372F" w:rsidP="00BD372F">
            <w:pPr>
              <w:spacing w:after="0" w:line="240" w:lineRule="auto"/>
              <w:jc w:val="both"/>
              <w:rPr>
                <w:rFonts w:ascii="Times New Roman" w:hAnsi="Times New Roman"/>
                <w:b/>
                <w:i/>
                <w:iCs/>
                <w:sz w:val="20"/>
                <w:szCs w:val="20"/>
                <w:lang w:eastAsia="sk-SK"/>
              </w:rPr>
            </w:pPr>
            <w:r w:rsidRPr="00BD372F">
              <w:rPr>
                <w:rFonts w:ascii="Times New Roman" w:hAnsi="Times New Roman"/>
                <w:b/>
                <w:i/>
                <w:iCs/>
                <w:sz w:val="20"/>
                <w:szCs w:val="20"/>
                <w:lang w:eastAsia="sk-SK"/>
              </w:rPr>
              <w:t>MF SR: Akceptované.</w:t>
            </w:r>
          </w:p>
          <w:p w14:paraId="574E0777" w14:textId="77777777" w:rsidR="00BD372F" w:rsidRPr="00BD372F" w:rsidRDefault="00BD372F" w:rsidP="00BD372F">
            <w:pPr>
              <w:spacing w:after="0" w:line="240" w:lineRule="auto"/>
              <w:jc w:val="both"/>
              <w:rPr>
                <w:rFonts w:ascii="Times New Roman" w:hAnsi="Times New Roman"/>
                <w:b/>
                <w:sz w:val="20"/>
                <w:szCs w:val="20"/>
                <w:lang w:eastAsia="sk-SK"/>
              </w:rPr>
            </w:pPr>
          </w:p>
          <w:p w14:paraId="6781556B" w14:textId="77777777" w:rsidR="00BD372F" w:rsidRPr="00BD372F" w:rsidRDefault="00BD372F" w:rsidP="00BD372F">
            <w:pPr>
              <w:spacing w:after="0" w:line="240" w:lineRule="auto"/>
              <w:jc w:val="both"/>
              <w:rPr>
                <w:rFonts w:ascii="Times New Roman" w:hAnsi="Times New Roman"/>
                <w:bCs/>
                <w:sz w:val="20"/>
                <w:szCs w:val="20"/>
                <w:lang w:eastAsia="sk-SK"/>
              </w:rPr>
            </w:pPr>
            <w:r w:rsidRPr="00BD372F">
              <w:rPr>
                <w:rFonts w:ascii="Times New Roman" w:hAnsi="Times New Roman"/>
                <w:bCs/>
                <w:sz w:val="20"/>
                <w:szCs w:val="20"/>
                <w:lang w:eastAsia="sk-SK"/>
              </w:rPr>
              <w:t>Do doložky vybraných vplyvov v bode 3 Komisia navrhuje doplniť nasledovné: „</w:t>
            </w:r>
            <w:r w:rsidRPr="00BD372F">
              <w:rPr>
                <w:rFonts w:ascii="Times New Roman" w:hAnsi="Times New Roman"/>
                <w:bCs/>
                <w:i/>
                <w:iCs/>
                <w:sz w:val="20"/>
                <w:szCs w:val="20"/>
                <w:lang w:eastAsia="sk-SK"/>
              </w:rPr>
              <w:t>Zároveň sa navrhuje vypustenie kompetencie Finančného riaditeľstva a daňových úradov vykonávať kontrolu správnosti a včasnosti vyberania poplatkov, správnosti a včasnosti vrátenia poplatkov, správnosti formy a spôsobu platenia poplatkov a správnosti a úplnosti evidovania poplatkov v správnych orgánoch, pričom sa navrhuje, že tieto činnosti bude vykonávať Úrad vládneho auditu ako audit jedenkrát ročne.</w:t>
            </w:r>
            <w:r w:rsidRPr="00BD372F">
              <w:rPr>
                <w:rFonts w:ascii="Times New Roman" w:hAnsi="Times New Roman"/>
                <w:bCs/>
                <w:sz w:val="20"/>
                <w:szCs w:val="20"/>
                <w:lang w:eastAsia="sk-SK"/>
              </w:rPr>
              <w:t>“. Odôvodnenie: Uvedené Komisia navrhuje z dôvodu, že doložka vybraných vplyvov by mala obsahovať detailné informácie všetkých zaradených subjektov verejnej správy, na ktoré má návrh zákona vplyv. Zároveň potreba 2 personálnych kapacít bola dohodnutá za podmienky výkonu iba jedného auditu ročne. Pokiaľ by bola potreba pokrytia auditmi väčšia, je potrebný väčší počet zamestnancov.</w:t>
            </w:r>
          </w:p>
          <w:p w14:paraId="67B6C701" w14:textId="77777777" w:rsidR="00BD372F" w:rsidRPr="00BD372F" w:rsidRDefault="00BD372F" w:rsidP="00BD372F">
            <w:pPr>
              <w:spacing w:after="0" w:line="240" w:lineRule="auto"/>
              <w:jc w:val="both"/>
              <w:rPr>
                <w:rFonts w:ascii="Times New Roman" w:hAnsi="Times New Roman"/>
                <w:b/>
                <w:sz w:val="20"/>
                <w:szCs w:val="20"/>
                <w:lang w:eastAsia="sk-SK"/>
              </w:rPr>
            </w:pPr>
          </w:p>
          <w:p w14:paraId="69FD6919" w14:textId="77777777" w:rsidR="00BD372F" w:rsidRPr="00BD372F" w:rsidRDefault="00BD372F" w:rsidP="00BD372F">
            <w:pPr>
              <w:spacing w:after="0" w:line="240" w:lineRule="auto"/>
              <w:jc w:val="both"/>
              <w:rPr>
                <w:rFonts w:ascii="Times New Roman" w:hAnsi="Times New Roman"/>
                <w:b/>
                <w:i/>
                <w:iCs/>
                <w:sz w:val="20"/>
                <w:szCs w:val="20"/>
                <w:lang w:eastAsia="sk-SK"/>
              </w:rPr>
            </w:pPr>
            <w:r w:rsidRPr="00BD372F">
              <w:rPr>
                <w:rFonts w:ascii="Times New Roman" w:hAnsi="Times New Roman"/>
                <w:b/>
                <w:i/>
                <w:iCs/>
                <w:sz w:val="20"/>
                <w:szCs w:val="20"/>
                <w:lang w:eastAsia="sk-SK"/>
              </w:rPr>
              <w:t>MF SR: Akceptované.</w:t>
            </w:r>
          </w:p>
          <w:p w14:paraId="39B5C7F6" w14:textId="77777777" w:rsidR="00BD372F" w:rsidRPr="00BD372F" w:rsidRDefault="00BD372F" w:rsidP="00BD372F">
            <w:pPr>
              <w:spacing w:after="0" w:line="240" w:lineRule="auto"/>
              <w:jc w:val="both"/>
              <w:rPr>
                <w:rFonts w:ascii="Times New Roman" w:hAnsi="Times New Roman"/>
                <w:b/>
                <w:sz w:val="20"/>
                <w:szCs w:val="20"/>
                <w:lang w:eastAsia="sk-SK"/>
              </w:rPr>
            </w:pPr>
          </w:p>
          <w:p w14:paraId="0DC50714" w14:textId="77777777" w:rsidR="00BD372F" w:rsidRPr="00BD372F" w:rsidRDefault="00BD372F" w:rsidP="00BD372F">
            <w:pPr>
              <w:spacing w:after="0" w:line="240" w:lineRule="auto"/>
              <w:jc w:val="both"/>
              <w:rPr>
                <w:rFonts w:ascii="Times New Roman" w:hAnsi="Times New Roman"/>
                <w:bCs/>
                <w:sz w:val="20"/>
                <w:szCs w:val="20"/>
                <w:lang w:eastAsia="sk-SK"/>
              </w:rPr>
            </w:pPr>
            <w:r w:rsidRPr="00BD372F">
              <w:rPr>
                <w:rFonts w:ascii="Times New Roman" w:hAnsi="Times New Roman"/>
                <w:bCs/>
                <w:sz w:val="20"/>
                <w:szCs w:val="20"/>
                <w:lang w:eastAsia="sk-SK"/>
              </w:rPr>
              <w:t>V doložke vybraných vplyvov v bode 5 Komisia žiada opraviť názov informačného systému „IS Štátnej pokladnice“ na „IS pre systém Štátnej pokladnice“.</w:t>
            </w:r>
          </w:p>
          <w:p w14:paraId="5AAD5485" w14:textId="77777777" w:rsidR="00BD372F" w:rsidRPr="00BD372F" w:rsidRDefault="00BD372F" w:rsidP="00BD372F">
            <w:pPr>
              <w:spacing w:after="0" w:line="240" w:lineRule="auto"/>
              <w:jc w:val="both"/>
              <w:rPr>
                <w:rFonts w:ascii="Times New Roman" w:hAnsi="Times New Roman"/>
                <w:bCs/>
                <w:sz w:val="20"/>
                <w:szCs w:val="20"/>
                <w:lang w:eastAsia="sk-SK"/>
              </w:rPr>
            </w:pPr>
          </w:p>
          <w:p w14:paraId="46904C61" w14:textId="77777777" w:rsidR="00BD372F" w:rsidRPr="00BD372F" w:rsidRDefault="00BD372F" w:rsidP="00BD372F">
            <w:pPr>
              <w:spacing w:after="0" w:line="240" w:lineRule="auto"/>
              <w:jc w:val="both"/>
              <w:rPr>
                <w:rFonts w:ascii="Times New Roman" w:hAnsi="Times New Roman"/>
                <w:bCs/>
                <w:sz w:val="20"/>
                <w:szCs w:val="20"/>
                <w:lang w:eastAsia="sk-SK"/>
              </w:rPr>
            </w:pPr>
            <w:r w:rsidRPr="00BD372F">
              <w:rPr>
                <w:rFonts w:ascii="Times New Roman" w:hAnsi="Times New Roman"/>
                <w:b/>
                <w:i/>
                <w:iCs/>
                <w:sz w:val="20"/>
                <w:szCs w:val="20"/>
                <w:lang w:eastAsia="sk-SK"/>
              </w:rPr>
              <w:t>MF SR: Akceptované.</w:t>
            </w:r>
          </w:p>
          <w:p w14:paraId="28CF0BD1" w14:textId="77777777" w:rsidR="00BD372F" w:rsidRPr="00BD372F" w:rsidRDefault="00BD372F" w:rsidP="00BD372F">
            <w:pPr>
              <w:spacing w:after="0" w:line="240" w:lineRule="auto"/>
              <w:jc w:val="both"/>
              <w:rPr>
                <w:rFonts w:ascii="Times New Roman" w:hAnsi="Times New Roman"/>
                <w:bCs/>
                <w:sz w:val="20"/>
                <w:szCs w:val="20"/>
                <w:lang w:eastAsia="sk-SK"/>
              </w:rPr>
            </w:pPr>
          </w:p>
          <w:p w14:paraId="2A051DF4" w14:textId="77777777" w:rsidR="00BD372F" w:rsidRPr="00BD372F" w:rsidRDefault="00BD372F" w:rsidP="00BD372F">
            <w:pPr>
              <w:spacing w:after="0" w:line="240" w:lineRule="auto"/>
              <w:jc w:val="both"/>
              <w:rPr>
                <w:rFonts w:ascii="Times New Roman" w:hAnsi="Times New Roman"/>
                <w:bCs/>
                <w:sz w:val="20"/>
                <w:szCs w:val="20"/>
                <w:lang w:eastAsia="sk-SK"/>
              </w:rPr>
            </w:pPr>
            <w:r w:rsidRPr="00BD372F">
              <w:rPr>
                <w:rFonts w:ascii="Times New Roman" w:hAnsi="Times New Roman"/>
                <w:bCs/>
                <w:sz w:val="20"/>
                <w:szCs w:val="20"/>
                <w:lang w:eastAsia="sk-SK"/>
              </w:rPr>
              <w:t>V tabuľke č. 1/A analýzy vplyvov na rozpočet verejnej správy je potrebné v časti „Výdavky verejnej správy celkom“ upraviť sumy v riadku „Rozpočtové prostriedky“ tak, aby sa sumy v tomto riadku zhodovali so sumami uvedenými v riadku „- vplyv na ŠR“ aj v rokoch 2026 až 2028.</w:t>
            </w:r>
          </w:p>
          <w:p w14:paraId="215AE8FE" w14:textId="77777777" w:rsidR="00BD372F" w:rsidRPr="00BD372F" w:rsidRDefault="00BD372F" w:rsidP="00BD372F">
            <w:pPr>
              <w:spacing w:after="0" w:line="240" w:lineRule="auto"/>
              <w:jc w:val="both"/>
              <w:rPr>
                <w:rFonts w:ascii="Times New Roman" w:hAnsi="Times New Roman"/>
                <w:bCs/>
                <w:sz w:val="20"/>
                <w:szCs w:val="20"/>
                <w:lang w:eastAsia="sk-SK"/>
              </w:rPr>
            </w:pPr>
          </w:p>
          <w:p w14:paraId="37A91976" w14:textId="77777777" w:rsidR="00BD372F" w:rsidRPr="00BD372F" w:rsidRDefault="00BD372F" w:rsidP="00BD372F">
            <w:pPr>
              <w:spacing w:after="0" w:line="240" w:lineRule="auto"/>
              <w:jc w:val="both"/>
              <w:rPr>
                <w:rFonts w:ascii="Times New Roman" w:hAnsi="Times New Roman"/>
                <w:b/>
                <w:i/>
                <w:iCs/>
                <w:sz w:val="20"/>
                <w:szCs w:val="20"/>
                <w:lang w:eastAsia="sk-SK"/>
              </w:rPr>
            </w:pPr>
            <w:r w:rsidRPr="00BD372F">
              <w:rPr>
                <w:rFonts w:ascii="Times New Roman" w:hAnsi="Times New Roman"/>
                <w:b/>
                <w:i/>
                <w:iCs/>
                <w:sz w:val="20"/>
                <w:szCs w:val="20"/>
                <w:lang w:eastAsia="sk-SK"/>
              </w:rPr>
              <w:t>MF SR: Akceptované.</w:t>
            </w:r>
          </w:p>
          <w:p w14:paraId="6D429EC1" w14:textId="77777777" w:rsidR="00BD372F" w:rsidRPr="00BD372F" w:rsidRDefault="00BD372F" w:rsidP="00BD372F">
            <w:pPr>
              <w:spacing w:after="0" w:line="240" w:lineRule="auto"/>
              <w:jc w:val="both"/>
              <w:rPr>
                <w:rFonts w:ascii="Times New Roman" w:hAnsi="Times New Roman"/>
                <w:bCs/>
                <w:sz w:val="20"/>
                <w:szCs w:val="20"/>
                <w:lang w:eastAsia="sk-SK"/>
              </w:rPr>
            </w:pPr>
          </w:p>
          <w:p w14:paraId="2FD1389E" w14:textId="77777777" w:rsidR="00BD372F" w:rsidRPr="00BD372F" w:rsidRDefault="00BD372F" w:rsidP="00BD372F">
            <w:pPr>
              <w:spacing w:after="0" w:line="240" w:lineRule="auto"/>
              <w:jc w:val="both"/>
              <w:rPr>
                <w:rFonts w:ascii="Times New Roman" w:hAnsi="Times New Roman"/>
                <w:bCs/>
                <w:sz w:val="20"/>
                <w:szCs w:val="20"/>
                <w:lang w:eastAsia="sk-SK"/>
              </w:rPr>
            </w:pPr>
            <w:r w:rsidRPr="00BD372F">
              <w:rPr>
                <w:rFonts w:ascii="Times New Roman" w:hAnsi="Times New Roman"/>
                <w:bCs/>
                <w:sz w:val="20"/>
                <w:szCs w:val="20"/>
                <w:lang w:eastAsia="sk-SK"/>
              </w:rPr>
              <w:t xml:space="preserve">Nakoľko je predmetom návrhu zákona aj rozvoj IT VS o centrálny systém evidencie poplatkov Štátnej pokladnice, bude potrebné zabezpečiť integráciu na agendové systémy dotknutých subjektov, prípadne na ich ekonomické systémy. Predložená analýza vplyvov na rozpočet verejnej správy zohľadňuje iba vplyv na rozvoj IS ŠP a na finančné zabezpečenie výkonu vládneho auditu Úradu vládneho auditu na správnych orgánoch. Z tohto dôvodu Komisia žiada doplniť do analýzy vplyvov na rozpočet verejnej správy aj vplyv na informačné systémy dotknutých orgánov, ktoré budú vykonávať úkony na základe zaplateného poplatku. </w:t>
            </w:r>
          </w:p>
          <w:p w14:paraId="0875CB76" w14:textId="77777777" w:rsidR="00BD372F" w:rsidRPr="00BD372F" w:rsidRDefault="00BD372F" w:rsidP="00BD372F">
            <w:pPr>
              <w:spacing w:after="0" w:line="240" w:lineRule="auto"/>
              <w:jc w:val="both"/>
              <w:rPr>
                <w:rFonts w:ascii="Times New Roman" w:hAnsi="Times New Roman"/>
                <w:b/>
                <w:sz w:val="20"/>
                <w:szCs w:val="20"/>
                <w:lang w:eastAsia="sk-SK"/>
              </w:rPr>
            </w:pPr>
          </w:p>
          <w:p w14:paraId="2A0B1AFA" w14:textId="77777777" w:rsidR="00BD372F" w:rsidRPr="00BD372F" w:rsidRDefault="00BD372F" w:rsidP="00BD372F">
            <w:pPr>
              <w:spacing w:after="0" w:line="240" w:lineRule="auto"/>
              <w:jc w:val="both"/>
              <w:rPr>
                <w:rFonts w:ascii="Times New Roman" w:hAnsi="Times New Roman"/>
                <w:i/>
                <w:iCs/>
                <w:sz w:val="20"/>
                <w:szCs w:val="20"/>
                <w:lang w:eastAsia="sk-SK"/>
              </w:rPr>
            </w:pPr>
            <w:r w:rsidRPr="00BD372F">
              <w:rPr>
                <w:rFonts w:ascii="Times New Roman" w:hAnsi="Times New Roman"/>
                <w:b/>
                <w:i/>
                <w:iCs/>
                <w:sz w:val="20"/>
                <w:szCs w:val="20"/>
                <w:lang w:eastAsia="sk-SK"/>
              </w:rPr>
              <w:t xml:space="preserve">MF SR: Čiastočne akceptované. </w:t>
            </w:r>
            <w:r w:rsidRPr="00BD372F">
              <w:rPr>
                <w:rFonts w:ascii="Times New Roman" w:hAnsi="Times New Roman"/>
                <w:i/>
                <w:iCs/>
                <w:sz w:val="20"/>
                <w:szCs w:val="20"/>
                <w:lang w:eastAsia="sk-SK"/>
              </w:rPr>
              <w:t xml:space="preserve">V súčasnosti sa v centrálnom systéme evidencie poplatkov prevádzkovateľa systému poskytuje aplikácia „Modul správy poplatkov“, ktorá umožňuje generovanie platobných predpisov a spracovanie platieb bez priamej integrácie na agendové informačné systémy, resp. na ekonomické systémy. Integrovanými agendovými informačnými systémami za takmer 11 rokov prevádzky je len Súdny manažment, PAM IS a IS Dopravného úradu. Všetky ostatné agendy fungujú bez integrácie v MSP. Rovnako aj navrhované funkčné rozšírenie IS pre systém Štátnej pokladnice ponúkne aplikáciu „Úhrady“, ktorá umožní generovanie platobných predpisov, spracovanie platieb a iné funkcionality bez priamej integrácie na agendové informačné systémy prípadne ekonomické IS. Ako pilotné riešenie v centrálnom systéme evidencie poplatkov Štátnej pokladnice budú platobné operácie správnych poplatkov na Úrade priemyselného vlastníctva SR, ktorého IS sa zintegruje s IS pre systém Štátnej pokladnice. Finančné krytie v sume 73 026 eur je zabezpečené v rozpočte a je uvedené v Analýze vplyvov na rozpočet verejných financií, na zamestnanosť a financovanie návrhu k návrhu zákona, ktorým sa mení a dopĺňa zákon č. 435/2001 Z. z. o patentoch, dodatkových ochranných osvedčeniach a o zmene a doplnení niektorých zákonov (patentový zákon) v znení neskorších predpisov, a ktorým sa menia a dopĺňajú niektoré zákony (ČPT 655,   </w:t>
            </w:r>
            <w:hyperlink r:id="rId12" w:history="1">
              <w:r w:rsidRPr="00BD372F">
                <w:rPr>
                  <w:rFonts w:ascii="Times New Roman" w:hAnsi="Times New Roman"/>
                  <w:i/>
                  <w:iCs/>
                  <w:color w:val="0563C1"/>
                  <w:sz w:val="20"/>
                  <w:szCs w:val="20"/>
                  <w:u w:val="single"/>
                  <w:lang w:eastAsia="sk-SK"/>
                </w:rPr>
                <w:t>https://www.nrsr.sk/web/Default.aspx?sid=zakony/zakon&amp;MasterID=10151</w:t>
              </w:r>
            </w:hyperlink>
            <w:r w:rsidRPr="00BD372F">
              <w:rPr>
                <w:rFonts w:ascii="Times New Roman" w:hAnsi="Times New Roman"/>
                <w:i/>
                <w:iCs/>
                <w:sz w:val="20"/>
                <w:szCs w:val="20"/>
                <w:lang w:eastAsia="sk-SK"/>
              </w:rPr>
              <w:t xml:space="preserve">). </w:t>
            </w:r>
          </w:p>
          <w:p w14:paraId="0716A9A3" w14:textId="77777777" w:rsidR="00BD372F" w:rsidRPr="00BD372F" w:rsidRDefault="00BD372F" w:rsidP="00BD372F">
            <w:pPr>
              <w:spacing w:after="0" w:line="240" w:lineRule="auto"/>
              <w:jc w:val="both"/>
              <w:rPr>
                <w:rFonts w:ascii="Times New Roman" w:hAnsi="Times New Roman"/>
                <w:i/>
                <w:iCs/>
                <w:sz w:val="20"/>
                <w:szCs w:val="20"/>
                <w:lang w:eastAsia="sk-SK"/>
              </w:rPr>
            </w:pPr>
            <w:r w:rsidRPr="00BD372F">
              <w:rPr>
                <w:rFonts w:ascii="Times New Roman" w:hAnsi="Times New Roman"/>
                <w:i/>
                <w:iCs/>
                <w:sz w:val="20"/>
                <w:szCs w:val="20"/>
                <w:lang w:eastAsia="sk-SK"/>
              </w:rPr>
              <w:t xml:space="preserve">Zapojenie orgánov FS dôjde pravdepodobne v roku 2028 a náklady FS na integráciu IS FS-SD s IS pre systém ŠP bol odhadnutý na 70 333 eur. V tomto smere bola doplnená aj doložka vplyvov na rozpočet VS. Náklady sú kryté v rámci záväzných limitov rozpočtu FS. Súdy a súdne orgány sa do centrálneho systému evidencie poplatkov ŠP zapoja v čase vybudovania a sprevádzkovania nového Súdneho managementu, pričom náklady na integráciu majú byť zahrnuté do projektových nákladov nového SM. Všetkým ostatným orgánom bude ponúknutá </w:t>
            </w:r>
            <w:r w:rsidRPr="00BD372F">
              <w:rPr>
                <w:rFonts w:ascii="Times New Roman" w:hAnsi="Times New Roman"/>
                <w:i/>
                <w:iCs/>
                <w:sz w:val="20"/>
                <w:szCs w:val="20"/>
                <w:lang w:eastAsia="sk-SK"/>
              </w:rPr>
              <w:lastRenderedPageBreak/>
              <w:t xml:space="preserve">aplikácia Úhrady. Pokiaľ by mali záujem na priamej integrácii (čo nie je vzhľadom na doterajšie skúsenosti veľmi pravdepodobné) budú úpravy agendových IS riešené na strane dotknutých orgánov bez navýšenia záväzných ukazovateľov príslušnej rozpočtovej kapitoly, pod ktorú ten-ktorý orgán spadá. Vzhľadom na vyčíslenie nákladov na integráciu na FS a ÚPV SR pôjde v jednotlivom prípade o sumu cca. 70 000 eur. </w:t>
            </w:r>
          </w:p>
          <w:p w14:paraId="0B768A44" w14:textId="77777777" w:rsidR="00BD372F" w:rsidRPr="00BD372F" w:rsidRDefault="00BD372F" w:rsidP="00BD372F">
            <w:pPr>
              <w:spacing w:after="0" w:line="240" w:lineRule="auto"/>
              <w:jc w:val="both"/>
              <w:rPr>
                <w:rFonts w:ascii="Times New Roman" w:hAnsi="Times New Roman"/>
                <w:b/>
                <w:sz w:val="20"/>
                <w:szCs w:val="20"/>
                <w:lang w:eastAsia="sk-SK"/>
              </w:rPr>
            </w:pPr>
          </w:p>
          <w:p w14:paraId="5DA30115" w14:textId="77777777" w:rsidR="00BD372F" w:rsidRPr="00BD372F" w:rsidRDefault="00BD372F" w:rsidP="00BD372F">
            <w:pPr>
              <w:spacing w:after="0" w:line="240" w:lineRule="auto"/>
              <w:jc w:val="both"/>
              <w:rPr>
                <w:rFonts w:ascii="Times New Roman" w:hAnsi="Times New Roman"/>
                <w:b/>
                <w:sz w:val="20"/>
                <w:szCs w:val="20"/>
                <w:lang w:eastAsia="sk-SK"/>
              </w:rPr>
            </w:pPr>
            <w:r w:rsidRPr="00BD372F">
              <w:rPr>
                <w:rFonts w:ascii="Times New Roman" w:hAnsi="Times New Roman"/>
                <w:b/>
                <w:sz w:val="20"/>
                <w:szCs w:val="20"/>
                <w:lang w:eastAsia="sk-SK"/>
              </w:rPr>
              <w:t>K vplyvom na informatizáciu spoločnosti</w:t>
            </w:r>
          </w:p>
          <w:p w14:paraId="516D6D2D" w14:textId="77777777" w:rsidR="00BD372F" w:rsidRPr="00BD372F" w:rsidRDefault="00BD372F" w:rsidP="00BD372F">
            <w:pPr>
              <w:spacing w:after="0" w:line="240" w:lineRule="auto"/>
              <w:jc w:val="both"/>
              <w:rPr>
                <w:rFonts w:ascii="Times New Roman" w:hAnsi="Times New Roman"/>
                <w:bCs/>
                <w:sz w:val="20"/>
                <w:szCs w:val="20"/>
                <w:lang w:eastAsia="sk-SK"/>
              </w:rPr>
            </w:pPr>
            <w:r w:rsidRPr="00BD372F">
              <w:rPr>
                <w:rFonts w:ascii="Times New Roman" w:hAnsi="Times New Roman"/>
                <w:bCs/>
                <w:sz w:val="20"/>
                <w:szCs w:val="20"/>
                <w:lang w:eastAsia="sk-SK"/>
              </w:rPr>
              <w:t>Komisia súhlasí s tvrdením predkladateľa, že predmetný návrh zákona má vplyv na informatizáciu spoločnosti. V bode 6.1. však Komisia žiada doplniť kód koncovej elektronickej služby, v bode 6.2. pri názve informačného systému Komisia žiada uvádzať striktne iba údaj evidovaný v MetaIS, bod 6.3 vypĺňať v súlade s metodikou na vypracovanie /a teda neuvádzať žiadne informácie ktoré nie sú požadované/ a odstrániť rozpor v časti 6.4. Ten spočíva v nejasnosti medzi odpoveďou v prvom a druhom bode. Ak je v prvom bode odpoveď, že nejde o tento druh konania, nie je ho teda možné ani vykonať elektronicky.</w:t>
            </w:r>
          </w:p>
          <w:p w14:paraId="6E023C6C" w14:textId="77777777" w:rsidR="00BD372F" w:rsidRPr="00BD372F" w:rsidRDefault="00BD372F" w:rsidP="00BD372F">
            <w:pPr>
              <w:spacing w:after="0" w:line="240" w:lineRule="auto"/>
              <w:jc w:val="both"/>
              <w:rPr>
                <w:rFonts w:ascii="Times New Roman" w:hAnsi="Times New Roman"/>
                <w:b/>
                <w:sz w:val="20"/>
                <w:szCs w:val="20"/>
                <w:lang w:eastAsia="sk-SK"/>
              </w:rPr>
            </w:pPr>
          </w:p>
          <w:p w14:paraId="66D4FCB5" w14:textId="77777777" w:rsidR="00BD372F" w:rsidRPr="00BD372F" w:rsidRDefault="00BD372F" w:rsidP="00BD372F">
            <w:pPr>
              <w:spacing w:after="0" w:line="240" w:lineRule="auto"/>
              <w:jc w:val="both"/>
              <w:rPr>
                <w:rFonts w:ascii="Times New Roman" w:hAnsi="Times New Roman"/>
                <w:b/>
                <w:i/>
                <w:iCs/>
                <w:sz w:val="20"/>
                <w:szCs w:val="20"/>
                <w:lang w:eastAsia="sk-SK"/>
              </w:rPr>
            </w:pPr>
            <w:r w:rsidRPr="00BD372F">
              <w:rPr>
                <w:rFonts w:ascii="Times New Roman" w:hAnsi="Times New Roman"/>
                <w:b/>
                <w:i/>
                <w:iCs/>
                <w:sz w:val="20"/>
                <w:szCs w:val="20"/>
                <w:lang w:eastAsia="sk-SK"/>
              </w:rPr>
              <w:t>MF SR: Akceptované.</w:t>
            </w:r>
          </w:p>
          <w:p w14:paraId="13EFA72A" w14:textId="77777777" w:rsidR="00BD372F" w:rsidRPr="00BD372F" w:rsidRDefault="00BD372F" w:rsidP="00BD372F">
            <w:pPr>
              <w:spacing w:after="0" w:line="240" w:lineRule="auto"/>
              <w:jc w:val="both"/>
              <w:rPr>
                <w:rFonts w:ascii="Times New Roman" w:hAnsi="Times New Roman"/>
                <w:b/>
                <w:sz w:val="20"/>
                <w:szCs w:val="20"/>
                <w:lang w:eastAsia="sk-SK"/>
              </w:rPr>
            </w:pPr>
          </w:p>
          <w:p w14:paraId="6BECAFF3" w14:textId="77777777" w:rsidR="00BD372F" w:rsidRPr="00BD372F" w:rsidRDefault="00BD372F" w:rsidP="00BD372F">
            <w:pPr>
              <w:spacing w:after="0" w:line="240" w:lineRule="auto"/>
              <w:jc w:val="both"/>
              <w:rPr>
                <w:rFonts w:ascii="Times New Roman" w:hAnsi="Times New Roman"/>
                <w:b/>
                <w:sz w:val="20"/>
                <w:szCs w:val="20"/>
                <w:lang w:eastAsia="sk-SK"/>
              </w:rPr>
            </w:pPr>
            <w:r w:rsidRPr="00BD372F">
              <w:rPr>
                <w:rFonts w:ascii="Times New Roman" w:hAnsi="Times New Roman"/>
                <w:b/>
                <w:sz w:val="20"/>
                <w:szCs w:val="20"/>
                <w:lang w:eastAsia="sk-SK"/>
              </w:rPr>
              <w:t>K vplyvom na procesy služieb vo verejnej správe</w:t>
            </w:r>
          </w:p>
          <w:p w14:paraId="7226F83B" w14:textId="77777777" w:rsidR="00BD372F" w:rsidRPr="00BD372F" w:rsidRDefault="00BD372F" w:rsidP="00BD372F">
            <w:pPr>
              <w:spacing w:after="0" w:line="240" w:lineRule="auto"/>
              <w:jc w:val="both"/>
              <w:rPr>
                <w:rFonts w:ascii="Times New Roman" w:hAnsi="Times New Roman"/>
                <w:bCs/>
                <w:sz w:val="20"/>
                <w:szCs w:val="20"/>
                <w:lang w:eastAsia="sk-SK"/>
              </w:rPr>
            </w:pPr>
            <w:r w:rsidRPr="00BD372F">
              <w:rPr>
                <w:rFonts w:ascii="Times New Roman" w:hAnsi="Times New Roman"/>
                <w:bCs/>
                <w:sz w:val="20"/>
                <w:szCs w:val="20"/>
                <w:lang w:eastAsia="sk-SK"/>
              </w:rPr>
              <w:t xml:space="preserve">Komisia predkladateľovi navrhuje, aby v doložke vybraných vplyvov ponechal vyznačený iba negatívny vplyv na procesy služieb vo verejnej správe. </w:t>
            </w:r>
          </w:p>
          <w:p w14:paraId="5C0DF27B" w14:textId="77777777" w:rsidR="00BD372F" w:rsidRPr="00BD372F" w:rsidRDefault="00BD372F" w:rsidP="00BD372F">
            <w:pPr>
              <w:spacing w:after="0" w:line="240" w:lineRule="auto"/>
              <w:jc w:val="both"/>
              <w:rPr>
                <w:rFonts w:ascii="Times New Roman" w:hAnsi="Times New Roman"/>
                <w:bCs/>
                <w:sz w:val="20"/>
                <w:szCs w:val="20"/>
                <w:lang w:eastAsia="sk-SK"/>
              </w:rPr>
            </w:pPr>
            <w:r w:rsidRPr="00BD372F">
              <w:rPr>
                <w:rFonts w:ascii="Times New Roman" w:hAnsi="Times New Roman"/>
                <w:bCs/>
                <w:sz w:val="20"/>
                <w:szCs w:val="20"/>
                <w:lang w:eastAsia="sk-SK"/>
              </w:rPr>
              <w:t>Odôvodnenie: Vznik nových povinností pre orgán verejnej správy predpokladá negatívny dopad na procesy služieb vo verejnej správe a naopak zánik doterajších povinnosti pre orgán verejnej správy predpokladá pozitívny vplyv na procesy služieb vo verejnej správe.</w:t>
            </w:r>
          </w:p>
          <w:p w14:paraId="1E1C4D0D" w14:textId="77777777" w:rsidR="00BD372F" w:rsidRPr="00BD372F" w:rsidRDefault="00BD372F" w:rsidP="00BD372F">
            <w:pPr>
              <w:spacing w:after="0" w:line="240" w:lineRule="auto"/>
              <w:rPr>
                <w:rFonts w:ascii="Times New Roman" w:hAnsi="Times New Roman"/>
                <w:b/>
                <w:sz w:val="20"/>
                <w:szCs w:val="20"/>
                <w:lang w:eastAsia="sk-SK"/>
              </w:rPr>
            </w:pPr>
          </w:p>
          <w:p w14:paraId="3EC4A292" w14:textId="77777777" w:rsidR="00BD372F" w:rsidRPr="00BD372F" w:rsidRDefault="00BD372F" w:rsidP="00BD372F">
            <w:pPr>
              <w:spacing w:after="0" w:line="240" w:lineRule="auto"/>
              <w:rPr>
                <w:rFonts w:ascii="Times New Roman" w:hAnsi="Times New Roman"/>
                <w:b/>
                <w:sz w:val="20"/>
                <w:szCs w:val="20"/>
                <w:lang w:eastAsia="sk-SK"/>
              </w:rPr>
            </w:pPr>
            <w:r w:rsidRPr="00BD372F">
              <w:rPr>
                <w:rFonts w:ascii="Times New Roman" w:hAnsi="Times New Roman"/>
                <w:b/>
                <w:i/>
                <w:iCs/>
                <w:sz w:val="20"/>
                <w:szCs w:val="20"/>
                <w:lang w:eastAsia="sk-SK"/>
              </w:rPr>
              <w:t>MF SR: Akceptované.</w:t>
            </w:r>
          </w:p>
          <w:p w14:paraId="189D9362" w14:textId="77777777" w:rsidR="00BD372F" w:rsidRPr="00BD372F" w:rsidRDefault="00BD372F" w:rsidP="00BD372F">
            <w:pPr>
              <w:spacing w:after="0" w:line="240" w:lineRule="auto"/>
              <w:rPr>
                <w:rFonts w:ascii="Times New Roman" w:hAnsi="Times New Roman"/>
                <w:b/>
                <w:sz w:val="20"/>
                <w:szCs w:val="20"/>
                <w:lang w:eastAsia="sk-SK"/>
              </w:rPr>
            </w:pPr>
          </w:p>
        </w:tc>
      </w:tr>
      <w:tr w:rsidR="00BD372F" w:rsidRPr="00BD372F" w14:paraId="6D0DA803" w14:textId="77777777" w:rsidTr="00154BAB">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5BD748B8" w14:textId="77777777" w:rsidR="00BD372F" w:rsidRPr="00BD372F" w:rsidRDefault="00BD372F" w:rsidP="00BD372F">
            <w:pPr>
              <w:numPr>
                <w:ilvl w:val="0"/>
                <w:numId w:val="6"/>
              </w:numPr>
              <w:spacing w:after="0" w:line="240" w:lineRule="auto"/>
              <w:ind w:left="450" w:hanging="425"/>
              <w:contextualSpacing/>
              <w:jc w:val="both"/>
              <w:rPr>
                <w:rFonts w:ascii="Times New Roman" w:hAnsi="Times New Roman"/>
                <w:b/>
                <w:szCs w:val="22"/>
              </w:rPr>
            </w:pPr>
            <w:r w:rsidRPr="00BD372F">
              <w:rPr>
                <w:rFonts w:ascii="Times New Roman" w:hAnsi="Times New Roman"/>
                <w:b/>
                <w:szCs w:val="22"/>
              </w:rPr>
              <w:lastRenderedPageBreak/>
              <w:t>Stanovisko Komisie na posudzovanie vybraných vplyvov zo záverečného posúdenia č. ..........</w:t>
            </w:r>
            <w:r w:rsidRPr="00BD372F">
              <w:rPr>
                <w:rFonts w:ascii="Times New Roman" w:hAnsi="Times New Roman"/>
                <w:szCs w:val="22"/>
              </w:rPr>
              <w:t xml:space="preserve"> (v prípade, ak sa uskutočnilo v zmysle bodu 9.1. Jednotnej metodiky) </w:t>
            </w:r>
          </w:p>
        </w:tc>
      </w:tr>
      <w:tr w:rsidR="00BD372F" w:rsidRPr="00BD372F" w14:paraId="101D6E99" w14:textId="77777777" w:rsidTr="00154BAB">
        <w:tblPrEx>
          <w:tblBorders>
            <w:insideH w:val="single" w:sz="4" w:space="0" w:color="FFFFFF"/>
            <w:insideV w:val="single" w:sz="4" w:space="0" w:color="FFFFFF"/>
          </w:tblBorders>
        </w:tblPrEx>
        <w:tc>
          <w:tcPr>
            <w:tcW w:w="9176" w:type="dxa"/>
            <w:shd w:val="clear" w:color="auto" w:fill="FFFFFF"/>
          </w:tcPr>
          <w:p w14:paraId="3FF36DE1" w14:textId="77777777" w:rsidR="00BD372F" w:rsidRPr="00BD372F" w:rsidRDefault="00BD372F" w:rsidP="00BD372F">
            <w:pPr>
              <w:spacing w:after="0" w:line="240" w:lineRule="auto"/>
              <w:rPr>
                <w:rFonts w:ascii="Times New Roman" w:hAnsi="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BD372F" w:rsidRPr="00BD372F" w14:paraId="41264C9F" w14:textId="77777777" w:rsidTr="00154BAB">
              <w:trPr>
                <w:trHeight w:val="396"/>
              </w:trPr>
              <w:tc>
                <w:tcPr>
                  <w:tcW w:w="2552" w:type="dxa"/>
                </w:tcPr>
                <w:p w14:paraId="78CB3510" w14:textId="77777777" w:rsidR="00BD372F" w:rsidRPr="00BD372F" w:rsidRDefault="00A13961" w:rsidP="00BD372F">
                  <w:pPr>
                    <w:spacing w:after="0" w:line="240" w:lineRule="auto"/>
                    <w:rPr>
                      <w:rFonts w:ascii="Times New Roman" w:hAnsi="Times New Roman"/>
                      <w:b/>
                      <w:sz w:val="20"/>
                      <w:szCs w:val="20"/>
                      <w:lang w:eastAsia="sk-SK"/>
                    </w:rPr>
                  </w:pPr>
                  <w:sdt>
                    <w:sdtPr>
                      <w:rPr>
                        <w:rFonts w:ascii="Times New Roman" w:hAnsi="Times New Roman"/>
                        <w:b/>
                        <w:sz w:val="20"/>
                        <w:szCs w:val="20"/>
                        <w:lang w:eastAsia="sk-SK"/>
                      </w:rPr>
                      <w:id w:val="888232876"/>
                      <w14:checkbox>
                        <w14:checked w14:val="0"/>
                        <w14:checkedState w14:val="2612" w14:font="MS Gothic"/>
                        <w14:uncheckedState w14:val="2610" w14:font="MS Gothic"/>
                      </w14:checkbox>
                    </w:sdtPr>
                    <w:sdtEndPr/>
                    <w:sdtContent>
                      <w:r w:rsidR="00BD372F" w:rsidRPr="00BD372F">
                        <w:rPr>
                          <w:rFonts w:ascii="Times New Roman" w:hAnsi="Times New Roman" w:hint="eastAsia"/>
                          <w:b/>
                          <w:sz w:val="20"/>
                          <w:szCs w:val="20"/>
                          <w:lang w:eastAsia="sk-SK"/>
                        </w:rPr>
                        <w:t>☐</w:t>
                      </w:r>
                    </w:sdtContent>
                  </w:sdt>
                  <w:r w:rsidR="00BD372F" w:rsidRPr="00BD372F">
                    <w:rPr>
                      <w:rFonts w:ascii="Times New Roman" w:hAnsi="Times New Roman"/>
                      <w:b/>
                      <w:sz w:val="20"/>
                      <w:szCs w:val="20"/>
                      <w:lang w:eastAsia="sk-SK"/>
                    </w:rPr>
                    <w:t xml:space="preserve">   Súhlasné </w:t>
                  </w:r>
                </w:p>
              </w:tc>
              <w:tc>
                <w:tcPr>
                  <w:tcW w:w="3827" w:type="dxa"/>
                </w:tcPr>
                <w:p w14:paraId="26BFAF55" w14:textId="77777777" w:rsidR="00BD372F" w:rsidRPr="00BD372F" w:rsidRDefault="00A13961" w:rsidP="00BD372F">
                  <w:pPr>
                    <w:spacing w:after="0" w:line="240" w:lineRule="auto"/>
                    <w:rPr>
                      <w:rFonts w:ascii="Times New Roman" w:hAnsi="Times New Roman"/>
                      <w:b/>
                      <w:sz w:val="20"/>
                      <w:szCs w:val="20"/>
                      <w:lang w:eastAsia="sk-SK"/>
                    </w:rPr>
                  </w:pPr>
                  <w:sdt>
                    <w:sdtPr>
                      <w:rPr>
                        <w:rFonts w:ascii="Times New Roman" w:hAnsi="Times New Roman"/>
                        <w:b/>
                        <w:sz w:val="20"/>
                        <w:szCs w:val="20"/>
                        <w:lang w:eastAsia="sk-SK"/>
                      </w:rPr>
                      <w:id w:val="953831761"/>
                      <w14:checkbox>
                        <w14:checked w14:val="0"/>
                        <w14:checkedState w14:val="2612" w14:font="MS Gothic"/>
                        <w14:uncheckedState w14:val="2610" w14:font="MS Gothic"/>
                      </w14:checkbox>
                    </w:sdtPr>
                    <w:sdtEndPr/>
                    <w:sdtContent>
                      <w:r w:rsidR="00BD372F" w:rsidRPr="00BD372F">
                        <w:rPr>
                          <w:rFonts w:ascii="Times New Roman" w:hAnsi="Times New Roman" w:hint="eastAsia"/>
                          <w:b/>
                          <w:sz w:val="20"/>
                          <w:szCs w:val="20"/>
                          <w:lang w:eastAsia="sk-SK"/>
                        </w:rPr>
                        <w:t>☐</w:t>
                      </w:r>
                    </w:sdtContent>
                  </w:sdt>
                  <w:r w:rsidR="00BD372F" w:rsidRPr="00BD372F">
                    <w:rPr>
                      <w:rFonts w:ascii="Times New Roman" w:hAnsi="Times New Roman"/>
                      <w:b/>
                      <w:sz w:val="20"/>
                      <w:szCs w:val="20"/>
                      <w:lang w:eastAsia="sk-SK"/>
                    </w:rPr>
                    <w:t xml:space="preserve">  Súhlasné s  návrhom na dopracovanie</w:t>
                  </w:r>
                </w:p>
              </w:tc>
              <w:tc>
                <w:tcPr>
                  <w:tcW w:w="2534" w:type="dxa"/>
                </w:tcPr>
                <w:p w14:paraId="22B627EC" w14:textId="77777777" w:rsidR="00BD372F" w:rsidRPr="00BD372F" w:rsidRDefault="00A13961" w:rsidP="00BD372F">
                  <w:pPr>
                    <w:spacing w:after="0" w:line="240" w:lineRule="auto"/>
                    <w:ind w:right="459"/>
                    <w:rPr>
                      <w:rFonts w:ascii="Times New Roman" w:hAnsi="Times New Roman"/>
                      <w:b/>
                      <w:sz w:val="20"/>
                      <w:szCs w:val="20"/>
                      <w:lang w:eastAsia="sk-SK"/>
                    </w:rPr>
                  </w:pPr>
                  <w:sdt>
                    <w:sdtPr>
                      <w:rPr>
                        <w:rFonts w:ascii="Times New Roman" w:hAnsi="Times New Roman"/>
                        <w:b/>
                        <w:sz w:val="20"/>
                        <w:szCs w:val="20"/>
                        <w:lang w:eastAsia="sk-SK"/>
                      </w:rPr>
                      <w:id w:val="-361740452"/>
                      <w14:checkbox>
                        <w14:checked w14:val="0"/>
                        <w14:checkedState w14:val="2612" w14:font="MS Gothic"/>
                        <w14:uncheckedState w14:val="2610" w14:font="MS Gothic"/>
                      </w14:checkbox>
                    </w:sdtPr>
                    <w:sdtEndPr/>
                    <w:sdtContent>
                      <w:r w:rsidR="00BD372F" w:rsidRPr="00BD372F">
                        <w:rPr>
                          <w:rFonts w:ascii="Times New Roman" w:hAnsi="Times New Roman" w:hint="eastAsia"/>
                          <w:b/>
                          <w:sz w:val="20"/>
                          <w:szCs w:val="20"/>
                          <w:lang w:eastAsia="sk-SK"/>
                        </w:rPr>
                        <w:t>☐</w:t>
                      </w:r>
                    </w:sdtContent>
                  </w:sdt>
                  <w:r w:rsidR="00BD372F" w:rsidRPr="00BD372F">
                    <w:rPr>
                      <w:rFonts w:ascii="Times New Roman" w:hAnsi="Times New Roman"/>
                      <w:b/>
                      <w:sz w:val="20"/>
                      <w:szCs w:val="20"/>
                      <w:lang w:eastAsia="sk-SK"/>
                    </w:rPr>
                    <w:t xml:space="preserve">  Nesúhlasné</w:t>
                  </w:r>
                </w:p>
              </w:tc>
            </w:tr>
          </w:tbl>
          <w:p w14:paraId="755638F7" w14:textId="77777777" w:rsidR="00BD372F" w:rsidRPr="00BD372F" w:rsidRDefault="00BD372F" w:rsidP="00BD372F">
            <w:pPr>
              <w:spacing w:after="0" w:line="240" w:lineRule="auto"/>
              <w:jc w:val="both"/>
              <w:rPr>
                <w:rFonts w:ascii="Times New Roman" w:hAnsi="Times New Roman"/>
                <w:b/>
                <w:sz w:val="20"/>
                <w:szCs w:val="20"/>
                <w:lang w:eastAsia="sk-SK"/>
              </w:rPr>
            </w:pPr>
            <w:r w:rsidRPr="00BD372F">
              <w:rPr>
                <w:rFonts w:ascii="Times New Roman" w:hAnsi="Times New Roman"/>
                <w:b/>
                <w:sz w:val="20"/>
                <w:szCs w:val="20"/>
                <w:lang w:eastAsia="sk-SK"/>
              </w:rPr>
              <w:t>Uveďte pripomienky zo stanoviska Komisie z časti II. spolu s Vaším vyhodnotením:</w:t>
            </w:r>
          </w:p>
          <w:p w14:paraId="07D44755" w14:textId="77777777" w:rsidR="00BD372F" w:rsidRPr="00BD372F" w:rsidRDefault="00BD372F" w:rsidP="00BD372F">
            <w:pPr>
              <w:spacing w:after="0" w:line="240" w:lineRule="auto"/>
              <w:rPr>
                <w:rFonts w:ascii="Times New Roman" w:hAnsi="Times New Roman"/>
                <w:b/>
                <w:sz w:val="20"/>
                <w:szCs w:val="20"/>
                <w:lang w:eastAsia="sk-SK"/>
              </w:rPr>
            </w:pPr>
          </w:p>
          <w:p w14:paraId="75C1350F" w14:textId="77777777" w:rsidR="00BD372F" w:rsidRPr="00BD372F" w:rsidRDefault="00BD372F" w:rsidP="00BD372F">
            <w:pPr>
              <w:spacing w:after="0" w:line="240" w:lineRule="auto"/>
              <w:rPr>
                <w:rFonts w:ascii="Times New Roman" w:hAnsi="Times New Roman"/>
                <w:b/>
                <w:sz w:val="20"/>
                <w:szCs w:val="20"/>
                <w:lang w:eastAsia="sk-SK"/>
              </w:rPr>
            </w:pPr>
          </w:p>
        </w:tc>
      </w:tr>
    </w:tbl>
    <w:p w14:paraId="542897A8" w14:textId="77777777" w:rsidR="00BD372F" w:rsidRPr="00BD372F" w:rsidRDefault="00BD372F" w:rsidP="00BD372F">
      <w:pPr>
        <w:spacing w:after="160" w:line="259" w:lineRule="auto"/>
        <w:rPr>
          <w:rFonts w:ascii="Calibri" w:eastAsia="Calibri" w:hAnsi="Calibri"/>
          <w:szCs w:val="22"/>
        </w:rPr>
      </w:pPr>
    </w:p>
    <w:p w14:paraId="34F2BD3E" w14:textId="77777777" w:rsidR="00BD372F" w:rsidRDefault="00BD372F" w:rsidP="000A3AFC">
      <w:pPr>
        <w:pStyle w:val="Normlnywebov"/>
        <w:spacing w:before="0" w:beforeAutospacing="0" w:after="0" w:afterAutospacing="0"/>
        <w:jc w:val="both"/>
      </w:pPr>
    </w:p>
    <w:p w14:paraId="5C6BA760" w14:textId="77777777" w:rsidR="00BD372F" w:rsidRDefault="00BD372F" w:rsidP="000A3AFC">
      <w:pPr>
        <w:pStyle w:val="Normlnywebov"/>
        <w:spacing w:before="0" w:beforeAutospacing="0" w:after="0" w:afterAutospacing="0"/>
        <w:jc w:val="both"/>
      </w:pPr>
    </w:p>
    <w:p w14:paraId="22A96A73" w14:textId="77777777" w:rsidR="00BD372F" w:rsidRDefault="00BD372F" w:rsidP="000A3AFC">
      <w:pPr>
        <w:pStyle w:val="Normlnywebov"/>
        <w:spacing w:before="0" w:beforeAutospacing="0" w:after="0" w:afterAutospacing="0"/>
        <w:jc w:val="both"/>
      </w:pPr>
    </w:p>
    <w:p w14:paraId="47129826" w14:textId="77777777" w:rsidR="00BD372F" w:rsidRDefault="00BD372F" w:rsidP="000A3AFC">
      <w:pPr>
        <w:pStyle w:val="Normlnywebov"/>
        <w:spacing w:before="0" w:beforeAutospacing="0" w:after="0" w:afterAutospacing="0"/>
        <w:jc w:val="both"/>
      </w:pPr>
    </w:p>
    <w:p w14:paraId="1EC0405C" w14:textId="77777777" w:rsidR="00BD372F" w:rsidRDefault="00BD372F" w:rsidP="000A3AFC">
      <w:pPr>
        <w:pStyle w:val="Normlnywebov"/>
        <w:spacing w:before="0" w:beforeAutospacing="0" w:after="0" w:afterAutospacing="0"/>
        <w:jc w:val="both"/>
      </w:pPr>
    </w:p>
    <w:p w14:paraId="3A67E730" w14:textId="77777777" w:rsidR="00BD372F" w:rsidRDefault="00BD372F" w:rsidP="000A3AFC">
      <w:pPr>
        <w:pStyle w:val="Normlnywebov"/>
        <w:spacing w:before="0" w:beforeAutospacing="0" w:after="0" w:afterAutospacing="0"/>
        <w:jc w:val="both"/>
      </w:pPr>
    </w:p>
    <w:p w14:paraId="53AB2447" w14:textId="77777777" w:rsidR="00BD372F" w:rsidRDefault="00BD372F" w:rsidP="000A3AFC">
      <w:pPr>
        <w:pStyle w:val="Normlnywebov"/>
        <w:spacing w:before="0" w:beforeAutospacing="0" w:after="0" w:afterAutospacing="0"/>
        <w:jc w:val="both"/>
      </w:pPr>
    </w:p>
    <w:p w14:paraId="55E9C8A0" w14:textId="77777777" w:rsidR="00BD372F" w:rsidRDefault="00BD372F" w:rsidP="000A3AFC">
      <w:pPr>
        <w:pStyle w:val="Normlnywebov"/>
        <w:spacing w:before="0" w:beforeAutospacing="0" w:after="0" w:afterAutospacing="0"/>
        <w:jc w:val="both"/>
      </w:pPr>
    </w:p>
    <w:p w14:paraId="375C1EE6" w14:textId="77777777" w:rsidR="00BD372F" w:rsidRDefault="00BD372F" w:rsidP="000A3AFC">
      <w:pPr>
        <w:pStyle w:val="Normlnywebov"/>
        <w:spacing w:before="0" w:beforeAutospacing="0" w:after="0" w:afterAutospacing="0"/>
        <w:jc w:val="both"/>
      </w:pPr>
    </w:p>
    <w:p w14:paraId="5BDA7A3A" w14:textId="77777777" w:rsidR="00BD372F" w:rsidRDefault="00BD372F" w:rsidP="000A3AFC">
      <w:pPr>
        <w:pStyle w:val="Normlnywebov"/>
        <w:spacing w:before="0" w:beforeAutospacing="0" w:after="0" w:afterAutospacing="0"/>
        <w:jc w:val="both"/>
      </w:pPr>
    </w:p>
    <w:p w14:paraId="152BE78B" w14:textId="77777777" w:rsidR="00BD372F" w:rsidRDefault="00BD372F" w:rsidP="000A3AFC">
      <w:pPr>
        <w:pStyle w:val="Normlnywebov"/>
        <w:spacing w:before="0" w:beforeAutospacing="0" w:after="0" w:afterAutospacing="0"/>
        <w:jc w:val="both"/>
      </w:pPr>
    </w:p>
    <w:p w14:paraId="5467755E" w14:textId="77777777" w:rsidR="00BD372F" w:rsidRDefault="00BD372F" w:rsidP="000A3AFC">
      <w:pPr>
        <w:pStyle w:val="Normlnywebov"/>
        <w:spacing w:before="0" w:beforeAutospacing="0" w:after="0" w:afterAutospacing="0"/>
        <w:jc w:val="both"/>
      </w:pPr>
    </w:p>
    <w:p w14:paraId="658A2626" w14:textId="77777777" w:rsidR="00BD372F" w:rsidRDefault="00BD372F" w:rsidP="000A3AFC">
      <w:pPr>
        <w:pStyle w:val="Normlnywebov"/>
        <w:spacing w:before="0" w:beforeAutospacing="0" w:after="0" w:afterAutospacing="0"/>
        <w:jc w:val="both"/>
      </w:pPr>
    </w:p>
    <w:p w14:paraId="29A89793" w14:textId="77777777" w:rsidR="00BD372F" w:rsidRDefault="00BD372F" w:rsidP="000A3AFC">
      <w:pPr>
        <w:pStyle w:val="Normlnywebov"/>
        <w:spacing w:before="0" w:beforeAutospacing="0" w:after="0" w:afterAutospacing="0"/>
        <w:jc w:val="both"/>
      </w:pPr>
    </w:p>
    <w:p w14:paraId="77104A13" w14:textId="77777777" w:rsidR="00BD372F" w:rsidRDefault="00BD372F" w:rsidP="000A3AFC">
      <w:pPr>
        <w:pStyle w:val="Normlnywebov"/>
        <w:spacing w:before="0" w:beforeAutospacing="0" w:after="0" w:afterAutospacing="0"/>
        <w:jc w:val="both"/>
      </w:pPr>
    </w:p>
    <w:p w14:paraId="45C7410F" w14:textId="77777777" w:rsidR="00BD372F" w:rsidRDefault="00BD372F" w:rsidP="000A3AFC">
      <w:pPr>
        <w:pStyle w:val="Normlnywebov"/>
        <w:spacing w:before="0" w:beforeAutospacing="0" w:after="0" w:afterAutospacing="0"/>
        <w:jc w:val="both"/>
      </w:pPr>
    </w:p>
    <w:p w14:paraId="0F77150B" w14:textId="77777777" w:rsidR="00BD372F" w:rsidRDefault="00BD372F" w:rsidP="000A3AFC">
      <w:pPr>
        <w:pStyle w:val="Normlnywebov"/>
        <w:spacing w:before="0" w:beforeAutospacing="0" w:after="0" w:afterAutospacing="0"/>
        <w:jc w:val="both"/>
      </w:pPr>
    </w:p>
    <w:p w14:paraId="13BF74D8" w14:textId="77777777" w:rsidR="00BD372F" w:rsidRDefault="00BD372F" w:rsidP="00BD372F">
      <w:pPr>
        <w:spacing w:after="0" w:line="240" w:lineRule="auto"/>
        <w:jc w:val="center"/>
        <w:rPr>
          <w:rFonts w:ascii="Times New Roman" w:hAnsi="Times New Roman"/>
          <w:b/>
          <w:bCs/>
          <w:sz w:val="28"/>
          <w:szCs w:val="28"/>
          <w:lang w:eastAsia="sk-SK"/>
        </w:rPr>
      </w:pPr>
    </w:p>
    <w:p w14:paraId="11B02F38" w14:textId="77777777" w:rsidR="00BD372F" w:rsidRDefault="00BD372F" w:rsidP="00BD372F">
      <w:pPr>
        <w:spacing w:after="0" w:line="240" w:lineRule="auto"/>
        <w:jc w:val="center"/>
        <w:rPr>
          <w:rFonts w:ascii="Times New Roman" w:hAnsi="Times New Roman"/>
          <w:b/>
          <w:bCs/>
          <w:sz w:val="28"/>
          <w:szCs w:val="28"/>
          <w:lang w:eastAsia="sk-SK"/>
        </w:rPr>
      </w:pPr>
    </w:p>
    <w:p w14:paraId="198134E3" w14:textId="77777777" w:rsidR="00BD372F" w:rsidRDefault="00BD372F" w:rsidP="00BD372F">
      <w:pPr>
        <w:spacing w:after="0" w:line="240" w:lineRule="auto"/>
        <w:jc w:val="center"/>
        <w:rPr>
          <w:rFonts w:ascii="Times New Roman" w:hAnsi="Times New Roman"/>
          <w:b/>
          <w:bCs/>
          <w:sz w:val="28"/>
          <w:szCs w:val="28"/>
          <w:lang w:eastAsia="sk-SK"/>
        </w:rPr>
      </w:pPr>
    </w:p>
    <w:p w14:paraId="227683B7" w14:textId="77777777" w:rsidR="00BD372F" w:rsidRDefault="00BD372F" w:rsidP="00BD372F">
      <w:pPr>
        <w:spacing w:after="0" w:line="240" w:lineRule="auto"/>
        <w:jc w:val="center"/>
        <w:rPr>
          <w:rFonts w:ascii="Times New Roman" w:hAnsi="Times New Roman"/>
          <w:b/>
          <w:bCs/>
          <w:sz w:val="28"/>
          <w:szCs w:val="28"/>
          <w:lang w:eastAsia="sk-SK"/>
        </w:rPr>
      </w:pPr>
    </w:p>
    <w:p w14:paraId="47DC8E15" w14:textId="37A7B5AF" w:rsidR="00BD372F" w:rsidRPr="00BD372F" w:rsidRDefault="00BD372F" w:rsidP="00BD372F">
      <w:pPr>
        <w:spacing w:after="0" w:line="240" w:lineRule="auto"/>
        <w:jc w:val="center"/>
        <w:rPr>
          <w:rFonts w:ascii="Times New Roman" w:hAnsi="Times New Roman"/>
          <w:b/>
          <w:bCs/>
          <w:sz w:val="28"/>
          <w:szCs w:val="28"/>
          <w:lang w:eastAsia="sk-SK"/>
        </w:rPr>
      </w:pPr>
      <w:r w:rsidRPr="00BD372F">
        <w:rPr>
          <w:rFonts w:ascii="Times New Roman" w:hAnsi="Times New Roman"/>
          <w:b/>
          <w:bCs/>
          <w:sz w:val="28"/>
          <w:szCs w:val="28"/>
          <w:lang w:eastAsia="sk-SK"/>
        </w:rPr>
        <w:lastRenderedPageBreak/>
        <w:t>Analýza vplyvov na rozpočet verejnej správy,</w:t>
      </w:r>
    </w:p>
    <w:p w14:paraId="73439D2F" w14:textId="77777777" w:rsidR="00BD372F" w:rsidRPr="00BD372F" w:rsidRDefault="00BD372F" w:rsidP="00BD372F">
      <w:pPr>
        <w:spacing w:after="0" w:line="240" w:lineRule="auto"/>
        <w:jc w:val="center"/>
        <w:rPr>
          <w:rFonts w:ascii="Times New Roman" w:hAnsi="Times New Roman"/>
          <w:b/>
          <w:bCs/>
          <w:sz w:val="28"/>
          <w:szCs w:val="28"/>
          <w:lang w:eastAsia="sk-SK"/>
        </w:rPr>
      </w:pPr>
      <w:r w:rsidRPr="00BD372F">
        <w:rPr>
          <w:rFonts w:ascii="Times New Roman" w:hAnsi="Times New Roman"/>
          <w:b/>
          <w:bCs/>
          <w:sz w:val="28"/>
          <w:szCs w:val="28"/>
          <w:lang w:eastAsia="sk-SK"/>
        </w:rPr>
        <w:t>na zamestnanosť vo verejnej správe a financovanie návrhu</w:t>
      </w:r>
    </w:p>
    <w:p w14:paraId="03F200F3" w14:textId="77777777" w:rsidR="00BD372F" w:rsidRPr="00BD372F" w:rsidRDefault="00BD372F" w:rsidP="00BD372F">
      <w:pPr>
        <w:spacing w:after="0" w:line="240" w:lineRule="auto"/>
        <w:jc w:val="right"/>
        <w:rPr>
          <w:rFonts w:ascii="Times New Roman" w:hAnsi="Times New Roman"/>
          <w:b/>
          <w:bCs/>
          <w:sz w:val="24"/>
          <w:szCs w:val="24"/>
          <w:lang w:eastAsia="sk-SK"/>
        </w:rPr>
      </w:pPr>
    </w:p>
    <w:p w14:paraId="761B1AE7" w14:textId="77777777" w:rsidR="00BD372F" w:rsidRPr="00BD372F" w:rsidRDefault="00BD372F" w:rsidP="00BD372F">
      <w:pPr>
        <w:spacing w:after="0" w:line="240" w:lineRule="auto"/>
        <w:jc w:val="right"/>
        <w:rPr>
          <w:rFonts w:ascii="Times New Roman" w:hAnsi="Times New Roman"/>
          <w:b/>
          <w:bCs/>
          <w:sz w:val="24"/>
          <w:szCs w:val="24"/>
          <w:lang w:eastAsia="sk-SK"/>
        </w:rPr>
      </w:pPr>
    </w:p>
    <w:p w14:paraId="08E40BB4" w14:textId="77777777" w:rsidR="00BD372F" w:rsidRPr="00BD372F" w:rsidRDefault="00BD372F" w:rsidP="00BD372F">
      <w:pPr>
        <w:spacing w:after="0" w:line="240" w:lineRule="auto"/>
        <w:rPr>
          <w:rFonts w:ascii="Times New Roman" w:hAnsi="Times New Roman"/>
          <w:b/>
          <w:bCs/>
          <w:sz w:val="24"/>
          <w:szCs w:val="24"/>
          <w:lang w:eastAsia="sk-SK"/>
        </w:rPr>
      </w:pPr>
      <w:r w:rsidRPr="00BD372F">
        <w:rPr>
          <w:rFonts w:ascii="Times New Roman" w:hAnsi="Times New Roman"/>
          <w:b/>
          <w:bCs/>
          <w:sz w:val="24"/>
          <w:szCs w:val="24"/>
          <w:lang w:eastAsia="sk-SK"/>
        </w:rPr>
        <w:t>2.1 Zhrnutie vplyvov na rozpočet verejnej správy v návrhu</w:t>
      </w:r>
    </w:p>
    <w:p w14:paraId="2FA1AE91" w14:textId="77777777" w:rsidR="00BD372F" w:rsidRPr="00BD372F" w:rsidRDefault="00BD372F" w:rsidP="00BD372F">
      <w:pPr>
        <w:spacing w:after="0" w:line="240" w:lineRule="auto"/>
        <w:jc w:val="right"/>
        <w:rPr>
          <w:rFonts w:ascii="Times New Roman" w:hAnsi="Times New Roman"/>
          <w:sz w:val="20"/>
          <w:szCs w:val="20"/>
          <w:lang w:eastAsia="sk-SK"/>
        </w:rPr>
      </w:pPr>
      <w:r w:rsidRPr="00BD372F">
        <w:rPr>
          <w:rFonts w:ascii="Times New Roman" w:hAnsi="Times New Roman"/>
          <w:sz w:val="20"/>
          <w:szCs w:val="20"/>
          <w:lang w:eastAsia="sk-SK"/>
        </w:rPr>
        <w:t xml:space="preserve">Tabuľka č. 1/A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BD372F" w:rsidRPr="00BD372F" w14:paraId="19504E3D" w14:textId="77777777" w:rsidTr="00BD372F">
        <w:trPr>
          <w:cantSplit/>
          <w:trHeight w:val="194"/>
          <w:jc w:val="center"/>
        </w:trPr>
        <w:tc>
          <w:tcPr>
            <w:tcW w:w="4661" w:type="dxa"/>
            <w:vMerge w:val="restart"/>
            <w:shd w:val="clear" w:color="auto" w:fill="BFBFBF"/>
            <w:vAlign w:val="center"/>
          </w:tcPr>
          <w:p w14:paraId="68B2B0AA" w14:textId="77777777" w:rsidR="00BD372F" w:rsidRPr="00BD372F" w:rsidRDefault="00BD372F" w:rsidP="00BD372F">
            <w:pPr>
              <w:spacing w:after="0" w:line="240" w:lineRule="auto"/>
              <w:jc w:val="center"/>
              <w:rPr>
                <w:rFonts w:ascii="Times New Roman" w:hAnsi="Times New Roman"/>
                <w:b/>
                <w:bCs/>
                <w:sz w:val="24"/>
                <w:szCs w:val="24"/>
                <w:lang w:eastAsia="sk-SK"/>
              </w:rPr>
            </w:pPr>
            <w:bookmarkStart w:id="2" w:name="OLE_LINK1"/>
            <w:r w:rsidRPr="00BD372F">
              <w:rPr>
                <w:rFonts w:ascii="Times New Roman" w:hAnsi="Times New Roman"/>
                <w:b/>
                <w:bCs/>
                <w:sz w:val="24"/>
                <w:szCs w:val="24"/>
                <w:lang w:eastAsia="sk-SK"/>
              </w:rPr>
              <w:t>Vplyvy na rozpočet verejnej správy</w:t>
            </w:r>
          </w:p>
        </w:tc>
        <w:tc>
          <w:tcPr>
            <w:tcW w:w="5068" w:type="dxa"/>
            <w:gridSpan w:val="4"/>
            <w:shd w:val="clear" w:color="auto" w:fill="BFBFBF"/>
            <w:vAlign w:val="center"/>
          </w:tcPr>
          <w:p w14:paraId="2A30483E"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Vplyv na rozpočet verejnej správy (v eurách)</w:t>
            </w:r>
          </w:p>
        </w:tc>
      </w:tr>
      <w:tr w:rsidR="00BD372F" w:rsidRPr="00BD372F" w14:paraId="300DD131" w14:textId="77777777" w:rsidTr="00BD372F">
        <w:trPr>
          <w:cantSplit/>
          <w:trHeight w:val="70"/>
          <w:jc w:val="center"/>
        </w:trPr>
        <w:tc>
          <w:tcPr>
            <w:tcW w:w="4661" w:type="dxa"/>
            <w:vMerge/>
            <w:shd w:val="clear" w:color="auto" w:fill="BFBFBF"/>
            <w:vAlign w:val="center"/>
          </w:tcPr>
          <w:p w14:paraId="38D63A3A" w14:textId="77777777" w:rsidR="00BD372F" w:rsidRPr="00BD372F" w:rsidRDefault="00BD372F" w:rsidP="00BD372F">
            <w:pPr>
              <w:spacing w:after="0" w:line="240" w:lineRule="auto"/>
              <w:jc w:val="center"/>
              <w:rPr>
                <w:rFonts w:ascii="Times New Roman" w:hAnsi="Times New Roman"/>
                <w:b/>
                <w:bCs/>
                <w:sz w:val="24"/>
                <w:szCs w:val="24"/>
                <w:lang w:eastAsia="sk-SK"/>
              </w:rPr>
            </w:pPr>
          </w:p>
        </w:tc>
        <w:tc>
          <w:tcPr>
            <w:tcW w:w="1267" w:type="dxa"/>
            <w:shd w:val="clear" w:color="auto" w:fill="BFBFBF"/>
            <w:vAlign w:val="center"/>
          </w:tcPr>
          <w:p w14:paraId="0D84822A"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2025</w:t>
            </w:r>
          </w:p>
        </w:tc>
        <w:tc>
          <w:tcPr>
            <w:tcW w:w="1267" w:type="dxa"/>
            <w:shd w:val="clear" w:color="auto" w:fill="BFBFBF"/>
            <w:vAlign w:val="center"/>
          </w:tcPr>
          <w:p w14:paraId="2F82367D"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2026</w:t>
            </w:r>
          </w:p>
        </w:tc>
        <w:tc>
          <w:tcPr>
            <w:tcW w:w="1267" w:type="dxa"/>
            <w:shd w:val="clear" w:color="auto" w:fill="BFBFBF"/>
            <w:vAlign w:val="center"/>
          </w:tcPr>
          <w:p w14:paraId="317119DA"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2027</w:t>
            </w:r>
          </w:p>
        </w:tc>
        <w:tc>
          <w:tcPr>
            <w:tcW w:w="1267" w:type="dxa"/>
            <w:shd w:val="clear" w:color="auto" w:fill="BFBFBF"/>
            <w:vAlign w:val="center"/>
          </w:tcPr>
          <w:p w14:paraId="5AF97BC3"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2028</w:t>
            </w:r>
          </w:p>
        </w:tc>
      </w:tr>
      <w:tr w:rsidR="00BD372F" w:rsidRPr="00BD372F" w14:paraId="57BB71F3" w14:textId="77777777" w:rsidTr="00154BAB">
        <w:trPr>
          <w:trHeight w:val="70"/>
          <w:jc w:val="center"/>
        </w:trPr>
        <w:tc>
          <w:tcPr>
            <w:tcW w:w="4661" w:type="dxa"/>
            <w:shd w:val="clear" w:color="auto" w:fill="C0C0C0"/>
            <w:noWrap/>
            <w:vAlign w:val="center"/>
          </w:tcPr>
          <w:p w14:paraId="1D1F071D" w14:textId="77777777"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b/>
                <w:bCs/>
                <w:sz w:val="24"/>
                <w:szCs w:val="24"/>
                <w:lang w:eastAsia="sk-SK"/>
              </w:rPr>
              <w:t>Príjmy verejnej správy celkom</w:t>
            </w:r>
          </w:p>
        </w:tc>
        <w:tc>
          <w:tcPr>
            <w:tcW w:w="1267" w:type="dxa"/>
            <w:shd w:val="clear" w:color="auto" w:fill="C0C0C0"/>
            <w:vAlign w:val="center"/>
          </w:tcPr>
          <w:p w14:paraId="4A60B3DC" w14:textId="77777777" w:rsidR="00BD372F" w:rsidRPr="00BD372F" w:rsidRDefault="00BD372F" w:rsidP="00BD372F">
            <w:pPr>
              <w:spacing w:after="0" w:line="240" w:lineRule="auto"/>
              <w:jc w:val="right"/>
              <w:rPr>
                <w:rFonts w:ascii="Times New Roman" w:hAnsi="Times New Roman"/>
                <w:b/>
                <w:bCs/>
                <w:sz w:val="24"/>
                <w:szCs w:val="24"/>
                <w:lang w:eastAsia="sk-SK"/>
              </w:rPr>
            </w:pPr>
            <w:r w:rsidRPr="00BD372F">
              <w:rPr>
                <w:rFonts w:ascii="Times New Roman" w:hAnsi="Times New Roman"/>
                <w:b/>
                <w:bCs/>
                <w:sz w:val="24"/>
                <w:szCs w:val="24"/>
                <w:lang w:eastAsia="sk-SK"/>
              </w:rPr>
              <w:t>0</w:t>
            </w:r>
          </w:p>
        </w:tc>
        <w:tc>
          <w:tcPr>
            <w:tcW w:w="1267" w:type="dxa"/>
            <w:shd w:val="clear" w:color="auto" w:fill="C0C0C0"/>
            <w:vAlign w:val="center"/>
          </w:tcPr>
          <w:p w14:paraId="7AE0CDF8" w14:textId="77777777" w:rsidR="00BD372F" w:rsidRPr="00BD372F" w:rsidRDefault="00BD372F" w:rsidP="00BD372F">
            <w:pPr>
              <w:spacing w:after="0" w:line="240" w:lineRule="auto"/>
              <w:jc w:val="right"/>
              <w:rPr>
                <w:rFonts w:ascii="Times New Roman" w:hAnsi="Times New Roman"/>
                <w:b/>
                <w:bCs/>
                <w:sz w:val="24"/>
                <w:szCs w:val="24"/>
                <w:lang w:eastAsia="sk-SK"/>
              </w:rPr>
            </w:pPr>
            <w:r w:rsidRPr="00BD372F">
              <w:rPr>
                <w:rFonts w:ascii="Times New Roman" w:hAnsi="Times New Roman"/>
                <w:b/>
                <w:bCs/>
                <w:sz w:val="24"/>
                <w:szCs w:val="24"/>
                <w:lang w:eastAsia="sk-SK"/>
              </w:rPr>
              <w:t>0</w:t>
            </w:r>
          </w:p>
        </w:tc>
        <w:tc>
          <w:tcPr>
            <w:tcW w:w="1267" w:type="dxa"/>
            <w:shd w:val="clear" w:color="auto" w:fill="C0C0C0"/>
            <w:vAlign w:val="center"/>
          </w:tcPr>
          <w:p w14:paraId="1D4A9523" w14:textId="77777777" w:rsidR="00BD372F" w:rsidRPr="00BD372F" w:rsidRDefault="00BD372F" w:rsidP="00BD372F">
            <w:pPr>
              <w:spacing w:after="0" w:line="240" w:lineRule="auto"/>
              <w:jc w:val="right"/>
              <w:rPr>
                <w:rFonts w:ascii="Times New Roman" w:hAnsi="Times New Roman"/>
                <w:b/>
                <w:bCs/>
                <w:sz w:val="24"/>
                <w:szCs w:val="24"/>
                <w:lang w:eastAsia="sk-SK"/>
              </w:rPr>
            </w:pPr>
            <w:r w:rsidRPr="00BD372F">
              <w:rPr>
                <w:rFonts w:ascii="Times New Roman" w:hAnsi="Times New Roman"/>
                <w:b/>
                <w:bCs/>
                <w:sz w:val="24"/>
                <w:szCs w:val="24"/>
                <w:lang w:eastAsia="sk-SK"/>
              </w:rPr>
              <w:t>0</w:t>
            </w:r>
          </w:p>
        </w:tc>
        <w:tc>
          <w:tcPr>
            <w:tcW w:w="1267" w:type="dxa"/>
            <w:shd w:val="clear" w:color="auto" w:fill="C0C0C0"/>
            <w:vAlign w:val="center"/>
          </w:tcPr>
          <w:p w14:paraId="514824DF" w14:textId="77777777" w:rsidR="00BD372F" w:rsidRPr="00BD372F" w:rsidRDefault="00BD372F" w:rsidP="00BD372F">
            <w:pPr>
              <w:spacing w:after="0" w:line="240" w:lineRule="auto"/>
              <w:jc w:val="right"/>
              <w:rPr>
                <w:rFonts w:ascii="Times New Roman" w:hAnsi="Times New Roman"/>
                <w:b/>
                <w:bCs/>
                <w:sz w:val="24"/>
                <w:szCs w:val="24"/>
                <w:lang w:eastAsia="sk-SK"/>
              </w:rPr>
            </w:pPr>
            <w:r w:rsidRPr="00BD372F">
              <w:rPr>
                <w:rFonts w:ascii="Times New Roman" w:hAnsi="Times New Roman"/>
                <w:b/>
                <w:bCs/>
                <w:sz w:val="24"/>
                <w:szCs w:val="24"/>
                <w:lang w:eastAsia="sk-SK"/>
              </w:rPr>
              <w:t>0</w:t>
            </w:r>
          </w:p>
        </w:tc>
      </w:tr>
      <w:tr w:rsidR="00BD372F" w:rsidRPr="00BD372F" w14:paraId="66B94947" w14:textId="77777777" w:rsidTr="00154BAB">
        <w:trPr>
          <w:trHeight w:val="132"/>
          <w:jc w:val="center"/>
        </w:trPr>
        <w:tc>
          <w:tcPr>
            <w:tcW w:w="4661" w:type="dxa"/>
            <w:noWrap/>
            <w:vAlign w:val="center"/>
          </w:tcPr>
          <w:p w14:paraId="4D0F698B" w14:textId="77777777"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sz w:val="24"/>
                <w:szCs w:val="24"/>
                <w:lang w:eastAsia="sk-SK"/>
              </w:rPr>
              <w:t>v tom: za každý subjekt verejnej správy zvlášť</w:t>
            </w:r>
          </w:p>
        </w:tc>
        <w:tc>
          <w:tcPr>
            <w:tcW w:w="1267" w:type="dxa"/>
            <w:noWrap/>
            <w:vAlign w:val="center"/>
          </w:tcPr>
          <w:p w14:paraId="6350D369" w14:textId="77777777" w:rsidR="00BD372F" w:rsidRPr="00BD372F" w:rsidRDefault="00BD372F" w:rsidP="00BD372F">
            <w:pPr>
              <w:spacing w:after="0" w:line="240" w:lineRule="auto"/>
              <w:jc w:val="right"/>
              <w:rPr>
                <w:rFonts w:ascii="Times New Roman" w:hAnsi="Times New Roman"/>
                <w:sz w:val="24"/>
                <w:szCs w:val="24"/>
                <w:lang w:eastAsia="sk-SK"/>
              </w:rPr>
            </w:pPr>
            <w:r w:rsidRPr="00BD372F">
              <w:rPr>
                <w:rFonts w:ascii="Times New Roman" w:hAnsi="Times New Roman"/>
                <w:sz w:val="24"/>
                <w:szCs w:val="24"/>
                <w:lang w:eastAsia="sk-SK"/>
              </w:rPr>
              <w:t>0</w:t>
            </w:r>
          </w:p>
        </w:tc>
        <w:tc>
          <w:tcPr>
            <w:tcW w:w="1267" w:type="dxa"/>
            <w:noWrap/>
            <w:vAlign w:val="center"/>
          </w:tcPr>
          <w:p w14:paraId="2ECB3BC9" w14:textId="77777777" w:rsidR="00BD372F" w:rsidRPr="00BD372F" w:rsidRDefault="00BD372F" w:rsidP="00BD372F">
            <w:pPr>
              <w:spacing w:after="0" w:line="240" w:lineRule="auto"/>
              <w:jc w:val="right"/>
              <w:rPr>
                <w:rFonts w:ascii="Times New Roman" w:hAnsi="Times New Roman"/>
                <w:sz w:val="24"/>
                <w:szCs w:val="24"/>
                <w:lang w:eastAsia="sk-SK"/>
              </w:rPr>
            </w:pPr>
            <w:r w:rsidRPr="00BD372F">
              <w:rPr>
                <w:rFonts w:ascii="Times New Roman" w:hAnsi="Times New Roman"/>
                <w:sz w:val="24"/>
                <w:szCs w:val="24"/>
                <w:lang w:eastAsia="sk-SK"/>
              </w:rPr>
              <w:t>0</w:t>
            </w:r>
          </w:p>
        </w:tc>
        <w:tc>
          <w:tcPr>
            <w:tcW w:w="1267" w:type="dxa"/>
            <w:noWrap/>
            <w:vAlign w:val="center"/>
          </w:tcPr>
          <w:p w14:paraId="45C1634A" w14:textId="77777777" w:rsidR="00BD372F" w:rsidRPr="00BD372F" w:rsidRDefault="00BD372F" w:rsidP="00BD372F">
            <w:pPr>
              <w:spacing w:after="0" w:line="240" w:lineRule="auto"/>
              <w:jc w:val="right"/>
              <w:rPr>
                <w:rFonts w:ascii="Times New Roman" w:hAnsi="Times New Roman"/>
                <w:sz w:val="24"/>
                <w:szCs w:val="24"/>
                <w:lang w:eastAsia="sk-SK"/>
              </w:rPr>
            </w:pPr>
            <w:r w:rsidRPr="00BD372F">
              <w:rPr>
                <w:rFonts w:ascii="Times New Roman" w:hAnsi="Times New Roman"/>
                <w:sz w:val="24"/>
                <w:szCs w:val="24"/>
                <w:lang w:eastAsia="sk-SK"/>
              </w:rPr>
              <w:t>0</w:t>
            </w:r>
          </w:p>
        </w:tc>
        <w:tc>
          <w:tcPr>
            <w:tcW w:w="1267" w:type="dxa"/>
            <w:noWrap/>
            <w:vAlign w:val="center"/>
          </w:tcPr>
          <w:p w14:paraId="270ADC7C" w14:textId="77777777" w:rsidR="00BD372F" w:rsidRPr="00BD372F" w:rsidRDefault="00BD372F" w:rsidP="00BD372F">
            <w:pPr>
              <w:spacing w:after="0" w:line="240" w:lineRule="auto"/>
              <w:jc w:val="right"/>
              <w:rPr>
                <w:rFonts w:ascii="Times New Roman" w:hAnsi="Times New Roman"/>
                <w:sz w:val="24"/>
                <w:szCs w:val="24"/>
                <w:lang w:eastAsia="sk-SK"/>
              </w:rPr>
            </w:pPr>
            <w:r w:rsidRPr="00BD372F">
              <w:rPr>
                <w:rFonts w:ascii="Times New Roman" w:hAnsi="Times New Roman"/>
                <w:sz w:val="24"/>
                <w:szCs w:val="24"/>
                <w:lang w:eastAsia="sk-SK"/>
              </w:rPr>
              <w:t>0</w:t>
            </w:r>
          </w:p>
        </w:tc>
      </w:tr>
      <w:tr w:rsidR="00BD372F" w:rsidRPr="00BD372F" w14:paraId="74409485" w14:textId="77777777" w:rsidTr="00154BAB">
        <w:trPr>
          <w:trHeight w:val="70"/>
          <w:jc w:val="center"/>
        </w:trPr>
        <w:tc>
          <w:tcPr>
            <w:tcW w:w="4661" w:type="dxa"/>
            <w:noWrap/>
            <w:vAlign w:val="center"/>
          </w:tcPr>
          <w:p w14:paraId="6D3D0687" w14:textId="77777777" w:rsidR="00BD372F" w:rsidRPr="00BD372F" w:rsidRDefault="00BD372F" w:rsidP="00BD372F">
            <w:pPr>
              <w:spacing w:after="0" w:line="240" w:lineRule="auto"/>
              <w:rPr>
                <w:rFonts w:ascii="Times New Roman" w:hAnsi="Times New Roman"/>
                <w:b/>
                <w:bCs/>
                <w:i/>
                <w:iCs/>
                <w:sz w:val="24"/>
                <w:szCs w:val="24"/>
                <w:lang w:eastAsia="sk-SK"/>
              </w:rPr>
            </w:pPr>
            <w:r w:rsidRPr="00BD372F">
              <w:rPr>
                <w:rFonts w:ascii="Times New Roman" w:hAnsi="Times New Roman"/>
                <w:b/>
                <w:bCs/>
                <w:i/>
                <w:iCs/>
                <w:sz w:val="24"/>
                <w:szCs w:val="24"/>
                <w:lang w:eastAsia="sk-SK"/>
              </w:rPr>
              <w:t xml:space="preserve">z toho:  </w:t>
            </w:r>
          </w:p>
        </w:tc>
        <w:tc>
          <w:tcPr>
            <w:tcW w:w="1267" w:type="dxa"/>
            <w:noWrap/>
            <w:vAlign w:val="center"/>
          </w:tcPr>
          <w:p w14:paraId="59304BCC" w14:textId="77777777" w:rsidR="00BD372F" w:rsidRPr="00BD372F" w:rsidRDefault="00BD372F" w:rsidP="00BD372F">
            <w:pPr>
              <w:spacing w:after="0" w:line="240" w:lineRule="auto"/>
              <w:jc w:val="right"/>
              <w:rPr>
                <w:rFonts w:ascii="Times New Roman" w:hAnsi="Times New Roman"/>
                <w:b/>
                <w:bCs/>
                <w:iCs/>
                <w:sz w:val="24"/>
                <w:szCs w:val="24"/>
                <w:lang w:eastAsia="sk-SK"/>
              </w:rPr>
            </w:pPr>
          </w:p>
        </w:tc>
        <w:tc>
          <w:tcPr>
            <w:tcW w:w="1267" w:type="dxa"/>
            <w:noWrap/>
            <w:vAlign w:val="center"/>
          </w:tcPr>
          <w:p w14:paraId="2CD8BA89" w14:textId="77777777" w:rsidR="00BD372F" w:rsidRPr="00BD372F" w:rsidRDefault="00BD372F" w:rsidP="00BD372F">
            <w:pPr>
              <w:spacing w:after="0" w:line="240" w:lineRule="auto"/>
              <w:jc w:val="right"/>
              <w:rPr>
                <w:rFonts w:ascii="Times New Roman" w:hAnsi="Times New Roman"/>
                <w:b/>
                <w:bCs/>
                <w:iCs/>
                <w:sz w:val="24"/>
                <w:szCs w:val="24"/>
                <w:lang w:eastAsia="sk-SK"/>
              </w:rPr>
            </w:pPr>
          </w:p>
        </w:tc>
        <w:tc>
          <w:tcPr>
            <w:tcW w:w="1267" w:type="dxa"/>
            <w:noWrap/>
            <w:vAlign w:val="center"/>
          </w:tcPr>
          <w:p w14:paraId="1178E30D" w14:textId="77777777" w:rsidR="00BD372F" w:rsidRPr="00BD372F" w:rsidRDefault="00BD372F" w:rsidP="00BD372F">
            <w:pPr>
              <w:spacing w:after="0" w:line="240" w:lineRule="auto"/>
              <w:jc w:val="right"/>
              <w:rPr>
                <w:rFonts w:ascii="Times New Roman" w:hAnsi="Times New Roman"/>
                <w:b/>
                <w:bCs/>
                <w:iCs/>
                <w:sz w:val="24"/>
                <w:szCs w:val="24"/>
                <w:lang w:eastAsia="sk-SK"/>
              </w:rPr>
            </w:pPr>
          </w:p>
        </w:tc>
        <w:tc>
          <w:tcPr>
            <w:tcW w:w="1267" w:type="dxa"/>
            <w:noWrap/>
            <w:vAlign w:val="center"/>
          </w:tcPr>
          <w:p w14:paraId="65AB35EC" w14:textId="77777777" w:rsidR="00BD372F" w:rsidRPr="00BD372F" w:rsidRDefault="00BD372F" w:rsidP="00BD372F">
            <w:pPr>
              <w:spacing w:after="0" w:line="240" w:lineRule="auto"/>
              <w:jc w:val="right"/>
              <w:rPr>
                <w:rFonts w:ascii="Times New Roman" w:hAnsi="Times New Roman"/>
                <w:b/>
                <w:bCs/>
                <w:iCs/>
                <w:sz w:val="24"/>
                <w:szCs w:val="24"/>
                <w:lang w:eastAsia="sk-SK"/>
              </w:rPr>
            </w:pPr>
          </w:p>
        </w:tc>
      </w:tr>
      <w:tr w:rsidR="00BD372F" w:rsidRPr="00BD372F" w14:paraId="0F9E5FCA" w14:textId="77777777" w:rsidTr="00154BAB">
        <w:trPr>
          <w:trHeight w:val="125"/>
          <w:jc w:val="center"/>
        </w:trPr>
        <w:tc>
          <w:tcPr>
            <w:tcW w:w="4661" w:type="dxa"/>
            <w:noWrap/>
            <w:vAlign w:val="center"/>
          </w:tcPr>
          <w:p w14:paraId="6C8EA0D5" w14:textId="77777777" w:rsidR="00BD372F" w:rsidRPr="00BD372F" w:rsidRDefault="00BD372F" w:rsidP="00BD372F">
            <w:pPr>
              <w:spacing w:after="0" w:line="240" w:lineRule="auto"/>
              <w:rPr>
                <w:rFonts w:ascii="Times New Roman" w:hAnsi="Times New Roman"/>
                <w:b/>
                <w:bCs/>
                <w:i/>
                <w:iCs/>
                <w:sz w:val="24"/>
                <w:szCs w:val="24"/>
                <w:lang w:eastAsia="sk-SK"/>
              </w:rPr>
            </w:pPr>
            <w:r w:rsidRPr="00BD372F">
              <w:rPr>
                <w:rFonts w:ascii="Times New Roman" w:hAnsi="Times New Roman"/>
                <w:b/>
                <w:bCs/>
                <w:i/>
                <w:iCs/>
                <w:sz w:val="24"/>
                <w:szCs w:val="24"/>
                <w:lang w:eastAsia="sk-SK"/>
              </w:rPr>
              <w:t>- vplyv na ŠR</w:t>
            </w:r>
          </w:p>
        </w:tc>
        <w:tc>
          <w:tcPr>
            <w:tcW w:w="1267" w:type="dxa"/>
            <w:noWrap/>
            <w:vAlign w:val="center"/>
          </w:tcPr>
          <w:p w14:paraId="36BD0896"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c>
          <w:tcPr>
            <w:tcW w:w="1267" w:type="dxa"/>
            <w:noWrap/>
            <w:vAlign w:val="center"/>
          </w:tcPr>
          <w:p w14:paraId="0CFF2A0D"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c>
          <w:tcPr>
            <w:tcW w:w="1267" w:type="dxa"/>
            <w:noWrap/>
            <w:vAlign w:val="center"/>
          </w:tcPr>
          <w:p w14:paraId="33FCFA1B"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c>
          <w:tcPr>
            <w:tcW w:w="1267" w:type="dxa"/>
            <w:noWrap/>
            <w:vAlign w:val="center"/>
          </w:tcPr>
          <w:p w14:paraId="0B13BF4B"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r>
      <w:tr w:rsidR="00BD372F" w:rsidRPr="00BD372F" w14:paraId="17BFC813" w14:textId="77777777" w:rsidTr="00154BAB">
        <w:trPr>
          <w:trHeight w:val="125"/>
          <w:jc w:val="center"/>
        </w:trPr>
        <w:tc>
          <w:tcPr>
            <w:tcW w:w="4661" w:type="dxa"/>
            <w:noWrap/>
            <w:vAlign w:val="center"/>
          </w:tcPr>
          <w:p w14:paraId="49CD7D0F" w14:textId="77777777" w:rsidR="00BD372F" w:rsidRPr="00BD372F" w:rsidRDefault="00BD372F" w:rsidP="00BD372F">
            <w:pPr>
              <w:spacing w:after="0" w:line="240" w:lineRule="auto"/>
              <w:rPr>
                <w:rFonts w:ascii="Times New Roman" w:hAnsi="Times New Roman"/>
                <w:b/>
                <w:bCs/>
                <w:i/>
                <w:iCs/>
                <w:sz w:val="24"/>
                <w:szCs w:val="24"/>
                <w:lang w:eastAsia="sk-SK"/>
              </w:rPr>
            </w:pPr>
            <w:r w:rsidRPr="00BD372F">
              <w:rPr>
                <w:rFonts w:ascii="Times New Roman" w:hAnsi="Times New Roman"/>
                <w:bCs/>
                <w:i/>
                <w:iCs/>
                <w:sz w:val="24"/>
                <w:szCs w:val="24"/>
                <w:lang w:eastAsia="sk-SK"/>
              </w:rPr>
              <w:t>Rozpočtové prostriedky</w:t>
            </w:r>
          </w:p>
        </w:tc>
        <w:tc>
          <w:tcPr>
            <w:tcW w:w="1267" w:type="dxa"/>
            <w:noWrap/>
            <w:vAlign w:val="center"/>
          </w:tcPr>
          <w:p w14:paraId="6B437686"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c>
          <w:tcPr>
            <w:tcW w:w="1267" w:type="dxa"/>
            <w:noWrap/>
            <w:vAlign w:val="center"/>
          </w:tcPr>
          <w:p w14:paraId="1626D6DD"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c>
          <w:tcPr>
            <w:tcW w:w="1267" w:type="dxa"/>
            <w:noWrap/>
            <w:vAlign w:val="center"/>
          </w:tcPr>
          <w:p w14:paraId="6B0D8A37"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c>
          <w:tcPr>
            <w:tcW w:w="1267" w:type="dxa"/>
            <w:noWrap/>
            <w:vAlign w:val="center"/>
          </w:tcPr>
          <w:p w14:paraId="017C4716"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r>
      <w:tr w:rsidR="00BD372F" w:rsidRPr="00BD372F" w14:paraId="3941DC19" w14:textId="77777777" w:rsidTr="00154BAB">
        <w:trPr>
          <w:trHeight w:val="125"/>
          <w:jc w:val="center"/>
        </w:trPr>
        <w:tc>
          <w:tcPr>
            <w:tcW w:w="4661" w:type="dxa"/>
            <w:noWrap/>
            <w:vAlign w:val="center"/>
          </w:tcPr>
          <w:p w14:paraId="336B3368" w14:textId="77777777" w:rsidR="00BD372F" w:rsidRPr="00BD372F" w:rsidRDefault="00BD372F" w:rsidP="00BD372F">
            <w:pPr>
              <w:spacing w:after="0" w:line="240" w:lineRule="auto"/>
              <w:rPr>
                <w:rFonts w:ascii="Times New Roman" w:hAnsi="Times New Roman"/>
                <w:bCs/>
                <w:i/>
                <w:iCs/>
                <w:sz w:val="24"/>
                <w:szCs w:val="24"/>
                <w:lang w:eastAsia="sk-SK"/>
              </w:rPr>
            </w:pPr>
            <w:r w:rsidRPr="00BD372F">
              <w:rPr>
                <w:rFonts w:ascii="Times New Roman" w:hAnsi="Times New Roman"/>
                <w:bCs/>
                <w:i/>
                <w:iCs/>
                <w:sz w:val="24"/>
                <w:szCs w:val="24"/>
                <w:lang w:eastAsia="sk-SK"/>
              </w:rPr>
              <w:t>EÚ zdroje</w:t>
            </w:r>
          </w:p>
        </w:tc>
        <w:tc>
          <w:tcPr>
            <w:tcW w:w="1267" w:type="dxa"/>
            <w:noWrap/>
            <w:vAlign w:val="center"/>
          </w:tcPr>
          <w:p w14:paraId="329FEC18" w14:textId="77777777" w:rsidR="00BD372F" w:rsidRPr="00BD372F" w:rsidRDefault="00BD372F" w:rsidP="00BD372F">
            <w:pPr>
              <w:spacing w:after="0" w:line="240" w:lineRule="auto"/>
              <w:jc w:val="right"/>
              <w:rPr>
                <w:rFonts w:ascii="Times New Roman" w:hAnsi="Times New Roman"/>
                <w:sz w:val="24"/>
                <w:szCs w:val="24"/>
                <w:lang w:eastAsia="sk-SK"/>
              </w:rPr>
            </w:pPr>
            <w:r w:rsidRPr="00BD372F">
              <w:rPr>
                <w:rFonts w:ascii="Times New Roman" w:hAnsi="Times New Roman"/>
                <w:sz w:val="24"/>
                <w:szCs w:val="24"/>
                <w:lang w:eastAsia="sk-SK"/>
              </w:rPr>
              <w:t>0</w:t>
            </w:r>
          </w:p>
        </w:tc>
        <w:tc>
          <w:tcPr>
            <w:tcW w:w="1267" w:type="dxa"/>
            <w:noWrap/>
            <w:vAlign w:val="center"/>
          </w:tcPr>
          <w:p w14:paraId="3C31259B" w14:textId="77777777" w:rsidR="00BD372F" w:rsidRPr="00BD372F" w:rsidRDefault="00BD372F" w:rsidP="00BD372F">
            <w:pPr>
              <w:spacing w:after="0" w:line="240" w:lineRule="auto"/>
              <w:jc w:val="right"/>
              <w:rPr>
                <w:rFonts w:ascii="Times New Roman" w:hAnsi="Times New Roman"/>
                <w:sz w:val="24"/>
                <w:szCs w:val="24"/>
                <w:lang w:eastAsia="sk-SK"/>
              </w:rPr>
            </w:pPr>
            <w:r w:rsidRPr="00BD372F">
              <w:rPr>
                <w:rFonts w:ascii="Times New Roman" w:hAnsi="Times New Roman"/>
                <w:sz w:val="24"/>
                <w:szCs w:val="24"/>
                <w:lang w:eastAsia="sk-SK"/>
              </w:rPr>
              <w:t>0</w:t>
            </w:r>
          </w:p>
        </w:tc>
        <w:tc>
          <w:tcPr>
            <w:tcW w:w="1267" w:type="dxa"/>
            <w:noWrap/>
            <w:vAlign w:val="center"/>
          </w:tcPr>
          <w:p w14:paraId="447C7513" w14:textId="77777777" w:rsidR="00BD372F" w:rsidRPr="00BD372F" w:rsidRDefault="00BD372F" w:rsidP="00BD372F">
            <w:pPr>
              <w:spacing w:after="0" w:line="240" w:lineRule="auto"/>
              <w:jc w:val="right"/>
              <w:rPr>
                <w:rFonts w:ascii="Times New Roman" w:hAnsi="Times New Roman"/>
                <w:sz w:val="24"/>
                <w:szCs w:val="24"/>
                <w:lang w:eastAsia="sk-SK"/>
              </w:rPr>
            </w:pPr>
            <w:r w:rsidRPr="00BD372F">
              <w:rPr>
                <w:rFonts w:ascii="Times New Roman" w:hAnsi="Times New Roman"/>
                <w:sz w:val="24"/>
                <w:szCs w:val="24"/>
                <w:lang w:eastAsia="sk-SK"/>
              </w:rPr>
              <w:t>0</w:t>
            </w:r>
          </w:p>
        </w:tc>
        <w:tc>
          <w:tcPr>
            <w:tcW w:w="1267" w:type="dxa"/>
            <w:noWrap/>
            <w:vAlign w:val="center"/>
          </w:tcPr>
          <w:p w14:paraId="75A44040" w14:textId="77777777" w:rsidR="00BD372F" w:rsidRPr="00BD372F" w:rsidRDefault="00BD372F" w:rsidP="00BD372F">
            <w:pPr>
              <w:spacing w:after="0" w:line="240" w:lineRule="auto"/>
              <w:jc w:val="right"/>
              <w:rPr>
                <w:rFonts w:ascii="Times New Roman" w:hAnsi="Times New Roman"/>
                <w:sz w:val="24"/>
                <w:szCs w:val="24"/>
                <w:lang w:eastAsia="sk-SK"/>
              </w:rPr>
            </w:pPr>
            <w:r w:rsidRPr="00BD372F">
              <w:rPr>
                <w:rFonts w:ascii="Times New Roman" w:hAnsi="Times New Roman"/>
                <w:sz w:val="24"/>
                <w:szCs w:val="24"/>
                <w:lang w:eastAsia="sk-SK"/>
              </w:rPr>
              <w:t>0</w:t>
            </w:r>
          </w:p>
        </w:tc>
      </w:tr>
      <w:tr w:rsidR="00BD372F" w:rsidRPr="00BD372F" w14:paraId="39001F0F" w14:textId="77777777" w:rsidTr="00154BAB">
        <w:trPr>
          <w:trHeight w:val="125"/>
          <w:jc w:val="center"/>
        </w:trPr>
        <w:tc>
          <w:tcPr>
            <w:tcW w:w="4661" w:type="dxa"/>
            <w:noWrap/>
            <w:vAlign w:val="center"/>
          </w:tcPr>
          <w:p w14:paraId="2EA586DF" w14:textId="77777777" w:rsidR="00BD372F" w:rsidRPr="00BD372F" w:rsidRDefault="00BD372F" w:rsidP="00BD372F">
            <w:pPr>
              <w:spacing w:after="0" w:line="240" w:lineRule="auto"/>
              <w:rPr>
                <w:rFonts w:ascii="Times New Roman" w:hAnsi="Times New Roman"/>
                <w:b/>
                <w:bCs/>
                <w:i/>
                <w:iCs/>
                <w:sz w:val="24"/>
                <w:szCs w:val="24"/>
                <w:lang w:eastAsia="sk-SK"/>
              </w:rPr>
            </w:pPr>
            <w:r w:rsidRPr="00BD372F">
              <w:rPr>
                <w:rFonts w:ascii="Times New Roman" w:hAnsi="Times New Roman"/>
                <w:b/>
                <w:bCs/>
                <w:i/>
                <w:iCs/>
                <w:sz w:val="24"/>
                <w:szCs w:val="24"/>
                <w:lang w:eastAsia="sk-SK"/>
              </w:rPr>
              <w:t>- vplyv na obce</w:t>
            </w:r>
          </w:p>
        </w:tc>
        <w:tc>
          <w:tcPr>
            <w:tcW w:w="1267" w:type="dxa"/>
            <w:noWrap/>
            <w:vAlign w:val="center"/>
          </w:tcPr>
          <w:p w14:paraId="1F33E00C"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c>
          <w:tcPr>
            <w:tcW w:w="1267" w:type="dxa"/>
            <w:noWrap/>
            <w:vAlign w:val="center"/>
          </w:tcPr>
          <w:p w14:paraId="2426E754"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c>
          <w:tcPr>
            <w:tcW w:w="1267" w:type="dxa"/>
            <w:noWrap/>
            <w:vAlign w:val="center"/>
          </w:tcPr>
          <w:p w14:paraId="0385597C"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c>
          <w:tcPr>
            <w:tcW w:w="1267" w:type="dxa"/>
            <w:noWrap/>
            <w:vAlign w:val="center"/>
          </w:tcPr>
          <w:p w14:paraId="2DC6A6F7"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r>
      <w:tr w:rsidR="00BD372F" w:rsidRPr="00BD372F" w14:paraId="108E8FB6" w14:textId="77777777" w:rsidTr="00154BAB">
        <w:trPr>
          <w:trHeight w:val="125"/>
          <w:jc w:val="center"/>
        </w:trPr>
        <w:tc>
          <w:tcPr>
            <w:tcW w:w="4661" w:type="dxa"/>
            <w:noWrap/>
            <w:vAlign w:val="center"/>
          </w:tcPr>
          <w:p w14:paraId="54B4474F" w14:textId="77777777" w:rsidR="00BD372F" w:rsidRPr="00BD372F" w:rsidRDefault="00BD372F" w:rsidP="00BD372F">
            <w:pPr>
              <w:spacing w:after="0" w:line="240" w:lineRule="auto"/>
              <w:rPr>
                <w:rFonts w:ascii="Times New Roman" w:hAnsi="Times New Roman"/>
                <w:b/>
                <w:bCs/>
                <w:i/>
                <w:iCs/>
                <w:sz w:val="24"/>
                <w:szCs w:val="24"/>
                <w:lang w:eastAsia="sk-SK"/>
              </w:rPr>
            </w:pPr>
            <w:r w:rsidRPr="00BD372F">
              <w:rPr>
                <w:rFonts w:ascii="Times New Roman" w:hAnsi="Times New Roman"/>
                <w:b/>
                <w:bCs/>
                <w:i/>
                <w:iCs/>
                <w:sz w:val="24"/>
                <w:szCs w:val="24"/>
                <w:lang w:eastAsia="sk-SK"/>
              </w:rPr>
              <w:t>- vplyv na vyššie územné celky</w:t>
            </w:r>
          </w:p>
        </w:tc>
        <w:tc>
          <w:tcPr>
            <w:tcW w:w="1267" w:type="dxa"/>
            <w:noWrap/>
            <w:vAlign w:val="center"/>
          </w:tcPr>
          <w:p w14:paraId="232078C5"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c>
          <w:tcPr>
            <w:tcW w:w="1267" w:type="dxa"/>
            <w:noWrap/>
            <w:vAlign w:val="center"/>
          </w:tcPr>
          <w:p w14:paraId="2FC5D397"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c>
          <w:tcPr>
            <w:tcW w:w="1267" w:type="dxa"/>
            <w:noWrap/>
            <w:vAlign w:val="center"/>
          </w:tcPr>
          <w:p w14:paraId="53532045"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c>
          <w:tcPr>
            <w:tcW w:w="1267" w:type="dxa"/>
            <w:noWrap/>
            <w:vAlign w:val="center"/>
          </w:tcPr>
          <w:p w14:paraId="3709DDCB"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r>
      <w:tr w:rsidR="00BD372F" w:rsidRPr="00BD372F" w14:paraId="6FBE1735" w14:textId="77777777" w:rsidTr="00154BAB">
        <w:trPr>
          <w:trHeight w:val="125"/>
          <w:jc w:val="center"/>
        </w:trPr>
        <w:tc>
          <w:tcPr>
            <w:tcW w:w="4661" w:type="dxa"/>
            <w:noWrap/>
            <w:vAlign w:val="center"/>
          </w:tcPr>
          <w:p w14:paraId="482C0039" w14:textId="77777777" w:rsidR="00BD372F" w:rsidRPr="00BD372F" w:rsidRDefault="00BD372F" w:rsidP="00BD372F">
            <w:pPr>
              <w:spacing w:after="0" w:line="240" w:lineRule="auto"/>
              <w:rPr>
                <w:rFonts w:ascii="Times New Roman" w:hAnsi="Times New Roman"/>
                <w:b/>
                <w:bCs/>
                <w:i/>
                <w:iCs/>
                <w:sz w:val="24"/>
                <w:szCs w:val="24"/>
                <w:lang w:eastAsia="sk-SK"/>
              </w:rPr>
            </w:pPr>
            <w:r w:rsidRPr="00BD372F">
              <w:rPr>
                <w:rFonts w:ascii="Times New Roman" w:hAnsi="Times New Roman"/>
                <w:b/>
                <w:bCs/>
                <w:i/>
                <w:iCs/>
                <w:sz w:val="24"/>
                <w:szCs w:val="24"/>
                <w:lang w:eastAsia="sk-SK"/>
              </w:rPr>
              <w:t>- vplyv na ostatné subjekty verejnej správy</w:t>
            </w:r>
          </w:p>
        </w:tc>
        <w:tc>
          <w:tcPr>
            <w:tcW w:w="1267" w:type="dxa"/>
            <w:noWrap/>
            <w:vAlign w:val="center"/>
          </w:tcPr>
          <w:p w14:paraId="5B117302"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c>
          <w:tcPr>
            <w:tcW w:w="1267" w:type="dxa"/>
            <w:noWrap/>
            <w:vAlign w:val="center"/>
          </w:tcPr>
          <w:p w14:paraId="4775E792"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c>
          <w:tcPr>
            <w:tcW w:w="1267" w:type="dxa"/>
            <w:noWrap/>
            <w:vAlign w:val="center"/>
          </w:tcPr>
          <w:p w14:paraId="1141AFB2"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c>
          <w:tcPr>
            <w:tcW w:w="1267" w:type="dxa"/>
            <w:noWrap/>
            <w:vAlign w:val="center"/>
          </w:tcPr>
          <w:p w14:paraId="1FFE0979"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r>
      <w:tr w:rsidR="00BD372F" w:rsidRPr="00BD372F" w14:paraId="14B03DB0" w14:textId="77777777" w:rsidTr="00154BAB">
        <w:trPr>
          <w:trHeight w:val="125"/>
          <w:jc w:val="center"/>
        </w:trPr>
        <w:tc>
          <w:tcPr>
            <w:tcW w:w="4661" w:type="dxa"/>
            <w:shd w:val="clear" w:color="auto" w:fill="C0C0C0"/>
            <w:noWrap/>
            <w:vAlign w:val="center"/>
          </w:tcPr>
          <w:p w14:paraId="6A8D4B8E" w14:textId="77777777" w:rsidR="00BD372F" w:rsidRPr="00BD372F" w:rsidRDefault="00BD372F" w:rsidP="00BD372F">
            <w:pPr>
              <w:spacing w:after="0" w:line="240" w:lineRule="auto"/>
              <w:rPr>
                <w:rFonts w:ascii="Times New Roman" w:hAnsi="Times New Roman"/>
                <w:b/>
                <w:bCs/>
                <w:sz w:val="24"/>
                <w:szCs w:val="24"/>
                <w:lang w:eastAsia="sk-SK"/>
              </w:rPr>
            </w:pPr>
            <w:r w:rsidRPr="00BD372F">
              <w:rPr>
                <w:rFonts w:ascii="Times New Roman" w:hAnsi="Times New Roman"/>
                <w:b/>
                <w:bCs/>
                <w:sz w:val="24"/>
                <w:szCs w:val="24"/>
                <w:lang w:eastAsia="sk-SK"/>
              </w:rPr>
              <w:t>Výdavky verejnej správy celkom</w:t>
            </w:r>
          </w:p>
        </w:tc>
        <w:tc>
          <w:tcPr>
            <w:tcW w:w="1267" w:type="dxa"/>
            <w:shd w:val="clear" w:color="auto" w:fill="C0C0C0"/>
            <w:noWrap/>
            <w:vAlign w:val="center"/>
          </w:tcPr>
          <w:p w14:paraId="499877CD" w14:textId="77777777" w:rsidR="00BD372F" w:rsidRPr="00BD372F" w:rsidRDefault="00BD372F" w:rsidP="00BD372F">
            <w:pPr>
              <w:spacing w:after="0" w:line="240" w:lineRule="auto"/>
              <w:jc w:val="right"/>
              <w:rPr>
                <w:rFonts w:ascii="Times New Roman" w:hAnsi="Times New Roman"/>
                <w:b/>
                <w:sz w:val="24"/>
                <w:szCs w:val="24"/>
                <w:lang w:eastAsia="sk-SK"/>
              </w:rPr>
            </w:pPr>
            <w:r w:rsidRPr="00BD372F">
              <w:rPr>
                <w:rFonts w:ascii="Times New Roman" w:hAnsi="Times New Roman"/>
                <w:b/>
                <w:sz w:val="24"/>
                <w:szCs w:val="24"/>
                <w:lang w:eastAsia="sk-SK"/>
              </w:rPr>
              <w:t>473 788</w:t>
            </w:r>
          </w:p>
        </w:tc>
        <w:tc>
          <w:tcPr>
            <w:tcW w:w="1267" w:type="dxa"/>
            <w:shd w:val="clear" w:color="auto" w:fill="C0C0C0"/>
            <w:noWrap/>
            <w:vAlign w:val="center"/>
          </w:tcPr>
          <w:p w14:paraId="7938DEEB" w14:textId="77777777" w:rsidR="00BD372F" w:rsidRPr="00BD372F" w:rsidRDefault="00BD372F" w:rsidP="00BD372F">
            <w:pPr>
              <w:spacing w:after="0" w:line="240" w:lineRule="auto"/>
              <w:jc w:val="right"/>
              <w:rPr>
                <w:rFonts w:ascii="Times New Roman" w:hAnsi="Times New Roman"/>
                <w:b/>
                <w:bCs/>
                <w:sz w:val="24"/>
                <w:szCs w:val="24"/>
                <w:lang w:eastAsia="sk-SK"/>
              </w:rPr>
            </w:pPr>
            <w:r w:rsidRPr="00BD372F">
              <w:rPr>
                <w:rFonts w:ascii="Times New Roman" w:hAnsi="Times New Roman"/>
                <w:b/>
                <w:bCs/>
                <w:sz w:val="24"/>
                <w:szCs w:val="24"/>
                <w:lang w:eastAsia="sk-SK"/>
              </w:rPr>
              <w:t>1 292 520</w:t>
            </w:r>
          </w:p>
        </w:tc>
        <w:tc>
          <w:tcPr>
            <w:tcW w:w="1267" w:type="dxa"/>
            <w:shd w:val="clear" w:color="auto" w:fill="C0C0C0"/>
            <w:noWrap/>
            <w:vAlign w:val="center"/>
          </w:tcPr>
          <w:p w14:paraId="15CCC958" w14:textId="77777777" w:rsidR="00BD372F" w:rsidRPr="00BD372F" w:rsidRDefault="00BD372F" w:rsidP="00BD372F">
            <w:pPr>
              <w:spacing w:after="0" w:line="240" w:lineRule="auto"/>
              <w:jc w:val="right"/>
              <w:rPr>
                <w:rFonts w:ascii="Times New Roman" w:hAnsi="Times New Roman"/>
                <w:b/>
                <w:bCs/>
                <w:sz w:val="24"/>
                <w:szCs w:val="24"/>
                <w:lang w:eastAsia="sk-SK"/>
              </w:rPr>
            </w:pPr>
            <w:r w:rsidRPr="00BD372F">
              <w:rPr>
                <w:rFonts w:ascii="Times New Roman" w:hAnsi="Times New Roman"/>
                <w:b/>
                <w:bCs/>
                <w:sz w:val="24"/>
                <w:szCs w:val="24"/>
                <w:lang w:eastAsia="sk-SK"/>
              </w:rPr>
              <w:t>2 489 520</w:t>
            </w:r>
          </w:p>
        </w:tc>
        <w:tc>
          <w:tcPr>
            <w:tcW w:w="1267" w:type="dxa"/>
            <w:shd w:val="clear" w:color="auto" w:fill="C0C0C0"/>
            <w:noWrap/>
            <w:vAlign w:val="center"/>
          </w:tcPr>
          <w:p w14:paraId="6C550511" w14:textId="77777777" w:rsidR="00BD372F" w:rsidRPr="00BD372F" w:rsidRDefault="00BD372F" w:rsidP="00BD372F">
            <w:pPr>
              <w:spacing w:after="0" w:line="240" w:lineRule="auto"/>
              <w:jc w:val="right"/>
              <w:rPr>
                <w:rFonts w:ascii="Times New Roman" w:hAnsi="Times New Roman"/>
                <w:b/>
                <w:bCs/>
                <w:sz w:val="24"/>
                <w:szCs w:val="24"/>
                <w:lang w:eastAsia="sk-SK"/>
              </w:rPr>
            </w:pPr>
            <w:r w:rsidRPr="00BD372F">
              <w:rPr>
                <w:rFonts w:ascii="Times New Roman" w:hAnsi="Times New Roman"/>
                <w:b/>
                <w:bCs/>
                <w:sz w:val="24"/>
                <w:szCs w:val="24"/>
                <w:lang w:eastAsia="sk-SK"/>
              </w:rPr>
              <w:t>2 559 853</w:t>
            </w:r>
          </w:p>
        </w:tc>
      </w:tr>
      <w:tr w:rsidR="00BD372F" w:rsidRPr="00BD372F" w14:paraId="6D067575" w14:textId="77777777" w:rsidTr="00154BAB">
        <w:trPr>
          <w:trHeight w:val="70"/>
          <w:jc w:val="center"/>
        </w:trPr>
        <w:tc>
          <w:tcPr>
            <w:tcW w:w="4661" w:type="dxa"/>
            <w:noWrap/>
            <w:vAlign w:val="center"/>
          </w:tcPr>
          <w:p w14:paraId="483B3A9D" w14:textId="55FA0EBC"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sz w:val="24"/>
                <w:szCs w:val="24"/>
                <w:lang w:eastAsia="sk-SK"/>
              </w:rPr>
              <w:t>v tom: MF SR/0EK 0D IT financované zo ŠR – MF SR (org. Štátna pokladnica)</w:t>
            </w:r>
          </w:p>
        </w:tc>
        <w:tc>
          <w:tcPr>
            <w:tcW w:w="1267" w:type="dxa"/>
            <w:noWrap/>
          </w:tcPr>
          <w:p w14:paraId="23448349" w14:textId="77777777" w:rsidR="00BD372F" w:rsidRPr="00BD372F" w:rsidRDefault="00BD372F" w:rsidP="00BD372F">
            <w:pPr>
              <w:spacing w:after="0" w:line="240" w:lineRule="auto"/>
              <w:jc w:val="right"/>
              <w:rPr>
                <w:rFonts w:ascii="Times New Roman" w:hAnsi="Times New Roman"/>
                <w:bCs/>
                <w:sz w:val="24"/>
                <w:szCs w:val="24"/>
                <w:lang w:eastAsia="sk-SK"/>
              </w:rPr>
            </w:pPr>
            <w:r w:rsidRPr="00BD372F">
              <w:rPr>
                <w:rFonts w:ascii="Times New Roman" w:hAnsi="Times New Roman"/>
                <w:bCs/>
                <w:sz w:val="24"/>
                <w:szCs w:val="24"/>
                <w:lang w:eastAsia="sk-SK"/>
              </w:rPr>
              <w:t>473 788</w:t>
            </w:r>
          </w:p>
        </w:tc>
        <w:tc>
          <w:tcPr>
            <w:tcW w:w="1267" w:type="dxa"/>
            <w:noWrap/>
          </w:tcPr>
          <w:p w14:paraId="166D50BA" w14:textId="77777777" w:rsidR="00BD372F" w:rsidRPr="00BD372F" w:rsidRDefault="00BD372F" w:rsidP="00BD372F">
            <w:pPr>
              <w:spacing w:after="0" w:line="240" w:lineRule="auto"/>
              <w:jc w:val="right"/>
              <w:rPr>
                <w:rFonts w:ascii="Times New Roman" w:hAnsi="Times New Roman"/>
                <w:bCs/>
                <w:sz w:val="24"/>
                <w:szCs w:val="24"/>
                <w:lang w:eastAsia="sk-SK"/>
              </w:rPr>
            </w:pPr>
            <w:r w:rsidRPr="00BD372F">
              <w:rPr>
                <w:rFonts w:ascii="Times New Roman" w:hAnsi="Times New Roman"/>
                <w:bCs/>
                <w:sz w:val="24"/>
                <w:szCs w:val="24"/>
                <w:lang w:eastAsia="sk-SK"/>
              </w:rPr>
              <w:t>1 200 000</w:t>
            </w:r>
          </w:p>
        </w:tc>
        <w:tc>
          <w:tcPr>
            <w:tcW w:w="1267" w:type="dxa"/>
            <w:noWrap/>
          </w:tcPr>
          <w:p w14:paraId="7ABEB4CD" w14:textId="77777777" w:rsidR="00BD372F" w:rsidRPr="00BD372F" w:rsidRDefault="00BD372F" w:rsidP="00BD372F">
            <w:pPr>
              <w:spacing w:after="0" w:line="240" w:lineRule="auto"/>
              <w:jc w:val="right"/>
              <w:rPr>
                <w:rFonts w:ascii="Times New Roman" w:hAnsi="Times New Roman"/>
                <w:bCs/>
                <w:sz w:val="24"/>
                <w:szCs w:val="24"/>
                <w:lang w:eastAsia="sk-SK"/>
              </w:rPr>
            </w:pPr>
            <w:r w:rsidRPr="00BD372F">
              <w:rPr>
                <w:rFonts w:ascii="Times New Roman" w:hAnsi="Times New Roman"/>
                <w:bCs/>
                <w:sz w:val="24"/>
                <w:szCs w:val="24"/>
                <w:lang w:eastAsia="sk-SK"/>
              </w:rPr>
              <w:t>2 400 000</w:t>
            </w:r>
          </w:p>
        </w:tc>
        <w:tc>
          <w:tcPr>
            <w:tcW w:w="1267" w:type="dxa"/>
            <w:noWrap/>
          </w:tcPr>
          <w:p w14:paraId="012B1663" w14:textId="77777777" w:rsidR="00BD372F" w:rsidRPr="00BD372F" w:rsidRDefault="00BD372F" w:rsidP="00BD372F">
            <w:pPr>
              <w:spacing w:after="0" w:line="240" w:lineRule="auto"/>
              <w:jc w:val="right"/>
              <w:rPr>
                <w:rFonts w:ascii="Times New Roman" w:hAnsi="Times New Roman"/>
                <w:bCs/>
                <w:sz w:val="24"/>
                <w:szCs w:val="24"/>
                <w:lang w:eastAsia="sk-SK"/>
              </w:rPr>
            </w:pPr>
            <w:r w:rsidRPr="00BD372F">
              <w:rPr>
                <w:rFonts w:ascii="Times New Roman" w:hAnsi="Times New Roman"/>
                <w:bCs/>
                <w:sz w:val="24"/>
                <w:szCs w:val="24"/>
                <w:lang w:eastAsia="sk-SK"/>
              </w:rPr>
              <w:t>2 400 000</w:t>
            </w:r>
          </w:p>
        </w:tc>
      </w:tr>
      <w:tr w:rsidR="00BD372F" w:rsidRPr="00BD372F" w14:paraId="22847C0A" w14:textId="77777777" w:rsidTr="00154BAB">
        <w:trPr>
          <w:trHeight w:val="70"/>
          <w:jc w:val="center"/>
        </w:trPr>
        <w:tc>
          <w:tcPr>
            <w:tcW w:w="4661" w:type="dxa"/>
            <w:noWrap/>
            <w:vAlign w:val="center"/>
          </w:tcPr>
          <w:p w14:paraId="2BD4EAC3" w14:textId="2D0736CA"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bCs/>
                <w:iCs/>
                <w:sz w:val="24"/>
                <w:szCs w:val="24"/>
                <w:lang w:eastAsia="sk-SK"/>
              </w:rPr>
              <w:t>v tom:</w:t>
            </w:r>
            <w:r w:rsidRPr="00BD372F">
              <w:rPr>
                <w:rFonts w:ascii="Times New Roman" w:hAnsi="Times New Roman"/>
                <w:color w:val="000000"/>
                <w:sz w:val="24"/>
                <w:szCs w:val="24"/>
                <w:lang w:eastAsia="sk-SK"/>
              </w:rPr>
              <w:t xml:space="preserve"> MF SR/074 03 Kontrola, vládny audit a vnútorný audit (org. Úrad vládneho auditu)</w:t>
            </w:r>
          </w:p>
        </w:tc>
        <w:tc>
          <w:tcPr>
            <w:tcW w:w="1267" w:type="dxa"/>
            <w:noWrap/>
          </w:tcPr>
          <w:p w14:paraId="223F1761" w14:textId="77777777" w:rsidR="00BD372F" w:rsidRPr="00BD372F" w:rsidRDefault="00BD372F" w:rsidP="00BD372F">
            <w:pPr>
              <w:spacing w:after="0" w:line="240" w:lineRule="auto"/>
              <w:jc w:val="right"/>
              <w:rPr>
                <w:rFonts w:ascii="Times New Roman" w:hAnsi="Times New Roman"/>
                <w:bCs/>
                <w:sz w:val="24"/>
                <w:szCs w:val="24"/>
                <w:lang w:eastAsia="sk-SK"/>
              </w:rPr>
            </w:pPr>
            <w:r w:rsidRPr="00BD372F">
              <w:rPr>
                <w:rFonts w:ascii="Times New Roman" w:hAnsi="Times New Roman"/>
                <w:bCs/>
                <w:sz w:val="24"/>
                <w:szCs w:val="24"/>
                <w:lang w:eastAsia="sk-SK"/>
              </w:rPr>
              <w:t>0</w:t>
            </w:r>
          </w:p>
        </w:tc>
        <w:tc>
          <w:tcPr>
            <w:tcW w:w="1267" w:type="dxa"/>
            <w:noWrap/>
          </w:tcPr>
          <w:p w14:paraId="6970A43A" w14:textId="77777777" w:rsidR="00BD372F" w:rsidRPr="00BD372F" w:rsidRDefault="00BD372F" w:rsidP="00BD372F">
            <w:pPr>
              <w:spacing w:after="0" w:line="240" w:lineRule="auto"/>
              <w:jc w:val="right"/>
              <w:rPr>
                <w:rFonts w:ascii="Times New Roman" w:hAnsi="Times New Roman"/>
                <w:bCs/>
                <w:sz w:val="24"/>
                <w:szCs w:val="24"/>
                <w:lang w:eastAsia="sk-SK"/>
              </w:rPr>
            </w:pPr>
            <w:r w:rsidRPr="00BD372F">
              <w:rPr>
                <w:rFonts w:ascii="Times New Roman" w:hAnsi="Times New Roman"/>
                <w:bCs/>
                <w:sz w:val="24"/>
                <w:szCs w:val="24"/>
                <w:lang w:eastAsia="sk-SK"/>
              </w:rPr>
              <w:t>92 520</w:t>
            </w:r>
          </w:p>
        </w:tc>
        <w:tc>
          <w:tcPr>
            <w:tcW w:w="1267" w:type="dxa"/>
            <w:noWrap/>
          </w:tcPr>
          <w:p w14:paraId="2159238F" w14:textId="77777777" w:rsidR="00BD372F" w:rsidRPr="00BD372F" w:rsidRDefault="00BD372F" w:rsidP="00BD372F">
            <w:pPr>
              <w:spacing w:after="0" w:line="240" w:lineRule="auto"/>
              <w:jc w:val="right"/>
              <w:rPr>
                <w:rFonts w:ascii="Times New Roman" w:hAnsi="Times New Roman"/>
                <w:bCs/>
                <w:sz w:val="24"/>
                <w:szCs w:val="24"/>
                <w:lang w:eastAsia="sk-SK"/>
              </w:rPr>
            </w:pPr>
            <w:r w:rsidRPr="00BD372F">
              <w:rPr>
                <w:rFonts w:ascii="Times New Roman" w:hAnsi="Times New Roman"/>
                <w:bCs/>
                <w:sz w:val="24"/>
                <w:szCs w:val="24"/>
                <w:lang w:eastAsia="sk-SK"/>
              </w:rPr>
              <w:t>89 520</w:t>
            </w:r>
          </w:p>
        </w:tc>
        <w:tc>
          <w:tcPr>
            <w:tcW w:w="1267" w:type="dxa"/>
            <w:noWrap/>
          </w:tcPr>
          <w:p w14:paraId="73B5DA4C" w14:textId="77777777" w:rsidR="00BD372F" w:rsidRPr="00BD372F" w:rsidRDefault="00BD372F" w:rsidP="00BD372F">
            <w:pPr>
              <w:spacing w:after="0" w:line="240" w:lineRule="auto"/>
              <w:jc w:val="right"/>
              <w:rPr>
                <w:rFonts w:ascii="Times New Roman" w:hAnsi="Times New Roman"/>
                <w:bCs/>
                <w:sz w:val="24"/>
                <w:szCs w:val="24"/>
                <w:lang w:eastAsia="sk-SK"/>
              </w:rPr>
            </w:pPr>
            <w:r w:rsidRPr="00BD372F">
              <w:rPr>
                <w:rFonts w:ascii="Times New Roman" w:hAnsi="Times New Roman"/>
                <w:bCs/>
                <w:sz w:val="24"/>
                <w:szCs w:val="24"/>
                <w:lang w:eastAsia="sk-SK"/>
              </w:rPr>
              <w:t>89 520</w:t>
            </w:r>
          </w:p>
        </w:tc>
      </w:tr>
      <w:tr w:rsidR="00BD372F" w:rsidRPr="00BD372F" w14:paraId="2C592139" w14:textId="77777777" w:rsidTr="00154BAB">
        <w:trPr>
          <w:trHeight w:val="70"/>
          <w:jc w:val="center"/>
        </w:trPr>
        <w:tc>
          <w:tcPr>
            <w:tcW w:w="4661" w:type="dxa"/>
            <w:noWrap/>
            <w:vAlign w:val="center"/>
          </w:tcPr>
          <w:p w14:paraId="4F974ACC" w14:textId="546E8D15" w:rsidR="00BD372F" w:rsidRPr="00BD372F" w:rsidRDefault="00BD372F" w:rsidP="00BD372F">
            <w:pPr>
              <w:spacing w:after="0" w:line="240" w:lineRule="auto"/>
              <w:rPr>
                <w:rFonts w:ascii="Times New Roman" w:hAnsi="Times New Roman"/>
                <w:bCs/>
                <w:iCs/>
                <w:sz w:val="24"/>
                <w:szCs w:val="24"/>
                <w:lang w:eastAsia="sk-SK"/>
              </w:rPr>
            </w:pPr>
            <w:r w:rsidRPr="00BD372F">
              <w:rPr>
                <w:rFonts w:ascii="Times New Roman" w:hAnsi="Times New Roman"/>
                <w:bCs/>
                <w:iCs/>
                <w:sz w:val="24"/>
                <w:szCs w:val="24"/>
                <w:lang w:eastAsia="sk-SK"/>
              </w:rPr>
              <w:t>v tom: MF SR/ISFS-SD, prvok 0EK0D14 – Integrovaný systém finančnej správy – správa daní (org. FR SR)</w:t>
            </w:r>
          </w:p>
        </w:tc>
        <w:tc>
          <w:tcPr>
            <w:tcW w:w="1267" w:type="dxa"/>
            <w:noWrap/>
          </w:tcPr>
          <w:p w14:paraId="7A1D52AA" w14:textId="77777777" w:rsidR="00BD372F" w:rsidRPr="00BD372F" w:rsidRDefault="00BD372F" w:rsidP="00BD372F">
            <w:pPr>
              <w:spacing w:after="0" w:line="240" w:lineRule="auto"/>
              <w:jc w:val="right"/>
              <w:rPr>
                <w:rFonts w:ascii="Times New Roman" w:hAnsi="Times New Roman"/>
                <w:bCs/>
                <w:sz w:val="24"/>
                <w:szCs w:val="24"/>
                <w:lang w:eastAsia="sk-SK"/>
              </w:rPr>
            </w:pPr>
            <w:r w:rsidRPr="00BD372F">
              <w:rPr>
                <w:rFonts w:ascii="Times New Roman" w:hAnsi="Times New Roman"/>
                <w:bCs/>
                <w:sz w:val="24"/>
                <w:szCs w:val="24"/>
                <w:lang w:eastAsia="sk-SK"/>
              </w:rPr>
              <w:t>0</w:t>
            </w:r>
          </w:p>
        </w:tc>
        <w:tc>
          <w:tcPr>
            <w:tcW w:w="1267" w:type="dxa"/>
            <w:noWrap/>
          </w:tcPr>
          <w:p w14:paraId="51F94CCD" w14:textId="77777777" w:rsidR="00BD372F" w:rsidRPr="00BD372F" w:rsidRDefault="00BD372F" w:rsidP="00BD372F">
            <w:pPr>
              <w:spacing w:after="0" w:line="240" w:lineRule="auto"/>
              <w:jc w:val="right"/>
              <w:rPr>
                <w:rFonts w:ascii="Times New Roman" w:hAnsi="Times New Roman"/>
                <w:bCs/>
                <w:sz w:val="24"/>
                <w:szCs w:val="24"/>
                <w:lang w:eastAsia="sk-SK"/>
              </w:rPr>
            </w:pPr>
            <w:r w:rsidRPr="00BD372F">
              <w:rPr>
                <w:rFonts w:ascii="Times New Roman" w:hAnsi="Times New Roman"/>
                <w:bCs/>
                <w:sz w:val="24"/>
                <w:szCs w:val="24"/>
                <w:lang w:eastAsia="sk-SK"/>
              </w:rPr>
              <w:t>0</w:t>
            </w:r>
          </w:p>
        </w:tc>
        <w:tc>
          <w:tcPr>
            <w:tcW w:w="1267" w:type="dxa"/>
            <w:noWrap/>
          </w:tcPr>
          <w:p w14:paraId="640436DA" w14:textId="77777777" w:rsidR="00BD372F" w:rsidRPr="00BD372F" w:rsidRDefault="00BD372F" w:rsidP="00BD372F">
            <w:pPr>
              <w:spacing w:after="0" w:line="240" w:lineRule="auto"/>
              <w:jc w:val="right"/>
              <w:rPr>
                <w:rFonts w:ascii="Times New Roman" w:hAnsi="Times New Roman"/>
                <w:bCs/>
                <w:sz w:val="24"/>
                <w:szCs w:val="24"/>
                <w:lang w:eastAsia="sk-SK"/>
              </w:rPr>
            </w:pPr>
            <w:r w:rsidRPr="00BD372F">
              <w:rPr>
                <w:rFonts w:ascii="Times New Roman" w:hAnsi="Times New Roman"/>
                <w:bCs/>
                <w:sz w:val="24"/>
                <w:szCs w:val="24"/>
                <w:lang w:eastAsia="sk-SK"/>
              </w:rPr>
              <w:t>0</w:t>
            </w:r>
          </w:p>
        </w:tc>
        <w:tc>
          <w:tcPr>
            <w:tcW w:w="1267" w:type="dxa"/>
            <w:noWrap/>
          </w:tcPr>
          <w:p w14:paraId="10B935FF" w14:textId="77777777" w:rsidR="00BD372F" w:rsidRPr="00BD372F" w:rsidRDefault="00BD372F" w:rsidP="00BD372F">
            <w:pPr>
              <w:spacing w:after="0" w:line="240" w:lineRule="auto"/>
              <w:jc w:val="right"/>
              <w:rPr>
                <w:rFonts w:ascii="Times New Roman" w:hAnsi="Times New Roman"/>
                <w:bCs/>
                <w:sz w:val="24"/>
                <w:szCs w:val="24"/>
                <w:lang w:eastAsia="sk-SK"/>
              </w:rPr>
            </w:pPr>
            <w:r w:rsidRPr="00BD372F">
              <w:rPr>
                <w:rFonts w:ascii="Times New Roman" w:hAnsi="Times New Roman"/>
                <w:bCs/>
                <w:sz w:val="24"/>
                <w:szCs w:val="24"/>
                <w:lang w:eastAsia="sk-SK"/>
              </w:rPr>
              <w:t>70 333</w:t>
            </w:r>
          </w:p>
        </w:tc>
      </w:tr>
      <w:tr w:rsidR="00BD372F" w:rsidRPr="00BD372F" w14:paraId="023A09F9" w14:textId="77777777" w:rsidTr="00154BAB">
        <w:trPr>
          <w:trHeight w:val="70"/>
          <w:jc w:val="center"/>
        </w:trPr>
        <w:tc>
          <w:tcPr>
            <w:tcW w:w="4661" w:type="dxa"/>
            <w:noWrap/>
            <w:vAlign w:val="center"/>
          </w:tcPr>
          <w:p w14:paraId="725C5A46" w14:textId="77777777" w:rsidR="00BD372F" w:rsidRPr="00BD372F" w:rsidRDefault="00BD372F" w:rsidP="00BD372F">
            <w:pPr>
              <w:spacing w:after="0" w:line="240" w:lineRule="auto"/>
              <w:rPr>
                <w:rFonts w:ascii="Times New Roman" w:hAnsi="Times New Roman"/>
                <w:b/>
                <w:bCs/>
                <w:i/>
                <w:iCs/>
                <w:sz w:val="24"/>
                <w:szCs w:val="24"/>
                <w:lang w:eastAsia="sk-SK"/>
              </w:rPr>
            </w:pPr>
            <w:r w:rsidRPr="00BD372F">
              <w:rPr>
                <w:rFonts w:ascii="Times New Roman" w:hAnsi="Times New Roman"/>
                <w:b/>
                <w:bCs/>
                <w:i/>
                <w:iCs/>
                <w:sz w:val="24"/>
                <w:szCs w:val="24"/>
                <w:lang w:eastAsia="sk-SK"/>
              </w:rPr>
              <w:t xml:space="preserve">z toho: </w:t>
            </w:r>
          </w:p>
        </w:tc>
        <w:tc>
          <w:tcPr>
            <w:tcW w:w="1267" w:type="dxa"/>
            <w:noWrap/>
            <w:vAlign w:val="center"/>
          </w:tcPr>
          <w:p w14:paraId="5C003613" w14:textId="77777777" w:rsidR="00BD372F" w:rsidRPr="00BD372F" w:rsidRDefault="00BD372F" w:rsidP="00BD372F">
            <w:pPr>
              <w:spacing w:after="0" w:line="240" w:lineRule="auto"/>
              <w:jc w:val="right"/>
              <w:rPr>
                <w:rFonts w:ascii="Times New Roman" w:hAnsi="Times New Roman"/>
                <w:bCs/>
                <w:sz w:val="24"/>
                <w:szCs w:val="24"/>
                <w:lang w:eastAsia="sk-SK"/>
              </w:rPr>
            </w:pPr>
          </w:p>
        </w:tc>
        <w:tc>
          <w:tcPr>
            <w:tcW w:w="1267" w:type="dxa"/>
            <w:noWrap/>
            <w:vAlign w:val="center"/>
          </w:tcPr>
          <w:p w14:paraId="0F27607B" w14:textId="77777777" w:rsidR="00BD372F" w:rsidRPr="00BD372F" w:rsidRDefault="00BD372F" w:rsidP="00BD372F">
            <w:pPr>
              <w:spacing w:after="0" w:line="240" w:lineRule="auto"/>
              <w:jc w:val="right"/>
              <w:rPr>
                <w:rFonts w:ascii="Times New Roman" w:hAnsi="Times New Roman"/>
                <w:bCs/>
                <w:sz w:val="24"/>
                <w:szCs w:val="24"/>
                <w:lang w:eastAsia="sk-SK"/>
              </w:rPr>
            </w:pPr>
          </w:p>
        </w:tc>
        <w:tc>
          <w:tcPr>
            <w:tcW w:w="1267" w:type="dxa"/>
            <w:noWrap/>
            <w:vAlign w:val="center"/>
          </w:tcPr>
          <w:p w14:paraId="74ACFF89" w14:textId="77777777" w:rsidR="00BD372F" w:rsidRPr="00BD372F" w:rsidRDefault="00BD372F" w:rsidP="00BD372F">
            <w:pPr>
              <w:spacing w:after="0" w:line="240" w:lineRule="auto"/>
              <w:jc w:val="right"/>
              <w:rPr>
                <w:rFonts w:ascii="Times New Roman" w:hAnsi="Times New Roman"/>
                <w:bCs/>
                <w:sz w:val="24"/>
                <w:szCs w:val="24"/>
                <w:lang w:eastAsia="sk-SK"/>
              </w:rPr>
            </w:pPr>
          </w:p>
        </w:tc>
        <w:tc>
          <w:tcPr>
            <w:tcW w:w="1267" w:type="dxa"/>
            <w:noWrap/>
            <w:vAlign w:val="center"/>
          </w:tcPr>
          <w:p w14:paraId="2BD41518" w14:textId="77777777" w:rsidR="00BD372F" w:rsidRPr="00BD372F" w:rsidRDefault="00BD372F" w:rsidP="00BD372F">
            <w:pPr>
              <w:spacing w:after="0" w:line="240" w:lineRule="auto"/>
              <w:jc w:val="right"/>
              <w:rPr>
                <w:rFonts w:ascii="Times New Roman" w:hAnsi="Times New Roman"/>
                <w:bCs/>
                <w:sz w:val="24"/>
                <w:szCs w:val="24"/>
                <w:lang w:eastAsia="sk-SK"/>
              </w:rPr>
            </w:pPr>
          </w:p>
        </w:tc>
      </w:tr>
      <w:tr w:rsidR="00BD372F" w:rsidRPr="00BD372F" w14:paraId="5835CEB4" w14:textId="77777777" w:rsidTr="00154BAB">
        <w:trPr>
          <w:trHeight w:val="70"/>
          <w:jc w:val="center"/>
        </w:trPr>
        <w:tc>
          <w:tcPr>
            <w:tcW w:w="4661" w:type="dxa"/>
            <w:noWrap/>
            <w:vAlign w:val="center"/>
          </w:tcPr>
          <w:p w14:paraId="079D372E" w14:textId="77777777" w:rsidR="00BD372F" w:rsidRPr="00BD372F" w:rsidRDefault="00BD372F" w:rsidP="00BD372F">
            <w:pPr>
              <w:spacing w:after="0" w:line="240" w:lineRule="auto"/>
              <w:rPr>
                <w:rFonts w:ascii="Times New Roman" w:hAnsi="Times New Roman"/>
                <w:b/>
                <w:bCs/>
                <w:i/>
                <w:iCs/>
                <w:sz w:val="24"/>
                <w:szCs w:val="24"/>
                <w:lang w:eastAsia="sk-SK"/>
              </w:rPr>
            </w:pPr>
            <w:r w:rsidRPr="00BD372F">
              <w:rPr>
                <w:rFonts w:ascii="Times New Roman" w:hAnsi="Times New Roman"/>
                <w:b/>
                <w:bCs/>
                <w:i/>
                <w:iCs/>
                <w:sz w:val="24"/>
                <w:szCs w:val="24"/>
                <w:lang w:eastAsia="sk-SK"/>
              </w:rPr>
              <w:t>- vplyv na ŠR</w:t>
            </w:r>
          </w:p>
        </w:tc>
        <w:tc>
          <w:tcPr>
            <w:tcW w:w="1267" w:type="dxa"/>
            <w:noWrap/>
          </w:tcPr>
          <w:p w14:paraId="355A8926" w14:textId="77777777" w:rsidR="00BD372F" w:rsidRPr="00BD372F" w:rsidRDefault="00BD372F" w:rsidP="00BD372F">
            <w:pPr>
              <w:spacing w:after="0" w:line="240" w:lineRule="auto"/>
              <w:jc w:val="right"/>
              <w:rPr>
                <w:rFonts w:ascii="Times New Roman" w:hAnsi="Times New Roman"/>
                <w:bCs/>
                <w:sz w:val="24"/>
                <w:szCs w:val="24"/>
                <w:lang w:eastAsia="sk-SK"/>
              </w:rPr>
            </w:pPr>
            <w:r w:rsidRPr="00BD372F">
              <w:rPr>
                <w:rFonts w:ascii="Times New Roman" w:hAnsi="Times New Roman"/>
                <w:bCs/>
                <w:sz w:val="24"/>
                <w:szCs w:val="24"/>
                <w:lang w:eastAsia="sk-SK"/>
              </w:rPr>
              <w:t>473 788</w:t>
            </w:r>
          </w:p>
        </w:tc>
        <w:tc>
          <w:tcPr>
            <w:tcW w:w="1267" w:type="dxa"/>
            <w:noWrap/>
            <w:vAlign w:val="center"/>
          </w:tcPr>
          <w:p w14:paraId="6D4C526E" w14:textId="77777777" w:rsidR="00BD372F" w:rsidRPr="00BD372F" w:rsidRDefault="00BD372F" w:rsidP="00BD372F">
            <w:pPr>
              <w:spacing w:after="0" w:line="240" w:lineRule="auto"/>
              <w:jc w:val="right"/>
              <w:rPr>
                <w:rFonts w:ascii="Times New Roman" w:hAnsi="Times New Roman"/>
                <w:bCs/>
                <w:sz w:val="24"/>
                <w:szCs w:val="24"/>
                <w:lang w:eastAsia="sk-SK"/>
              </w:rPr>
            </w:pPr>
            <w:r w:rsidRPr="00BD372F">
              <w:rPr>
                <w:rFonts w:ascii="Times New Roman" w:hAnsi="Times New Roman"/>
                <w:bCs/>
                <w:sz w:val="24"/>
                <w:szCs w:val="24"/>
                <w:lang w:eastAsia="sk-SK"/>
              </w:rPr>
              <w:t>1 292 520</w:t>
            </w:r>
          </w:p>
        </w:tc>
        <w:tc>
          <w:tcPr>
            <w:tcW w:w="1267" w:type="dxa"/>
            <w:noWrap/>
            <w:vAlign w:val="center"/>
          </w:tcPr>
          <w:p w14:paraId="24033C89" w14:textId="77777777" w:rsidR="00BD372F" w:rsidRPr="00BD372F" w:rsidRDefault="00BD372F" w:rsidP="00BD372F">
            <w:pPr>
              <w:spacing w:after="0" w:line="240" w:lineRule="auto"/>
              <w:jc w:val="right"/>
              <w:rPr>
                <w:rFonts w:ascii="Times New Roman" w:hAnsi="Times New Roman"/>
                <w:bCs/>
                <w:sz w:val="24"/>
                <w:szCs w:val="24"/>
                <w:lang w:eastAsia="sk-SK"/>
              </w:rPr>
            </w:pPr>
            <w:r w:rsidRPr="00BD372F">
              <w:rPr>
                <w:rFonts w:ascii="Times New Roman" w:hAnsi="Times New Roman"/>
                <w:bCs/>
                <w:sz w:val="24"/>
                <w:szCs w:val="24"/>
                <w:lang w:eastAsia="sk-SK"/>
              </w:rPr>
              <w:t>2 489 520</w:t>
            </w:r>
          </w:p>
        </w:tc>
        <w:tc>
          <w:tcPr>
            <w:tcW w:w="1267" w:type="dxa"/>
            <w:noWrap/>
            <w:vAlign w:val="center"/>
          </w:tcPr>
          <w:p w14:paraId="2B362BA9" w14:textId="77777777" w:rsidR="00BD372F" w:rsidRPr="00BD372F" w:rsidRDefault="00BD372F" w:rsidP="00BD372F">
            <w:pPr>
              <w:spacing w:after="0" w:line="240" w:lineRule="auto"/>
              <w:jc w:val="right"/>
              <w:rPr>
                <w:rFonts w:ascii="Times New Roman" w:hAnsi="Times New Roman"/>
                <w:bCs/>
                <w:sz w:val="24"/>
                <w:szCs w:val="24"/>
                <w:lang w:eastAsia="sk-SK"/>
              </w:rPr>
            </w:pPr>
            <w:r w:rsidRPr="00BD372F">
              <w:rPr>
                <w:rFonts w:ascii="Times New Roman" w:hAnsi="Times New Roman"/>
                <w:bCs/>
                <w:sz w:val="24"/>
                <w:szCs w:val="24"/>
                <w:lang w:eastAsia="sk-SK"/>
              </w:rPr>
              <w:t>2 559 853</w:t>
            </w:r>
          </w:p>
        </w:tc>
      </w:tr>
      <w:tr w:rsidR="00BD372F" w:rsidRPr="00BD372F" w14:paraId="47DD7F34" w14:textId="77777777" w:rsidTr="00154BAB">
        <w:trPr>
          <w:trHeight w:val="70"/>
          <w:jc w:val="center"/>
        </w:trPr>
        <w:tc>
          <w:tcPr>
            <w:tcW w:w="4661" w:type="dxa"/>
            <w:noWrap/>
            <w:vAlign w:val="center"/>
          </w:tcPr>
          <w:p w14:paraId="2347C734" w14:textId="77777777" w:rsidR="00BD372F" w:rsidRPr="00BD372F" w:rsidRDefault="00BD372F" w:rsidP="00BD372F">
            <w:pPr>
              <w:spacing w:after="0" w:line="240" w:lineRule="auto"/>
              <w:rPr>
                <w:rFonts w:ascii="Times New Roman" w:hAnsi="Times New Roman"/>
                <w:b/>
                <w:bCs/>
                <w:i/>
                <w:iCs/>
                <w:sz w:val="24"/>
                <w:szCs w:val="24"/>
                <w:lang w:eastAsia="sk-SK"/>
              </w:rPr>
            </w:pPr>
            <w:r w:rsidRPr="00BD372F">
              <w:rPr>
                <w:rFonts w:ascii="Times New Roman" w:hAnsi="Times New Roman"/>
                <w:bCs/>
                <w:i/>
                <w:iCs/>
                <w:sz w:val="24"/>
                <w:szCs w:val="24"/>
                <w:lang w:eastAsia="sk-SK"/>
              </w:rPr>
              <w:t>Rozpočtové prostriedky</w:t>
            </w:r>
          </w:p>
        </w:tc>
        <w:tc>
          <w:tcPr>
            <w:tcW w:w="1267" w:type="dxa"/>
            <w:noWrap/>
          </w:tcPr>
          <w:p w14:paraId="13B1DA61" w14:textId="77777777" w:rsidR="00BD372F" w:rsidRPr="00BD372F" w:rsidRDefault="00BD372F" w:rsidP="00BD372F">
            <w:pPr>
              <w:spacing w:after="0" w:line="240" w:lineRule="auto"/>
              <w:jc w:val="right"/>
              <w:rPr>
                <w:rFonts w:ascii="Times New Roman" w:hAnsi="Times New Roman"/>
                <w:bCs/>
                <w:sz w:val="24"/>
                <w:szCs w:val="24"/>
                <w:lang w:eastAsia="sk-SK"/>
              </w:rPr>
            </w:pPr>
            <w:r w:rsidRPr="00BD372F">
              <w:rPr>
                <w:rFonts w:ascii="Times New Roman" w:hAnsi="Times New Roman"/>
                <w:bCs/>
                <w:sz w:val="24"/>
                <w:szCs w:val="24"/>
                <w:lang w:eastAsia="sk-SK"/>
              </w:rPr>
              <w:t>473 788</w:t>
            </w:r>
          </w:p>
        </w:tc>
        <w:tc>
          <w:tcPr>
            <w:tcW w:w="1267" w:type="dxa"/>
            <w:noWrap/>
          </w:tcPr>
          <w:p w14:paraId="29136F77" w14:textId="77777777" w:rsidR="00BD372F" w:rsidRPr="00BD372F" w:rsidRDefault="00BD372F" w:rsidP="00BD372F">
            <w:pPr>
              <w:spacing w:after="0" w:line="240" w:lineRule="auto"/>
              <w:jc w:val="right"/>
              <w:rPr>
                <w:rFonts w:ascii="Times New Roman" w:hAnsi="Times New Roman"/>
                <w:bCs/>
                <w:sz w:val="24"/>
                <w:szCs w:val="24"/>
                <w:lang w:eastAsia="sk-SK"/>
              </w:rPr>
            </w:pPr>
            <w:r w:rsidRPr="00BD372F">
              <w:rPr>
                <w:rFonts w:ascii="Times New Roman" w:hAnsi="Times New Roman"/>
                <w:bCs/>
                <w:sz w:val="24"/>
                <w:szCs w:val="24"/>
                <w:lang w:eastAsia="sk-SK"/>
              </w:rPr>
              <w:t>1 292 520</w:t>
            </w:r>
          </w:p>
        </w:tc>
        <w:tc>
          <w:tcPr>
            <w:tcW w:w="1267" w:type="dxa"/>
            <w:noWrap/>
          </w:tcPr>
          <w:p w14:paraId="69A7F2DB" w14:textId="77777777" w:rsidR="00BD372F" w:rsidRPr="00BD372F" w:rsidRDefault="00BD372F" w:rsidP="00BD372F">
            <w:pPr>
              <w:spacing w:after="0" w:line="240" w:lineRule="auto"/>
              <w:jc w:val="right"/>
              <w:rPr>
                <w:rFonts w:ascii="Times New Roman" w:hAnsi="Times New Roman"/>
                <w:bCs/>
                <w:sz w:val="24"/>
                <w:szCs w:val="24"/>
                <w:lang w:eastAsia="sk-SK"/>
              </w:rPr>
            </w:pPr>
            <w:r w:rsidRPr="00BD372F">
              <w:rPr>
                <w:rFonts w:ascii="Times New Roman" w:hAnsi="Times New Roman"/>
                <w:bCs/>
                <w:sz w:val="24"/>
                <w:szCs w:val="24"/>
                <w:lang w:eastAsia="sk-SK"/>
              </w:rPr>
              <w:t>2 489 520</w:t>
            </w:r>
          </w:p>
        </w:tc>
        <w:tc>
          <w:tcPr>
            <w:tcW w:w="1267" w:type="dxa"/>
            <w:noWrap/>
          </w:tcPr>
          <w:p w14:paraId="6B1CB876" w14:textId="77777777" w:rsidR="00BD372F" w:rsidRPr="00BD372F" w:rsidRDefault="00BD372F" w:rsidP="00BD372F">
            <w:pPr>
              <w:spacing w:after="0" w:line="240" w:lineRule="auto"/>
              <w:jc w:val="right"/>
              <w:rPr>
                <w:rFonts w:ascii="Times New Roman" w:hAnsi="Times New Roman"/>
                <w:bCs/>
                <w:sz w:val="24"/>
                <w:szCs w:val="24"/>
                <w:lang w:eastAsia="sk-SK"/>
              </w:rPr>
            </w:pPr>
            <w:r w:rsidRPr="00BD372F">
              <w:rPr>
                <w:rFonts w:ascii="Times New Roman" w:hAnsi="Times New Roman"/>
                <w:bCs/>
                <w:sz w:val="24"/>
                <w:szCs w:val="24"/>
                <w:lang w:eastAsia="sk-SK"/>
              </w:rPr>
              <w:t>2 559 853</w:t>
            </w:r>
          </w:p>
        </w:tc>
      </w:tr>
      <w:tr w:rsidR="00BD372F" w:rsidRPr="00BD372F" w14:paraId="47D78E99" w14:textId="77777777" w:rsidTr="00154BAB">
        <w:trPr>
          <w:trHeight w:val="70"/>
          <w:jc w:val="center"/>
        </w:trPr>
        <w:tc>
          <w:tcPr>
            <w:tcW w:w="4661" w:type="dxa"/>
            <w:noWrap/>
            <w:vAlign w:val="center"/>
          </w:tcPr>
          <w:p w14:paraId="1765BCF1" w14:textId="77777777" w:rsidR="00BD372F" w:rsidRPr="00BD372F" w:rsidRDefault="00BD372F" w:rsidP="00BD372F">
            <w:pPr>
              <w:spacing w:after="0" w:line="240" w:lineRule="auto"/>
              <w:rPr>
                <w:rFonts w:ascii="Times New Roman" w:hAnsi="Times New Roman"/>
                <w:bCs/>
                <w:i/>
                <w:iCs/>
                <w:sz w:val="24"/>
                <w:szCs w:val="24"/>
                <w:lang w:eastAsia="sk-SK"/>
              </w:rPr>
            </w:pPr>
            <w:r w:rsidRPr="00BD372F">
              <w:rPr>
                <w:rFonts w:ascii="Times New Roman" w:hAnsi="Times New Roman"/>
                <w:bCs/>
                <w:i/>
                <w:iCs/>
                <w:sz w:val="24"/>
                <w:szCs w:val="24"/>
                <w:lang w:eastAsia="sk-SK"/>
              </w:rPr>
              <w:t>v tom: zmeny v informačných systémoch MF SR (Štátnej pokladnice)</w:t>
            </w:r>
          </w:p>
        </w:tc>
        <w:tc>
          <w:tcPr>
            <w:tcW w:w="1267" w:type="dxa"/>
            <w:noWrap/>
          </w:tcPr>
          <w:p w14:paraId="350E353B" w14:textId="77777777" w:rsidR="00BD372F" w:rsidRPr="00BD372F" w:rsidRDefault="00BD372F" w:rsidP="00BD372F">
            <w:pPr>
              <w:spacing w:after="0" w:line="240" w:lineRule="auto"/>
              <w:jc w:val="right"/>
              <w:rPr>
                <w:rFonts w:ascii="Times New Roman" w:hAnsi="Times New Roman"/>
                <w:bCs/>
                <w:sz w:val="24"/>
                <w:szCs w:val="24"/>
                <w:lang w:eastAsia="sk-SK"/>
              </w:rPr>
            </w:pPr>
            <w:r w:rsidRPr="00BD372F">
              <w:rPr>
                <w:rFonts w:ascii="Times New Roman" w:hAnsi="Times New Roman"/>
                <w:bCs/>
                <w:sz w:val="24"/>
                <w:szCs w:val="24"/>
                <w:lang w:eastAsia="sk-SK"/>
              </w:rPr>
              <w:t>473 788</w:t>
            </w:r>
          </w:p>
        </w:tc>
        <w:tc>
          <w:tcPr>
            <w:tcW w:w="1267" w:type="dxa"/>
            <w:noWrap/>
          </w:tcPr>
          <w:p w14:paraId="7D1CDD70" w14:textId="77777777" w:rsidR="00BD372F" w:rsidRPr="00BD372F" w:rsidRDefault="00BD372F" w:rsidP="00BD372F">
            <w:pPr>
              <w:spacing w:after="0" w:line="240" w:lineRule="auto"/>
              <w:jc w:val="right"/>
              <w:rPr>
                <w:rFonts w:ascii="Times New Roman" w:hAnsi="Times New Roman"/>
                <w:bCs/>
                <w:sz w:val="24"/>
                <w:szCs w:val="24"/>
                <w:lang w:eastAsia="sk-SK"/>
              </w:rPr>
            </w:pPr>
            <w:r w:rsidRPr="00BD372F">
              <w:rPr>
                <w:rFonts w:ascii="Times New Roman" w:hAnsi="Times New Roman"/>
                <w:bCs/>
                <w:sz w:val="24"/>
                <w:szCs w:val="24"/>
                <w:lang w:eastAsia="sk-SK"/>
              </w:rPr>
              <w:t>1 200 000</w:t>
            </w:r>
          </w:p>
        </w:tc>
        <w:tc>
          <w:tcPr>
            <w:tcW w:w="1267" w:type="dxa"/>
            <w:noWrap/>
          </w:tcPr>
          <w:p w14:paraId="57681D0E" w14:textId="77777777" w:rsidR="00BD372F" w:rsidRPr="00BD372F" w:rsidRDefault="00BD372F" w:rsidP="00BD372F">
            <w:pPr>
              <w:spacing w:after="0" w:line="240" w:lineRule="auto"/>
              <w:jc w:val="right"/>
              <w:rPr>
                <w:rFonts w:ascii="Times New Roman" w:hAnsi="Times New Roman"/>
                <w:bCs/>
                <w:sz w:val="24"/>
                <w:szCs w:val="24"/>
                <w:lang w:eastAsia="sk-SK"/>
              </w:rPr>
            </w:pPr>
            <w:r w:rsidRPr="00BD372F">
              <w:rPr>
                <w:rFonts w:ascii="Times New Roman" w:hAnsi="Times New Roman"/>
                <w:bCs/>
                <w:sz w:val="24"/>
                <w:szCs w:val="24"/>
                <w:lang w:eastAsia="sk-SK"/>
              </w:rPr>
              <w:t>2 400 000</w:t>
            </w:r>
          </w:p>
        </w:tc>
        <w:tc>
          <w:tcPr>
            <w:tcW w:w="1267" w:type="dxa"/>
            <w:noWrap/>
          </w:tcPr>
          <w:p w14:paraId="502F763B" w14:textId="77777777" w:rsidR="00BD372F" w:rsidRPr="00BD372F" w:rsidRDefault="00BD372F" w:rsidP="00BD372F">
            <w:pPr>
              <w:spacing w:after="0" w:line="240" w:lineRule="auto"/>
              <w:jc w:val="right"/>
              <w:rPr>
                <w:rFonts w:ascii="Times New Roman" w:hAnsi="Times New Roman"/>
                <w:bCs/>
                <w:sz w:val="24"/>
                <w:szCs w:val="24"/>
                <w:lang w:eastAsia="sk-SK"/>
              </w:rPr>
            </w:pPr>
            <w:r w:rsidRPr="00BD372F">
              <w:rPr>
                <w:rFonts w:ascii="Times New Roman" w:hAnsi="Times New Roman"/>
                <w:bCs/>
                <w:sz w:val="24"/>
                <w:szCs w:val="24"/>
                <w:lang w:eastAsia="sk-SK"/>
              </w:rPr>
              <w:t>2 400 000</w:t>
            </w:r>
          </w:p>
        </w:tc>
      </w:tr>
      <w:tr w:rsidR="00BD372F" w:rsidRPr="00BD372F" w14:paraId="37EC24B1" w14:textId="77777777" w:rsidTr="00154BAB">
        <w:trPr>
          <w:trHeight w:val="70"/>
          <w:jc w:val="center"/>
        </w:trPr>
        <w:tc>
          <w:tcPr>
            <w:tcW w:w="4661" w:type="dxa"/>
            <w:noWrap/>
            <w:vAlign w:val="center"/>
          </w:tcPr>
          <w:p w14:paraId="33866344" w14:textId="77777777" w:rsidR="00BD372F" w:rsidRPr="00BD372F" w:rsidRDefault="00BD372F" w:rsidP="00BD372F">
            <w:pPr>
              <w:spacing w:after="0" w:line="240" w:lineRule="auto"/>
              <w:rPr>
                <w:rFonts w:ascii="Times New Roman" w:hAnsi="Times New Roman"/>
                <w:bCs/>
                <w:i/>
                <w:iCs/>
                <w:sz w:val="24"/>
                <w:szCs w:val="24"/>
                <w:lang w:eastAsia="sk-SK"/>
              </w:rPr>
            </w:pPr>
            <w:r w:rsidRPr="00BD372F">
              <w:rPr>
                <w:rFonts w:ascii="Times New Roman" w:hAnsi="Times New Roman"/>
                <w:bCs/>
                <w:i/>
                <w:iCs/>
                <w:sz w:val="24"/>
                <w:szCs w:val="24"/>
                <w:lang w:eastAsia="sk-SK"/>
              </w:rPr>
              <w:t>v tom: bežné výdavky Úrad vládneho auditu</w:t>
            </w:r>
          </w:p>
        </w:tc>
        <w:tc>
          <w:tcPr>
            <w:tcW w:w="1267" w:type="dxa"/>
            <w:noWrap/>
          </w:tcPr>
          <w:p w14:paraId="459AFFD2" w14:textId="77777777" w:rsidR="00BD372F" w:rsidRPr="00BD372F" w:rsidRDefault="00BD372F" w:rsidP="00BD372F">
            <w:pPr>
              <w:spacing w:after="0" w:line="240" w:lineRule="auto"/>
              <w:jc w:val="right"/>
              <w:rPr>
                <w:rFonts w:ascii="Times New Roman" w:hAnsi="Times New Roman"/>
                <w:bCs/>
                <w:sz w:val="24"/>
                <w:szCs w:val="24"/>
                <w:lang w:eastAsia="sk-SK"/>
              </w:rPr>
            </w:pPr>
            <w:r w:rsidRPr="00BD372F">
              <w:rPr>
                <w:rFonts w:ascii="Times New Roman" w:hAnsi="Times New Roman"/>
                <w:bCs/>
                <w:sz w:val="24"/>
                <w:szCs w:val="24"/>
                <w:lang w:eastAsia="sk-SK"/>
              </w:rPr>
              <w:t>0</w:t>
            </w:r>
          </w:p>
        </w:tc>
        <w:tc>
          <w:tcPr>
            <w:tcW w:w="1267" w:type="dxa"/>
            <w:noWrap/>
          </w:tcPr>
          <w:p w14:paraId="6654E624" w14:textId="77777777" w:rsidR="00BD372F" w:rsidRPr="00BD372F" w:rsidRDefault="00BD372F" w:rsidP="00BD372F">
            <w:pPr>
              <w:spacing w:after="0" w:line="240" w:lineRule="auto"/>
              <w:jc w:val="right"/>
              <w:rPr>
                <w:rFonts w:ascii="Times New Roman" w:hAnsi="Times New Roman"/>
                <w:bCs/>
                <w:sz w:val="24"/>
                <w:szCs w:val="24"/>
                <w:lang w:eastAsia="sk-SK"/>
              </w:rPr>
            </w:pPr>
            <w:r w:rsidRPr="00BD372F">
              <w:rPr>
                <w:rFonts w:ascii="Times New Roman" w:hAnsi="Times New Roman"/>
                <w:bCs/>
                <w:sz w:val="24"/>
                <w:szCs w:val="24"/>
                <w:lang w:eastAsia="sk-SK"/>
              </w:rPr>
              <w:t>92 520</w:t>
            </w:r>
          </w:p>
        </w:tc>
        <w:tc>
          <w:tcPr>
            <w:tcW w:w="1267" w:type="dxa"/>
            <w:noWrap/>
          </w:tcPr>
          <w:p w14:paraId="620DDE86" w14:textId="77777777" w:rsidR="00BD372F" w:rsidRPr="00BD372F" w:rsidRDefault="00BD372F" w:rsidP="00BD372F">
            <w:pPr>
              <w:spacing w:after="0" w:line="240" w:lineRule="auto"/>
              <w:jc w:val="right"/>
              <w:rPr>
                <w:rFonts w:ascii="Times New Roman" w:hAnsi="Times New Roman"/>
                <w:bCs/>
                <w:sz w:val="24"/>
                <w:szCs w:val="24"/>
                <w:lang w:eastAsia="sk-SK"/>
              </w:rPr>
            </w:pPr>
            <w:r w:rsidRPr="00BD372F">
              <w:rPr>
                <w:rFonts w:ascii="Times New Roman" w:hAnsi="Times New Roman"/>
                <w:bCs/>
                <w:sz w:val="24"/>
                <w:szCs w:val="24"/>
                <w:lang w:eastAsia="sk-SK"/>
              </w:rPr>
              <w:t>89 520</w:t>
            </w:r>
          </w:p>
        </w:tc>
        <w:tc>
          <w:tcPr>
            <w:tcW w:w="1267" w:type="dxa"/>
            <w:noWrap/>
          </w:tcPr>
          <w:p w14:paraId="491EA6A7" w14:textId="77777777" w:rsidR="00BD372F" w:rsidRPr="00BD372F" w:rsidRDefault="00BD372F" w:rsidP="00BD372F">
            <w:pPr>
              <w:spacing w:after="0" w:line="240" w:lineRule="auto"/>
              <w:jc w:val="right"/>
              <w:rPr>
                <w:rFonts w:ascii="Times New Roman" w:hAnsi="Times New Roman"/>
                <w:bCs/>
                <w:sz w:val="24"/>
                <w:szCs w:val="24"/>
                <w:lang w:eastAsia="sk-SK"/>
              </w:rPr>
            </w:pPr>
            <w:r w:rsidRPr="00BD372F">
              <w:rPr>
                <w:rFonts w:ascii="Times New Roman" w:hAnsi="Times New Roman"/>
                <w:bCs/>
                <w:sz w:val="24"/>
                <w:szCs w:val="24"/>
                <w:lang w:eastAsia="sk-SK"/>
              </w:rPr>
              <w:t>89 520</w:t>
            </w:r>
          </w:p>
        </w:tc>
      </w:tr>
      <w:tr w:rsidR="00BD372F" w:rsidRPr="00BD372F" w14:paraId="4277E901" w14:textId="77777777" w:rsidTr="00154BAB">
        <w:trPr>
          <w:trHeight w:val="70"/>
          <w:jc w:val="center"/>
        </w:trPr>
        <w:tc>
          <w:tcPr>
            <w:tcW w:w="4661" w:type="dxa"/>
            <w:noWrap/>
            <w:vAlign w:val="center"/>
          </w:tcPr>
          <w:p w14:paraId="794873D6" w14:textId="77777777" w:rsidR="00BD372F" w:rsidRPr="00BD372F" w:rsidRDefault="00BD372F" w:rsidP="00BD372F">
            <w:pPr>
              <w:spacing w:after="0" w:line="240" w:lineRule="auto"/>
              <w:rPr>
                <w:rFonts w:ascii="Times New Roman" w:hAnsi="Times New Roman"/>
                <w:bCs/>
                <w:i/>
                <w:iCs/>
                <w:sz w:val="24"/>
                <w:szCs w:val="24"/>
                <w:lang w:eastAsia="sk-SK"/>
              </w:rPr>
            </w:pPr>
            <w:r w:rsidRPr="00BD372F">
              <w:rPr>
                <w:rFonts w:ascii="Times New Roman" w:hAnsi="Times New Roman"/>
                <w:bCs/>
                <w:i/>
                <w:iCs/>
                <w:sz w:val="24"/>
                <w:szCs w:val="24"/>
                <w:lang w:eastAsia="sk-SK"/>
              </w:rPr>
              <w:t>v tom: kapitálové výdavky FR SR</w:t>
            </w:r>
          </w:p>
        </w:tc>
        <w:tc>
          <w:tcPr>
            <w:tcW w:w="1267" w:type="dxa"/>
            <w:noWrap/>
          </w:tcPr>
          <w:p w14:paraId="6B90DB44" w14:textId="77777777" w:rsidR="00BD372F" w:rsidRPr="00BD372F" w:rsidRDefault="00BD372F" w:rsidP="00BD372F">
            <w:pPr>
              <w:spacing w:after="0" w:line="240" w:lineRule="auto"/>
              <w:jc w:val="right"/>
              <w:rPr>
                <w:rFonts w:ascii="Times New Roman" w:hAnsi="Times New Roman"/>
                <w:bCs/>
                <w:sz w:val="24"/>
                <w:szCs w:val="24"/>
                <w:lang w:eastAsia="sk-SK"/>
              </w:rPr>
            </w:pPr>
            <w:r w:rsidRPr="00BD372F">
              <w:rPr>
                <w:rFonts w:ascii="Times New Roman" w:hAnsi="Times New Roman"/>
                <w:bCs/>
                <w:sz w:val="24"/>
                <w:szCs w:val="24"/>
                <w:lang w:eastAsia="sk-SK"/>
              </w:rPr>
              <w:t>0</w:t>
            </w:r>
          </w:p>
        </w:tc>
        <w:tc>
          <w:tcPr>
            <w:tcW w:w="1267" w:type="dxa"/>
            <w:noWrap/>
          </w:tcPr>
          <w:p w14:paraId="2F38A9BA" w14:textId="77777777" w:rsidR="00BD372F" w:rsidRPr="00BD372F" w:rsidRDefault="00BD372F" w:rsidP="00BD372F">
            <w:pPr>
              <w:spacing w:after="0" w:line="240" w:lineRule="auto"/>
              <w:jc w:val="right"/>
              <w:rPr>
                <w:rFonts w:ascii="Times New Roman" w:hAnsi="Times New Roman"/>
                <w:bCs/>
                <w:sz w:val="24"/>
                <w:szCs w:val="24"/>
                <w:lang w:eastAsia="sk-SK"/>
              </w:rPr>
            </w:pPr>
            <w:r w:rsidRPr="00BD372F">
              <w:rPr>
                <w:rFonts w:ascii="Times New Roman" w:hAnsi="Times New Roman"/>
                <w:bCs/>
                <w:sz w:val="24"/>
                <w:szCs w:val="24"/>
                <w:lang w:eastAsia="sk-SK"/>
              </w:rPr>
              <w:t>0</w:t>
            </w:r>
          </w:p>
        </w:tc>
        <w:tc>
          <w:tcPr>
            <w:tcW w:w="1267" w:type="dxa"/>
            <w:noWrap/>
          </w:tcPr>
          <w:p w14:paraId="2BD41F4F" w14:textId="77777777" w:rsidR="00BD372F" w:rsidRPr="00BD372F" w:rsidRDefault="00BD372F" w:rsidP="00BD372F">
            <w:pPr>
              <w:spacing w:after="0" w:line="240" w:lineRule="auto"/>
              <w:jc w:val="right"/>
              <w:rPr>
                <w:rFonts w:ascii="Times New Roman" w:hAnsi="Times New Roman"/>
                <w:bCs/>
                <w:sz w:val="24"/>
                <w:szCs w:val="24"/>
                <w:lang w:eastAsia="sk-SK"/>
              </w:rPr>
            </w:pPr>
            <w:r w:rsidRPr="00BD372F">
              <w:rPr>
                <w:rFonts w:ascii="Times New Roman" w:hAnsi="Times New Roman"/>
                <w:bCs/>
                <w:sz w:val="24"/>
                <w:szCs w:val="24"/>
                <w:lang w:eastAsia="sk-SK"/>
              </w:rPr>
              <w:t>0</w:t>
            </w:r>
          </w:p>
        </w:tc>
        <w:tc>
          <w:tcPr>
            <w:tcW w:w="1267" w:type="dxa"/>
            <w:noWrap/>
          </w:tcPr>
          <w:p w14:paraId="03C1F245" w14:textId="77777777" w:rsidR="00BD372F" w:rsidRPr="00BD372F" w:rsidRDefault="00BD372F" w:rsidP="00BD372F">
            <w:pPr>
              <w:spacing w:after="0" w:line="240" w:lineRule="auto"/>
              <w:jc w:val="right"/>
              <w:rPr>
                <w:rFonts w:ascii="Times New Roman" w:hAnsi="Times New Roman"/>
                <w:bCs/>
                <w:sz w:val="24"/>
                <w:szCs w:val="24"/>
                <w:lang w:eastAsia="sk-SK"/>
              </w:rPr>
            </w:pPr>
            <w:r w:rsidRPr="00BD372F">
              <w:rPr>
                <w:rFonts w:ascii="Times New Roman" w:hAnsi="Times New Roman"/>
                <w:bCs/>
                <w:sz w:val="24"/>
                <w:szCs w:val="24"/>
                <w:lang w:eastAsia="sk-SK"/>
              </w:rPr>
              <w:t>70 333</w:t>
            </w:r>
          </w:p>
        </w:tc>
      </w:tr>
      <w:tr w:rsidR="00BD372F" w:rsidRPr="00BD372F" w14:paraId="65F921E7" w14:textId="77777777" w:rsidTr="00154BAB">
        <w:trPr>
          <w:trHeight w:val="70"/>
          <w:jc w:val="center"/>
        </w:trPr>
        <w:tc>
          <w:tcPr>
            <w:tcW w:w="4661" w:type="dxa"/>
            <w:noWrap/>
            <w:vAlign w:val="center"/>
          </w:tcPr>
          <w:p w14:paraId="0D329E16" w14:textId="77777777" w:rsidR="00BD372F" w:rsidRPr="00BD372F" w:rsidRDefault="00BD372F" w:rsidP="00BD372F">
            <w:pPr>
              <w:spacing w:after="0" w:line="240" w:lineRule="auto"/>
              <w:rPr>
                <w:rFonts w:ascii="Times New Roman" w:hAnsi="Times New Roman"/>
                <w:bCs/>
                <w:i/>
                <w:iCs/>
                <w:sz w:val="24"/>
                <w:szCs w:val="24"/>
                <w:lang w:eastAsia="sk-SK"/>
              </w:rPr>
            </w:pPr>
            <w:r w:rsidRPr="00BD372F">
              <w:rPr>
                <w:rFonts w:ascii="Times New Roman" w:hAnsi="Times New Roman"/>
                <w:bCs/>
                <w:i/>
                <w:iCs/>
                <w:sz w:val="24"/>
                <w:szCs w:val="24"/>
                <w:lang w:eastAsia="sk-SK"/>
              </w:rPr>
              <w:t xml:space="preserve">    EÚ zdroje</w:t>
            </w:r>
          </w:p>
        </w:tc>
        <w:tc>
          <w:tcPr>
            <w:tcW w:w="1267" w:type="dxa"/>
            <w:noWrap/>
            <w:vAlign w:val="center"/>
          </w:tcPr>
          <w:p w14:paraId="69E779D9" w14:textId="77777777" w:rsidR="00BD372F" w:rsidRPr="00BD372F" w:rsidRDefault="00BD372F" w:rsidP="00BD372F">
            <w:pPr>
              <w:spacing w:after="0" w:line="240" w:lineRule="auto"/>
              <w:jc w:val="right"/>
              <w:rPr>
                <w:rFonts w:ascii="Times New Roman" w:hAnsi="Times New Roman"/>
                <w:sz w:val="24"/>
                <w:szCs w:val="24"/>
                <w:lang w:eastAsia="sk-SK"/>
              </w:rPr>
            </w:pPr>
            <w:r w:rsidRPr="00BD372F">
              <w:rPr>
                <w:rFonts w:ascii="Times New Roman" w:hAnsi="Times New Roman"/>
                <w:sz w:val="24"/>
                <w:szCs w:val="24"/>
                <w:lang w:eastAsia="sk-SK"/>
              </w:rPr>
              <w:t>0</w:t>
            </w:r>
          </w:p>
        </w:tc>
        <w:tc>
          <w:tcPr>
            <w:tcW w:w="1267" w:type="dxa"/>
            <w:noWrap/>
            <w:vAlign w:val="center"/>
          </w:tcPr>
          <w:p w14:paraId="703A5B16" w14:textId="77777777" w:rsidR="00BD372F" w:rsidRPr="00BD372F" w:rsidRDefault="00BD372F" w:rsidP="00BD372F">
            <w:pPr>
              <w:spacing w:after="0" w:line="240" w:lineRule="auto"/>
              <w:jc w:val="right"/>
              <w:rPr>
                <w:rFonts w:ascii="Times New Roman" w:hAnsi="Times New Roman"/>
                <w:sz w:val="24"/>
                <w:szCs w:val="24"/>
                <w:lang w:eastAsia="sk-SK"/>
              </w:rPr>
            </w:pPr>
            <w:r w:rsidRPr="00BD372F">
              <w:rPr>
                <w:rFonts w:ascii="Times New Roman" w:hAnsi="Times New Roman"/>
                <w:sz w:val="24"/>
                <w:szCs w:val="24"/>
                <w:lang w:eastAsia="sk-SK"/>
              </w:rPr>
              <w:t>0</w:t>
            </w:r>
          </w:p>
        </w:tc>
        <w:tc>
          <w:tcPr>
            <w:tcW w:w="1267" w:type="dxa"/>
            <w:noWrap/>
            <w:vAlign w:val="center"/>
          </w:tcPr>
          <w:p w14:paraId="09C5525B" w14:textId="77777777" w:rsidR="00BD372F" w:rsidRPr="00BD372F" w:rsidRDefault="00BD372F" w:rsidP="00BD372F">
            <w:pPr>
              <w:spacing w:after="0" w:line="240" w:lineRule="auto"/>
              <w:jc w:val="right"/>
              <w:rPr>
                <w:rFonts w:ascii="Times New Roman" w:hAnsi="Times New Roman"/>
                <w:sz w:val="24"/>
                <w:szCs w:val="24"/>
                <w:lang w:eastAsia="sk-SK"/>
              </w:rPr>
            </w:pPr>
            <w:r w:rsidRPr="00BD372F">
              <w:rPr>
                <w:rFonts w:ascii="Times New Roman" w:hAnsi="Times New Roman"/>
                <w:sz w:val="24"/>
                <w:szCs w:val="24"/>
                <w:lang w:eastAsia="sk-SK"/>
              </w:rPr>
              <w:t>0</w:t>
            </w:r>
          </w:p>
        </w:tc>
        <w:tc>
          <w:tcPr>
            <w:tcW w:w="1267" w:type="dxa"/>
            <w:noWrap/>
            <w:vAlign w:val="center"/>
          </w:tcPr>
          <w:p w14:paraId="71F52E2B" w14:textId="77777777" w:rsidR="00BD372F" w:rsidRPr="00BD372F" w:rsidRDefault="00BD372F" w:rsidP="00BD372F">
            <w:pPr>
              <w:spacing w:after="0" w:line="240" w:lineRule="auto"/>
              <w:jc w:val="right"/>
              <w:rPr>
                <w:rFonts w:ascii="Times New Roman" w:hAnsi="Times New Roman"/>
                <w:sz w:val="24"/>
                <w:szCs w:val="24"/>
                <w:lang w:eastAsia="sk-SK"/>
              </w:rPr>
            </w:pPr>
            <w:r w:rsidRPr="00BD372F">
              <w:rPr>
                <w:rFonts w:ascii="Times New Roman" w:hAnsi="Times New Roman"/>
                <w:sz w:val="24"/>
                <w:szCs w:val="24"/>
                <w:lang w:eastAsia="sk-SK"/>
              </w:rPr>
              <w:t>0</w:t>
            </w:r>
          </w:p>
        </w:tc>
      </w:tr>
      <w:tr w:rsidR="00BD372F" w:rsidRPr="00BD372F" w14:paraId="6ABB0FA6" w14:textId="77777777" w:rsidTr="00154BAB">
        <w:trPr>
          <w:trHeight w:val="70"/>
          <w:jc w:val="center"/>
        </w:trPr>
        <w:tc>
          <w:tcPr>
            <w:tcW w:w="4661" w:type="dxa"/>
            <w:noWrap/>
            <w:vAlign w:val="center"/>
          </w:tcPr>
          <w:p w14:paraId="2196858B" w14:textId="77777777" w:rsidR="00BD372F" w:rsidRPr="00BD372F" w:rsidRDefault="00BD372F" w:rsidP="00BD372F">
            <w:pPr>
              <w:spacing w:after="0" w:line="240" w:lineRule="auto"/>
              <w:rPr>
                <w:rFonts w:ascii="Times New Roman" w:hAnsi="Times New Roman"/>
                <w:bCs/>
                <w:i/>
                <w:iCs/>
                <w:sz w:val="24"/>
                <w:szCs w:val="24"/>
                <w:lang w:eastAsia="sk-SK"/>
              </w:rPr>
            </w:pPr>
            <w:r w:rsidRPr="00BD372F">
              <w:rPr>
                <w:rFonts w:ascii="Times New Roman" w:hAnsi="Times New Roman"/>
                <w:bCs/>
                <w:i/>
                <w:iCs/>
                <w:sz w:val="24"/>
                <w:szCs w:val="24"/>
                <w:lang w:eastAsia="sk-SK"/>
              </w:rPr>
              <w:t xml:space="preserve">    spolufinancovanie</w:t>
            </w:r>
          </w:p>
        </w:tc>
        <w:tc>
          <w:tcPr>
            <w:tcW w:w="1267" w:type="dxa"/>
            <w:noWrap/>
            <w:vAlign w:val="center"/>
          </w:tcPr>
          <w:p w14:paraId="268DEB2E" w14:textId="77777777" w:rsidR="00BD372F" w:rsidRPr="00BD372F" w:rsidRDefault="00BD372F" w:rsidP="00BD372F">
            <w:pPr>
              <w:spacing w:after="0" w:line="240" w:lineRule="auto"/>
              <w:jc w:val="right"/>
              <w:rPr>
                <w:rFonts w:ascii="Times New Roman" w:hAnsi="Times New Roman"/>
                <w:sz w:val="24"/>
                <w:szCs w:val="24"/>
                <w:lang w:eastAsia="sk-SK"/>
              </w:rPr>
            </w:pPr>
            <w:r w:rsidRPr="00BD372F">
              <w:rPr>
                <w:rFonts w:ascii="Times New Roman" w:hAnsi="Times New Roman"/>
                <w:sz w:val="24"/>
                <w:szCs w:val="24"/>
                <w:lang w:eastAsia="sk-SK"/>
              </w:rPr>
              <w:t>0</w:t>
            </w:r>
          </w:p>
        </w:tc>
        <w:tc>
          <w:tcPr>
            <w:tcW w:w="1267" w:type="dxa"/>
            <w:noWrap/>
            <w:vAlign w:val="center"/>
          </w:tcPr>
          <w:p w14:paraId="2D841AB4" w14:textId="77777777" w:rsidR="00BD372F" w:rsidRPr="00BD372F" w:rsidRDefault="00BD372F" w:rsidP="00BD372F">
            <w:pPr>
              <w:spacing w:after="0" w:line="240" w:lineRule="auto"/>
              <w:jc w:val="right"/>
              <w:rPr>
                <w:rFonts w:ascii="Times New Roman" w:hAnsi="Times New Roman"/>
                <w:sz w:val="24"/>
                <w:szCs w:val="24"/>
                <w:lang w:eastAsia="sk-SK"/>
              </w:rPr>
            </w:pPr>
            <w:r w:rsidRPr="00BD372F">
              <w:rPr>
                <w:rFonts w:ascii="Times New Roman" w:hAnsi="Times New Roman"/>
                <w:sz w:val="24"/>
                <w:szCs w:val="24"/>
                <w:lang w:eastAsia="sk-SK"/>
              </w:rPr>
              <w:t>0</w:t>
            </w:r>
          </w:p>
        </w:tc>
        <w:tc>
          <w:tcPr>
            <w:tcW w:w="1267" w:type="dxa"/>
            <w:noWrap/>
            <w:vAlign w:val="center"/>
          </w:tcPr>
          <w:p w14:paraId="400140CF" w14:textId="77777777" w:rsidR="00BD372F" w:rsidRPr="00BD372F" w:rsidRDefault="00BD372F" w:rsidP="00BD372F">
            <w:pPr>
              <w:spacing w:after="0" w:line="240" w:lineRule="auto"/>
              <w:jc w:val="right"/>
              <w:rPr>
                <w:rFonts w:ascii="Times New Roman" w:hAnsi="Times New Roman"/>
                <w:sz w:val="24"/>
                <w:szCs w:val="24"/>
                <w:lang w:eastAsia="sk-SK"/>
              </w:rPr>
            </w:pPr>
            <w:r w:rsidRPr="00BD372F">
              <w:rPr>
                <w:rFonts w:ascii="Times New Roman" w:hAnsi="Times New Roman"/>
                <w:sz w:val="24"/>
                <w:szCs w:val="24"/>
                <w:lang w:eastAsia="sk-SK"/>
              </w:rPr>
              <w:t>0</w:t>
            </w:r>
          </w:p>
        </w:tc>
        <w:tc>
          <w:tcPr>
            <w:tcW w:w="1267" w:type="dxa"/>
            <w:noWrap/>
            <w:vAlign w:val="center"/>
          </w:tcPr>
          <w:p w14:paraId="0B2021BD" w14:textId="77777777" w:rsidR="00BD372F" w:rsidRPr="00BD372F" w:rsidRDefault="00BD372F" w:rsidP="00BD372F">
            <w:pPr>
              <w:spacing w:after="0" w:line="240" w:lineRule="auto"/>
              <w:jc w:val="right"/>
              <w:rPr>
                <w:rFonts w:ascii="Times New Roman" w:hAnsi="Times New Roman"/>
                <w:sz w:val="24"/>
                <w:szCs w:val="24"/>
                <w:lang w:eastAsia="sk-SK"/>
              </w:rPr>
            </w:pPr>
            <w:r w:rsidRPr="00BD372F">
              <w:rPr>
                <w:rFonts w:ascii="Times New Roman" w:hAnsi="Times New Roman"/>
                <w:sz w:val="24"/>
                <w:szCs w:val="24"/>
                <w:lang w:eastAsia="sk-SK"/>
              </w:rPr>
              <w:t>0</w:t>
            </w:r>
          </w:p>
        </w:tc>
      </w:tr>
      <w:tr w:rsidR="00BD372F" w:rsidRPr="00BD372F" w14:paraId="5A5B2075" w14:textId="77777777" w:rsidTr="00154BAB">
        <w:trPr>
          <w:trHeight w:val="125"/>
          <w:jc w:val="center"/>
        </w:trPr>
        <w:tc>
          <w:tcPr>
            <w:tcW w:w="4661" w:type="dxa"/>
            <w:noWrap/>
            <w:vAlign w:val="center"/>
          </w:tcPr>
          <w:p w14:paraId="255431CB" w14:textId="77777777" w:rsidR="00BD372F" w:rsidRPr="00BD372F" w:rsidRDefault="00BD372F" w:rsidP="00BD372F">
            <w:pPr>
              <w:spacing w:after="0" w:line="240" w:lineRule="auto"/>
              <w:rPr>
                <w:rFonts w:ascii="Times New Roman" w:hAnsi="Times New Roman"/>
                <w:b/>
                <w:bCs/>
                <w:i/>
                <w:iCs/>
                <w:sz w:val="24"/>
                <w:szCs w:val="24"/>
                <w:lang w:eastAsia="sk-SK"/>
              </w:rPr>
            </w:pPr>
            <w:r w:rsidRPr="00BD372F">
              <w:rPr>
                <w:rFonts w:ascii="Times New Roman" w:hAnsi="Times New Roman"/>
                <w:b/>
                <w:bCs/>
                <w:i/>
                <w:iCs/>
                <w:sz w:val="24"/>
                <w:szCs w:val="24"/>
                <w:lang w:eastAsia="sk-SK"/>
              </w:rPr>
              <w:t>- vplyv na obce</w:t>
            </w:r>
          </w:p>
        </w:tc>
        <w:tc>
          <w:tcPr>
            <w:tcW w:w="1267" w:type="dxa"/>
            <w:noWrap/>
            <w:vAlign w:val="center"/>
          </w:tcPr>
          <w:p w14:paraId="2A06EE19"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c>
          <w:tcPr>
            <w:tcW w:w="1267" w:type="dxa"/>
            <w:noWrap/>
            <w:vAlign w:val="center"/>
          </w:tcPr>
          <w:p w14:paraId="66E8F525"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c>
          <w:tcPr>
            <w:tcW w:w="1267" w:type="dxa"/>
            <w:noWrap/>
            <w:vAlign w:val="center"/>
          </w:tcPr>
          <w:p w14:paraId="121171E6"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c>
          <w:tcPr>
            <w:tcW w:w="1267" w:type="dxa"/>
            <w:noWrap/>
            <w:vAlign w:val="center"/>
          </w:tcPr>
          <w:p w14:paraId="424B35C8"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r>
      <w:tr w:rsidR="00BD372F" w:rsidRPr="00BD372F" w14:paraId="3D7FBE68" w14:textId="77777777" w:rsidTr="00154BAB">
        <w:trPr>
          <w:trHeight w:val="125"/>
          <w:jc w:val="center"/>
        </w:trPr>
        <w:tc>
          <w:tcPr>
            <w:tcW w:w="4661" w:type="dxa"/>
            <w:noWrap/>
            <w:vAlign w:val="center"/>
          </w:tcPr>
          <w:p w14:paraId="74F90A6F" w14:textId="77777777" w:rsidR="00BD372F" w:rsidRPr="00BD372F" w:rsidRDefault="00BD372F" w:rsidP="00BD372F">
            <w:pPr>
              <w:spacing w:after="0" w:line="240" w:lineRule="auto"/>
              <w:rPr>
                <w:rFonts w:ascii="Times New Roman" w:hAnsi="Times New Roman"/>
                <w:bCs/>
                <w:i/>
                <w:iCs/>
                <w:sz w:val="24"/>
                <w:szCs w:val="24"/>
                <w:lang w:eastAsia="sk-SK"/>
              </w:rPr>
            </w:pPr>
            <w:r w:rsidRPr="00BD372F">
              <w:rPr>
                <w:rFonts w:ascii="Times New Roman" w:hAnsi="Times New Roman"/>
                <w:bCs/>
                <w:i/>
                <w:iCs/>
                <w:sz w:val="24"/>
                <w:szCs w:val="24"/>
                <w:lang w:eastAsia="sk-SK"/>
              </w:rPr>
              <w:t xml:space="preserve">z toho vplyv nových úloh v zmysle ods. 2 Čl. 6 ústavného zákona č. 493/2011 Z. z. </w:t>
            </w:r>
          </w:p>
          <w:p w14:paraId="11122DAD" w14:textId="77777777" w:rsidR="00BD372F" w:rsidRPr="00BD372F" w:rsidRDefault="00BD372F" w:rsidP="00BD372F">
            <w:pPr>
              <w:spacing w:after="0" w:line="240" w:lineRule="auto"/>
              <w:rPr>
                <w:rFonts w:ascii="Times New Roman" w:hAnsi="Times New Roman"/>
                <w:b/>
                <w:bCs/>
                <w:i/>
                <w:iCs/>
                <w:sz w:val="24"/>
                <w:szCs w:val="24"/>
                <w:lang w:eastAsia="sk-SK"/>
              </w:rPr>
            </w:pPr>
            <w:r w:rsidRPr="00BD372F">
              <w:rPr>
                <w:rFonts w:ascii="Times New Roman" w:hAnsi="Times New Roman"/>
                <w:bCs/>
                <w:i/>
                <w:iCs/>
                <w:sz w:val="24"/>
                <w:szCs w:val="24"/>
                <w:lang w:eastAsia="sk-SK"/>
              </w:rPr>
              <w:t>o rozpočtovej zodpovednosti</w:t>
            </w:r>
          </w:p>
        </w:tc>
        <w:tc>
          <w:tcPr>
            <w:tcW w:w="1267" w:type="dxa"/>
            <w:noWrap/>
            <w:vAlign w:val="center"/>
          </w:tcPr>
          <w:p w14:paraId="016F0850" w14:textId="77777777" w:rsidR="00BD372F" w:rsidRPr="00BD372F" w:rsidRDefault="00BD372F" w:rsidP="00BD372F">
            <w:pPr>
              <w:spacing w:after="0" w:line="240" w:lineRule="auto"/>
              <w:jc w:val="right"/>
              <w:rPr>
                <w:rFonts w:ascii="Times New Roman" w:hAnsi="Times New Roman"/>
                <w:sz w:val="24"/>
                <w:szCs w:val="24"/>
                <w:lang w:eastAsia="sk-SK"/>
              </w:rPr>
            </w:pPr>
            <w:r w:rsidRPr="00BD372F">
              <w:rPr>
                <w:rFonts w:ascii="Times New Roman" w:hAnsi="Times New Roman"/>
                <w:sz w:val="24"/>
                <w:szCs w:val="24"/>
                <w:lang w:eastAsia="sk-SK"/>
              </w:rPr>
              <w:t>0</w:t>
            </w:r>
          </w:p>
        </w:tc>
        <w:tc>
          <w:tcPr>
            <w:tcW w:w="1267" w:type="dxa"/>
            <w:noWrap/>
            <w:vAlign w:val="center"/>
          </w:tcPr>
          <w:p w14:paraId="1B9E9CF6" w14:textId="77777777" w:rsidR="00BD372F" w:rsidRPr="00BD372F" w:rsidRDefault="00BD372F" w:rsidP="00BD372F">
            <w:pPr>
              <w:spacing w:after="0" w:line="240" w:lineRule="auto"/>
              <w:jc w:val="right"/>
              <w:rPr>
                <w:rFonts w:ascii="Times New Roman" w:hAnsi="Times New Roman"/>
                <w:sz w:val="24"/>
                <w:szCs w:val="24"/>
                <w:lang w:eastAsia="sk-SK"/>
              </w:rPr>
            </w:pPr>
            <w:r w:rsidRPr="00BD372F">
              <w:rPr>
                <w:rFonts w:ascii="Times New Roman" w:hAnsi="Times New Roman"/>
                <w:sz w:val="24"/>
                <w:szCs w:val="24"/>
                <w:lang w:eastAsia="sk-SK"/>
              </w:rPr>
              <w:t>0</w:t>
            </w:r>
          </w:p>
        </w:tc>
        <w:tc>
          <w:tcPr>
            <w:tcW w:w="1267" w:type="dxa"/>
            <w:noWrap/>
            <w:vAlign w:val="center"/>
          </w:tcPr>
          <w:p w14:paraId="2EF8502D" w14:textId="77777777" w:rsidR="00BD372F" w:rsidRPr="00BD372F" w:rsidRDefault="00BD372F" w:rsidP="00BD372F">
            <w:pPr>
              <w:spacing w:after="0" w:line="240" w:lineRule="auto"/>
              <w:jc w:val="right"/>
              <w:rPr>
                <w:rFonts w:ascii="Times New Roman" w:hAnsi="Times New Roman"/>
                <w:sz w:val="24"/>
                <w:szCs w:val="24"/>
                <w:lang w:eastAsia="sk-SK"/>
              </w:rPr>
            </w:pPr>
            <w:r w:rsidRPr="00BD372F">
              <w:rPr>
                <w:rFonts w:ascii="Times New Roman" w:hAnsi="Times New Roman"/>
                <w:sz w:val="24"/>
                <w:szCs w:val="24"/>
                <w:lang w:eastAsia="sk-SK"/>
              </w:rPr>
              <w:t>0</w:t>
            </w:r>
          </w:p>
        </w:tc>
        <w:tc>
          <w:tcPr>
            <w:tcW w:w="1267" w:type="dxa"/>
            <w:noWrap/>
            <w:vAlign w:val="center"/>
          </w:tcPr>
          <w:p w14:paraId="0728A648" w14:textId="77777777" w:rsidR="00BD372F" w:rsidRPr="00BD372F" w:rsidRDefault="00BD372F" w:rsidP="00BD372F">
            <w:pPr>
              <w:spacing w:after="0" w:line="240" w:lineRule="auto"/>
              <w:jc w:val="right"/>
              <w:rPr>
                <w:rFonts w:ascii="Times New Roman" w:hAnsi="Times New Roman"/>
                <w:sz w:val="24"/>
                <w:szCs w:val="24"/>
                <w:lang w:eastAsia="sk-SK"/>
              </w:rPr>
            </w:pPr>
            <w:r w:rsidRPr="00BD372F">
              <w:rPr>
                <w:rFonts w:ascii="Times New Roman" w:hAnsi="Times New Roman"/>
                <w:sz w:val="24"/>
                <w:szCs w:val="24"/>
                <w:lang w:eastAsia="sk-SK"/>
              </w:rPr>
              <w:t>0</w:t>
            </w:r>
          </w:p>
        </w:tc>
      </w:tr>
      <w:tr w:rsidR="00BD372F" w:rsidRPr="00BD372F" w14:paraId="06CCA433" w14:textId="77777777" w:rsidTr="00154BAB">
        <w:trPr>
          <w:trHeight w:val="125"/>
          <w:jc w:val="center"/>
        </w:trPr>
        <w:tc>
          <w:tcPr>
            <w:tcW w:w="4661" w:type="dxa"/>
            <w:noWrap/>
            <w:vAlign w:val="center"/>
          </w:tcPr>
          <w:p w14:paraId="68B87E59" w14:textId="77777777" w:rsidR="00BD372F" w:rsidRPr="00BD372F" w:rsidRDefault="00BD372F" w:rsidP="00BD372F">
            <w:pPr>
              <w:spacing w:after="0" w:line="240" w:lineRule="auto"/>
              <w:rPr>
                <w:rFonts w:ascii="Times New Roman" w:hAnsi="Times New Roman"/>
                <w:b/>
                <w:bCs/>
                <w:i/>
                <w:iCs/>
                <w:sz w:val="24"/>
                <w:szCs w:val="24"/>
                <w:lang w:eastAsia="sk-SK"/>
              </w:rPr>
            </w:pPr>
            <w:r w:rsidRPr="00BD372F">
              <w:rPr>
                <w:rFonts w:ascii="Times New Roman" w:hAnsi="Times New Roman"/>
                <w:b/>
                <w:bCs/>
                <w:i/>
                <w:iCs/>
                <w:sz w:val="24"/>
                <w:szCs w:val="24"/>
                <w:lang w:eastAsia="sk-SK"/>
              </w:rPr>
              <w:t>- vplyv na vyššie územné celky</w:t>
            </w:r>
          </w:p>
        </w:tc>
        <w:tc>
          <w:tcPr>
            <w:tcW w:w="1267" w:type="dxa"/>
            <w:noWrap/>
            <w:vAlign w:val="center"/>
          </w:tcPr>
          <w:p w14:paraId="08D40755"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c>
          <w:tcPr>
            <w:tcW w:w="1267" w:type="dxa"/>
            <w:noWrap/>
            <w:vAlign w:val="center"/>
          </w:tcPr>
          <w:p w14:paraId="492A0A0A"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c>
          <w:tcPr>
            <w:tcW w:w="1267" w:type="dxa"/>
            <w:noWrap/>
            <w:vAlign w:val="center"/>
          </w:tcPr>
          <w:p w14:paraId="6CD00A61"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c>
          <w:tcPr>
            <w:tcW w:w="1267" w:type="dxa"/>
            <w:noWrap/>
            <w:vAlign w:val="center"/>
          </w:tcPr>
          <w:p w14:paraId="042B28E6"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r>
      <w:tr w:rsidR="00BD372F" w:rsidRPr="00BD372F" w14:paraId="587B6DA8" w14:textId="77777777" w:rsidTr="00154BAB">
        <w:trPr>
          <w:trHeight w:val="125"/>
          <w:jc w:val="center"/>
        </w:trPr>
        <w:tc>
          <w:tcPr>
            <w:tcW w:w="4661" w:type="dxa"/>
            <w:noWrap/>
            <w:vAlign w:val="center"/>
          </w:tcPr>
          <w:p w14:paraId="73C3E52F" w14:textId="77777777" w:rsidR="00BD372F" w:rsidRPr="00BD372F" w:rsidRDefault="00BD372F" w:rsidP="00BD372F">
            <w:pPr>
              <w:spacing w:after="0" w:line="240" w:lineRule="auto"/>
              <w:rPr>
                <w:rFonts w:ascii="Times New Roman" w:hAnsi="Times New Roman"/>
                <w:bCs/>
                <w:i/>
                <w:iCs/>
                <w:sz w:val="24"/>
                <w:szCs w:val="24"/>
                <w:lang w:eastAsia="sk-SK"/>
              </w:rPr>
            </w:pPr>
            <w:r w:rsidRPr="00BD372F">
              <w:rPr>
                <w:rFonts w:ascii="Times New Roman" w:hAnsi="Times New Roman"/>
                <w:bCs/>
                <w:i/>
                <w:iCs/>
                <w:sz w:val="24"/>
                <w:szCs w:val="24"/>
                <w:lang w:eastAsia="sk-SK"/>
              </w:rPr>
              <w:t xml:space="preserve">z toho vplyv nových úloh v zmysle ods. 2 Čl. 6 ústavného zákona č. 493/2011 Z. z. </w:t>
            </w:r>
          </w:p>
          <w:p w14:paraId="3D3C1FCE" w14:textId="77777777" w:rsidR="00BD372F" w:rsidRPr="00BD372F" w:rsidRDefault="00BD372F" w:rsidP="00BD372F">
            <w:pPr>
              <w:spacing w:after="0" w:line="240" w:lineRule="auto"/>
              <w:rPr>
                <w:rFonts w:ascii="Times New Roman" w:hAnsi="Times New Roman"/>
                <w:b/>
                <w:bCs/>
                <w:i/>
                <w:iCs/>
                <w:sz w:val="24"/>
                <w:szCs w:val="24"/>
                <w:lang w:eastAsia="sk-SK"/>
              </w:rPr>
            </w:pPr>
            <w:r w:rsidRPr="00BD372F">
              <w:rPr>
                <w:rFonts w:ascii="Times New Roman" w:hAnsi="Times New Roman"/>
                <w:bCs/>
                <w:i/>
                <w:iCs/>
                <w:sz w:val="24"/>
                <w:szCs w:val="24"/>
                <w:lang w:eastAsia="sk-SK"/>
              </w:rPr>
              <w:t>o rozpočtovej zodpovednosti</w:t>
            </w:r>
          </w:p>
        </w:tc>
        <w:tc>
          <w:tcPr>
            <w:tcW w:w="1267" w:type="dxa"/>
            <w:noWrap/>
            <w:vAlign w:val="center"/>
          </w:tcPr>
          <w:p w14:paraId="469CF2AF" w14:textId="77777777" w:rsidR="00BD372F" w:rsidRPr="00BD372F" w:rsidRDefault="00BD372F" w:rsidP="00BD372F">
            <w:pPr>
              <w:spacing w:after="0" w:line="240" w:lineRule="auto"/>
              <w:jc w:val="right"/>
              <w:rPr>
                <w:rFonts w:ascii="Times New Roman" w:hAnsi="Times New Roman"/>
                <w:sz w:val="24"/>
                <w:szCs w:val="24"/>
                <w:lang w:eastAsia="sk-SK"/>
              </w:rPr>
            </w:pPr>
            <w:r w:rsidRPr="00BD372F">
              <w:rPr>
                <w:rFonts w:ascii="Times New Roman" w:hAnsi="Times New Roman"/>
                <w:sz w:val="24"/>
                <w:szCs w:val="24"/>
                <w:lang w:eastAsia="sk-SK"/>
              </w:rPr>
              <w:t>0</w:t>
            </w:r>
          </w:p>
        </w:tc>
        <w:tc>
          <w:tcPr>
            <w:tcW w:w="1267" w:type="dxa"/>
            <w:noWrap/>
            <w:vAlign w:val="center"/>
          </w:tcPr>
          <w:p w14:paraId="0E16FD0B" w14:textId="77777777" w:rsidR="00BD372F" w:rsidRPr="00BD372F" w:rsidRDefault="00BD372F" w:rsidP="00BD372F">
            <w:pPr>
              <w:spacing w:after="0" w:line="240" w:lineRule="auto"/>
              <w:jc w:val="right"/>
              <w:rPr>
                <w:rFonts w:ascii="Times New Roman" w:hAnsi="Times New Roman"/>
                <w:sz w:val="24"/>
                <w:szCs w:val="24"/>
                <w:lang w:eastAsia="sk-SK"/>
              </w:rPr>
            </w:pPr>
            <w:r w:rsidRPr="00BD372F">
              <w:rPr>
                <w:rFonts w:ascii="Times New Roman" w:hAnsi="Times New Roman"/>
                <w:sz w:val="24"/>
                <w:szCs w:val="24"/>
                <w:lang w:eastAsia="sk-SK"/>
              </w:rPr>
              <w:t>0</w:t>
            </w:r>
          </w:p>
        </w:tc>
        <w:tc>
          <w:tcPr>
            <w:tcW w:w="1267" w:type="dxa"/>
            <w:noWrap/>
            <w:vAlign w:val="center"/>
          </w:tcPr>
          <w:p w14:paraId="22F63DD4" w14:textId="77777777" w:rsidR="00BD372F" w:rsidRPr="00BD372F" w:rsidRDefault="00BD372F" w:rsidP="00BD372F">
            <w:pPr>
              <w:spacing w:after="0" w:line="240" w:lineRule="auto"/>
              <w:jc w:val="right"/>
              <w:rPr>
                <w:rFonts w:ascii="Times New Roman" w:hAnsi="Times New Roman"/>
                <w:sz w:val="24"/>
                <w:szCs w:val="24"/>
                <w:lang w:eastAsia="sk-SK"/>
              </w:rPr>
            </w:pPr>
            <w:r w:rsidRPr="00BD372F">
              <w:rPr>
                <w:rFonts w:ascii="Times New Roman" w:hAnsi="Times New Roman"/>
                <w:sz w:val="24"/>
                <w:szCs w:val="24"/>
                <w:lang w:eastAsia="sk-SK"/>
              </w:rPr>
              <w:t>0</w:t>
            </w:r>
          </w:p>
        </w:tc>
        <w:tc>
          <w:tcPr>
            <w:tcW w:w="1267" w:type="dxa"/>
            <w:noWrap/>
            <w:vAlign w:val="center"/>
          </w:tcPr>
          <w:p w14:paraId="5BAEB5A5" w14:textId="77777777" w:rsidR="00BD372F" w:rsidRPr="00BD372F" w:rsidRDefault="00BD372F" w:rsidP="00BD372F">
            <w:pPr>
              <w:spacing w:after="0" w:line="240" w:lineRule="auto"/>
              <w:jc w:val="right"/>
              <w:rPr>
                <w:rFonts w:ascii="Times New Roman" w:hAnsi="Times New Roman"/>
                <w:sz w:val="24"/>
                <w:szCs w:val="24"/>
                <w:lang w:eastAsia="sk-SK"/>
              </w:rPr>
            </w:pPr>
            <w:r w:rsidRPr="00BD372F">
              <w:rPr>
                <w:rFonts w:ascii="Times New Roman" w:hAnsi="Times New Roman"/>
                <w:sz w:val="24"/>
                <w:szCs w:val="24"/>
                <w:lang w:eastAsia="sk-SK"/>
              </w:rPr>
              <w:t>0</w:t>
            </w:r>
          </w:p>
        </w:tc>
      </w:tr>
      <w:tr w:rsidR="00BD372F" w:rsidRPr="00BD372F" w14:paraId="0F94E2EE" w14:textId="77777777" w:rsidTr="00154BAB">
        <w:trPr>
          <w:trHeight w:val="70"/>
          <w:jc w:val="center"/>
        </w:trPr>
        <w:tc>
          <w:tcPr>
            <w:tcW w:w="4661" w:type="dxa"/>
            <w:noWrap/>
            <w:vAlign w:val="center"/>
          </w:tcPr>
          <w:p w14:paraId="122AA365" w14:textId="77777777" w:rsidR="00BD372F" w:rsidRPr="00BD372F" w:rsidRDefault="00BD372F" w:rsidP="00BD372F">
            <w:pPr>
              <w:spacing w:after="0" w:line="240" w:lineRule="auto"/>
              <w:rPr>
                <w:rFonts w:ascii="Times New Roman" w:hAnsi="Times New Roman"/>
                <w:b/>
                <w:bCs/>
                <w:sz w:val="24"/>
                <w:szCs w:val="24"/>
                <w:lang w:eastAsia="sk-SK"/>
              </w:rPr>
            </w:pPr>
            <w:r w:rsidRPr="00BD372F">
              <w:rPr>
                <w:rFonts w:ascii="Times New Roman" w:hAnsi="Times New Roman"/>
                <w:b/>
                <w:bCs/>
                <w:i/>
                <w:iCs/>
                <w:sz w:val="24"/>
                <w:szCs w:val="24"/>
                <w:lang w:eastAsia="sk-SK"/>
              </w:rPr>
              <w:t>- vplyv na ostatné subjekty verejnej správy</w:t>
            </w:r>
          </w:p>
        </w:tc>
        <w:tc>
          <w:tcPr>
            <w:tcW w:w="1267" w:type="dxa"/>
            <w:noWrap/>
            <w:vAlign w:val="center"/>
          </w:tcPr>
          <w:p w14:paraId="08CB199C"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c>
          <w:tcPr>
            <w:tcW w:w="1267" w:type="dxa"/>
            <w:noWrap/>
            <w:vAlign w:val="center"/>
          </w:tcPr>
          <w:p w14:paraId="72A226D2"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c>
          <w:tcPr>
            <w:tcW w:w="1267" w:type="dxa"/>
            <w:noWrap/>
            <w:vAlign w:val="center"/>
          </w:tcPr>
          <w:p w14:paraId="51B84C7C"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c>
          <w:tcPr>
            <w:tcW w:w="1267" w:type="dxa"/>
            <w:noWrap/>
            <w:vAlign w:val="center"/>
          </w:tcPr>
          <w:p w14:paraId="265B172D"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r>
      <w:tr w:rsidR="00BD372F" w:rsidRPr="00BD372F" w14:paraId="6895504E" w14:textId="77777777" w:rsidTr="00BD372F">
        <w:trPr>
          <w:trHeight w:val="70"/>
          <w:jc w:val="center"/>
        </w:trPr>
        <w:tc>
          <w:tcPr>
            <w:tcW w:w="4661" w:type="dxa"/>
            <w:shd w:val="clear" w:color="auto" w:fill="BFBFBF"/>
            <w:noWrap/>
            <w:vAlign w:val="center"/>
          </w:tcPr>
          <w:p w14:paraId="5DD2862C" w14:textId="77777777" w:rsidR="00BD372F" w:rsidRPr="00BD372F" w:rsidRDefault="00BD372F" w:rsidP="00BD372F">
            <w:pPr>
              <w:spacing w:after="0" w:line="240" w:lineRule="auto"/>
              <w:rPr>
                <w:rFonts w:ascii="Times New Roman" w:hAnsi="Times New Roman"/>
                <w:b/>
                <w:bCs/>
                <w:sz w:val="24"/>
                <w:szCs w:val="24"/>
                <w:lang w:eastAsia="sk-SK"/>
              </w:rPr>
            </w:pPr>
            <w:r w:rsidRPr="00BD372F">
              <w:rPr>
                <w:rFonts w:ascii="Times New Roman" w:hAnsi="Times New Roman"/>
                <w:b/>
                <w:bCs/>
                <w:sz w:val="24"/>
                <w:szCs w:val="24"/>
                <w:lang w:eastAsia="sk-SK"/>
              </w:rPr>
              <w:t xml:space="preserve">Vplyv na počet zamestnancov </w:t>
            </w:r>
          </w:p>
        </w:tc>
        <w:tc>
          <w:tcPr>
            <w:tcW w:w="1267" w:type="dxa"/>
            <w:shd w:val="clear" w:color="auto" w:fill="BFBFBF"/>
            <w:noWrap/>
            <w:vAlign w:val="center"/>
          </w:tcPr>
          <w:p w14:paraId="70722B49" w14:textId="77777777" w:rsidR="00BD372F" w:rsidRPr="00BD372F" w:rsidRDefault="00BD372F" w:rsidP="00BD372F">
            <w:pPr>
              <w:spacing w:after="0" w:line="240" w:lineRule="auto"/>
              <w:jc w:val="right"/>
              <w:rPr>
                <w:rFonts w:ascii="Times New Roman" w:hAnsi="Times New Roman"/>
                <w:b/>
                <w:bCs/>
                <w:sz w:val="24"/>
                <w:szCs w:val="24"/>
                <w:lang w:eastAsia="sk-SK"/>
              </w:rPr>
            </w:pPr>
            <w:r w:rsidRPr="00BD372F">
              <w:rPr>
                <w:rFonts w:ascii="Times New Roman" w:hAnsi="Times New Roman"/>
                <w:b/>
                <w:bCs/>
                <w:sz w:val="24"/>
                <w:szCs w:val="24"/>
                <w:lang w:eastAsia="sk-SK"/>
              </w:rPr>
              <w:t>0</w:t>
            </w:r>
          </w:p>
        </w:tc>
        <w:tc>
          <w:tcPr>
            <w:tcW w:w="1267" w:type="dxa"/>
            <w:shd w:val="clear" w:color="auto" w:fill="BFBFBF"/>
            <w:noWrap/>
            <w:vAlign w:val="center"/>
          </w:tcPr>
          <w:p w14:paraId="66F37F89" w14:textId="77777777" w:rsidR="00BD372F" w:rsidRPr="00BD372F" w:rsidRDefault="00BD372F" w:rsidP="00BD372F">
            <w:pPr>
              <w:spacing w:after="0" w:line="240" w:lineRule="auto"/>
              <w:jc w:val="right"/>
              <w:rPr>
                <w:rFonts w:ascii="Times New Roman" w:hAnsi="Times New Roman"/>
                <w:b/>
                <w:bCs/>
                <w:sz w:val="24"/>
                <w:szCs w:val="24"/>
                <w:lang w:eastAsia="sk-SK"/>
              </w:rPr>
            </w:pPr>
            <w:r w:rsidRPr="00BD372F">
              <w:rPr>
                <w:rFonts w:ascii="Times New Roman" w:hAnsi="Times New Roman"/>
                <w:b/>
                <w:bCs/>
                <w:sz w:val="24"/>
                <w:szCs w:val="24"/>
                <w:lang w:eastAsia="sk-SK"/>
              </w:rPr>
              <w:t>0</w:t>
            </w:r>
          </w:p>
        </w:tc>
        <w:tc>
          <w:tcPr>
            <w:tcW w:w="1267" w:type="dxa"/>
            <w:shd w:val="clear" w:color="auto" w:fill="BFBFBF"/>
            <w:noWrap/>
            <w:vAlign w:val="center"/>
          </w:tcPr>
          <w:p w14:paraId="267099E4" w14:textId="77777777" w:rsidR="00BD372F" w:rsidRPr="00BD372F" w:rsidRDefault="00BD372F" w:rsidP="00BD372F">
            <w:pPr>
              <w:spacing w:after="0" w:line="240" w:lineRule="auto"/>
              <w:jc w:val="right"/>
              <w:rPr>
                <w:rFonts w:ascii="Times New Roman" w:hAnsi="Times New Roman"/>
                <w:b/>
                <w:bCs/>
                <w:sz w:val="24"/>
                <w:szCs w:val="24"/>
                <w:lang w:eastAsia="sk-SK"/>
              </w:rPr>
            </w:pPr>
            <w:r w:rsidRPr="00BD372F">
              <w:rPr>
                <w:rFonts w:ascii="Times New Roman" w:hAnsi="Times New Roman"/>
                <w:b/>
                <w:bCs/>
                <w:sz w:val="24"/>
                <w:szCs w:val="24"/>
                <w:lang w:eastAsia="sk-SK"/>
              </w:rPr>
              <w:t>0</w:t>
            </w:r>
          </w:p>
        </w:tc>
        <w:tc>
          <w:tcPr>
            <w:tcW w:w="1267" w:type="dxa"/>
            <w:shd w:val="clear" w:color="auto" w:fill="BFBFBF"/>
            <w:noWrap/>
            <w:vAlign w:val="center"/>
          </w:tcPr>
          <w:p w14:paraId="48CC819D" w14:textId="77777777" w:rsidR="00BD372F" w:rsidRPr="00BD372F" w:rsidRDefault="00BD372F" w:rsidP="00BD372F">
            <w:pPr>
              <w:spacing w:after="0" w:line="240" w:lineRule="auto"/>
              <w:jc w:val="right"/>
              <w:rPr>
                <w:rFonts w:ascii="Times New Roman" w:hAnsi="Times New Roman"/>
                <w:b/>
                <w:bCs/>
                <w:sz w:val="24"/>
                <w:szCs w:val="24"/>
                <w:lang w:eastAsia="sk-SK"/>
              </w:rPr>
            </w:pPr>
            <w:r w:rsidRPr="00BD372F">
              <w:rPr>
                <w:rFonts w:ascii="Times New Roman" w:hAnsi="Times New Roman"/>
                <w:b/>
                <w:bCs/>
                <w:sz w:val="24"/>
                <w:szCs w:val="24"/>
                <w:lang w:eastAsia="sk-SK"/>
              </w:rPr>
              <w:t>0</w:t>
            </w:r>
          </w:p>
        </w:tc>
      </w:tr>
      <w:tr w:rsidR="00BD372F" w:rsidRPr="00BD372F" w14:paraId="0FFCB91F" w14:textId="77777777" w:rsidTr="00154BAB">
        <w:trPr>
          <w:trHeight w:val="70"/>
          <w:jc w:val="center"/>
        </w:trPr>
        <w:tc>
          <w:tcPr>
            <w:tcW w:w="4661" w:type="dxa"/>
            <w:noWrap/>
            <w:vAlign w:val="center"/>
          </w:tcPr>
          <w:p w14:paraId="4336AC3C" w14:textId="77777777" w:rsidR="00BD372F" w:rsidRPr="00BD372F" w:rsidRDefault="00BD372F" w:rsidP="00BD372F">
            <w:pPr>
              <w:spacing w:after="0" w:line="240" w:lineRule="auto"/>
              <w:rPr>
                <w:rFonts w:ascii="Times New Roman" w:hAnsi="Times New Roman"/>
                <w:b/>
                <w:bCs/>
                <w:i/>
                <w:iCs/>
                <w:sz w:val="24"/>
                <w:szCs w:val="24"/>
                <w:lang w:eastAsia="sk-SK"/>
              </w:rPr>
            </w:pPr>
            <w:r w:rsidRPr="00BD372F">
              <w:rPr>
                <w:rFonts w:ascii="Times New Roman" w:hAnsi="Times New Roman"/>
                <w:b/>
                <w:bCs/>
                <w:i/>
                <w:iCs/>
                <w:sz w:val="24"/>
                <w:szCs w:val="24"/>
                <w:lang w:eastAsia="sk-SK"/>
              </w:rPr>
              <w:t>- vplyv na ŠR</w:t>
            </w:r>
          </w:p>
        </w:tc>
        <w:tc>
          <w:tcPr>
            <w:tcW w:w="1267" w:type="dxa"/>
            <w:noWrap/>
            <w:vAlign w:val="center"/>
          </w:tcPr>
          <w:p w14:paraId="237A42DB"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c>
          <w:tcPr>
            <w:tcW w:w="1267" w:type="dxa"/>
            <w:noWrap/>
            <w:vAlign w:val="center"/>
          </w:tcPr>
          <w:p w14:paraId="246382DC"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c>
          <w:tcPr>
            <w:tcW w:w="1267" w:type="dxa"/>
            <w:noWrap/>
            <w:vAlign w:val="center"/>
          </w:tcPr>
          <w:p w14:paraId="189FE759"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c>
          <w:tcPr>
            <w:tcW w:w="1267" w:type="dxa"/>
            <w:noWrap/>
            <w:vAlign w:val="center"/>
          </w:tcPr>
          <w:p w14:paraId="497B085D"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r>
      <w:tr w:rsidR="00BD372F" w:rsidRPr="00BD372F" w14:paraId="6B59C097" w14:textId="77777777" w:rsidTr="00154BAB">
        <w:trPr>
          <w:trHeight w:val="70"/>
          <w:jc w:val="center"/>
        </w:trPr>
        <w:tc>
          <w:tcPr>
            <w:tcW w:w="4661" w:type="dxa"/>
            <w:noWrap/>
            <w:vAlign w:val="center"/>
          </w:tcPr>
          <w:p w14:paraId="6D568BDD" w14:textId="7301C3F0" w:rsidR="00BD372F" w:rsidRPr="00BD372F" w:rsidRDefault="00BD372F" w:rsidP="00BD372F">
            <w:pPr>
              <w:spacing w:after="0" w:line="240" w:lineRule="auto"/>
              <w:rPr>
                <w:rFonts w:ascii="Times New Roman" w:hAnsi="Times New Roman"/>
                <w:b/>
                <w:bCs/>
                <w:i/>
                <w:iCs/>
                <w:sz w:val="24"/>
                <w:szCs w:val="24"/>
                <w:lang w:eastAsia="sk-SK"/>
              </w:rPr>
            </w:pPr>
            <w:r w:rsidRPr="00BD372F">
              <w:rPr>
                <w:rFonts w:ascii="Times New Roman" w:hAnsi="Times New Roman"/>
                <w:bCs/>
                <w:iCs/>
                <w:sz w:val="24"/>
                <w:szCs w:val="24"/>
                <w:lang w:eastAsia="sk-SK"/>
              </w:rPr>
              <w:t>v tom:</w:t>
            </w:r>
            <w:r w:rsidRPr="00BD372F">
              <w:rPr>
                <w:rFonts w:ascii="Times New Roman" w:hAnsi="Times New Roman"/>
                <w:color w:val="000000"/>
                <w:sz w:val="24"/>
                <w:szCs w:val="24"/>
                <w:lang w:eastAsia="sk-SK"/>
              </w:rPr>
              <w:t xml:space="preserve"> MF SR/074 03 Kontrola, vládny audit a vnútorný audit (org. Úrad vládneho auditu)</w:t>
            </w:r>
          </w:p>
        </w:tc>
        <w:tc>
          <w:tcPr>
            <w:tcW w:w="1267" w:type="dxa"/>
            <w:noWrap/>
            <w:vAlign w:val="center"/>
          </w:tcPr>
          <w:p w14:paraId="2C408091"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c>
          <w:tcPr>
            <w:tcW w:w="1267" w:type="dxa"/>
            <w:noWrap/>
            <w:vAlign w:val="center"/>
          </w:tcPr>
          <w:p w14:paraId="41910814"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2</w:t>
            </w:r>
          </w:p>
        </w:tc>
        <w:tc>
          <w:tcPr>
            <w:tcW w:w="1267" w:type="dxa"/>
            <w:noWrap/>
            <w:vAlign w:val="center"/>
          </w:tcPr>
          <w:p w14:paraId="73EFB317"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2</w:t>
            </w:r>
          </w:p>
        </w:tc>
        <w:tc>
          <w:tcPr>
            <w:tcW w:w="1267" w:type="dxa"/>
            <w:noWrap/>
            <w:vAlign w:val="center"/>
          </w:tcPr>
          <w:p w14:paraId="4DB672AA"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2</w:t>
            </w:r>
          </w:p>
        </w:tc>
      </w:tr>
      <w:tr w:rsidR="00BD372F" w:rsidRPr="00BD372F" w14:paraId="49EBEFB1" w14:textId="77777777" w:rsidTr="00154BAB">
        <w:trPr>
          <w:trHeight w:val="70"/>
          <w:jc w:val="center"/>
        </w:trPr>
        <w:tc>
          <w:tcPr>
            <w:tcW w:w="4661" w:type="dxa"/>
            <w:noWrap/>
            <w:vAlign w:val="center"/>
          </w:tcPr>
          <w:p w14:paraId="6D3E6314" w14:textId="57564687" w:rsidR="00BD372F" w:rsidRPr="00BD372F" w:rsidRDefault="00BD372F" w:rsidP="00BD372F">
            <w:pPr>
              <w:spacing w:after="0" w:line="240" w:lineRule="auto"/>
              <w:rPr>
                <w:rFonts w:ascii="Times New Roman" w:hAnsi="Times New Roman"/>
                <w:b/>
                <w:bCs/>
                <w:i/>
                <w:iCs/>
                <w:sz w:val="24"/>
                <w:szCs w:val="24"/>
                <w:lang w:eastAsia="sk-SK"/>
              </w:rPr>
            </w:pPr>
            <w:r w:rsidRPr="00BD372F">
              <w:rPr>
                <w:rFonts w:ascii="Times New Roman" w:hAnsi="Times New Roman"/>
                <w:bCs/>
                <w:iCs/>
                <w:sz w:val="24"/>
                <w:szCs w:val="24"/>
                <w:lang w:eastAsia="sk-SK"/>
              </w:rPr>
              <w:t xml:space="preserve">v tom: </w:t>
            </w:r>
            <w:r w:rsidRPr="00BD372F">
              <w:rPr>
                <w:rFonts w:ascii="Times New Roman" w:hAnsi="Times New Roman"/>
                <w:color w:val="000000"/>
                <w:sz w:val="24"/>
                <w:szCs w:val="24"/>
                <w:lang w:eastAsia="sk-SK"/>
              </w:rPr>
              <w:t>MF SR/072 05 Výkon funkcií finančnej správy (org. Finančné riaditeľstvo SR)</w:t>
            </w:r>
          </w:p>
        </w:tc>
        <w:tc>
          <w:tcPr>
            <w:tcW w:w="1267" w:type="dxa"/>
            <w:noWrap/>
            <w:vAlign w:val="center"/>
          </w:tcPr>
          <w:p w14:paraId="0D6BEAC8"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c>
          <w:tcPr>
            <w:tcW w:w="1267" w:type="dxa"/>
            <w:noWrap/>
            <w:vAlign w:val="center"/>
          </w:tcPr>
          <w:p w14:paraId="001ABF85"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-2</w:t>
            </w:r>
          </w:p>
        </w:tc>
        <w:tc>
          <w:tcPr>
            <w:tcW w:w="1267" w:type="dxa"/>
            <w:noWrap/>
            <w:vAlign w:val="center"/>
          </w:tcPr>
          <w:p w14:paraId="1D320206"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-2</w:t>
            </w:r>
          </w:p>
        </w:tc>
        <w:tc>
          <w:tcPr>
            <w:tcW w:w="1267" w:type="dxa"/>
            <w:noWrap/>
            <w:vAlign w:val="center"/>
          </w:tcPr>
          <w:p w14:paraId="22845635"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-2</w:t>
            </w:r>
          </w:p>
        </w:tc>
      </w:tr>
      <w:tr w:rsidR="00BD372F" w:rsidRPr="00BD372F" w14:paraId="0EDF5761" w14:textId="77777777" w:rsidTr="00154BAB">
        <w:trPr>
          <w:trHeight w:val="70"/>
          <w:jc w:val="center"/>
        </w:trPr>
        <w:tc>
          <w:tcPr>
            <w:tcW w:w="4661" w:type="dxa"/>
            <w:noWrap/>
            <w:vAlign w:val="center"/>
          </w:tcPr>
          <w:p w14:paraId="7B573B3B" w14:textId="77777777" w:rsidR="00BD372F" w:rsidRPr="00BD372F" w:rsidRDefault="00BD372F" w:rsidP="00BD372F">
            <w:pPr>
              <w:spacing w:after="0" w:line="240" w:lineRule="auto"/>
              <w:rPr>
                <w:rFonts w:ascii="Times New Roman" w:hAnsi="Times New Roman"/>
                <w:b/>
                <w:bCs/>
                <w:i/>
                <w:iCs/>
                <w:sz w:val="24"/>
                <w:szCs w:val="24"/>
                <w:lang w:eastAsia="sk-SK"/>
              </w:rPr>
            </w:pPr>
            <w:r w:rsidRPr="00BD372F">
              <w:rPr>
                <w:rFonts w:ascii="Times New Roman" w:hAnsi="Times New Roman"/>
                <w:b/>
                <w:bCs/>
                <w:i/>
                <w:iCs/>
                <w:sz w:val="24"/>
                <w:szCs w:val="24"/>
                <w:lang w:eastAsia="sk-SK"/>
              </w:rPr>
              <w:lastRenderedPageBreak/>
              <w:t>- vplyv na obce</w:t>
            </w:r>
          </w:p>
        </w:tc>
        <w:tc>
          <w:tcPr>
            <w:tcW w:w="1267" w:type="dxa"/>
            <w:noWrap/>
            <w:vAlign w:val="center"/>
          </w:tcPr>
          <w:p w14:paraId="5C882FC8"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c>
          <w:tcPr>
            <w:tcW w:w="1267" w:type="dxa"/>
            <w:noWrap/>
            <w:vAlign w:val="center"/>
          </w:tcPr>
          <w:p w14:paraId="6F9DF47A"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c>
          <w:tcPr>
            <w:tcW w:w="1267" w:type="dxa"/>
            <w:noWrap/>
            <w:vAlign w:val="center"/>
          </w:tcPr>
          <w:p w14:paraId="19B8F0F2"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c>
          <w:tcPr>
            <w:tcW w:w="1267" w:type="dxa"/>
            <w:noWrap/>
            <w:vAlign w:val="center"/>
          </w:tcPr>
          <w:p w14:paraId="67003ADE"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r>
      <w:tr w:rsidR="00BD372F" w:rsidRPr="00BD372F" w14:paraId="394D5A02" w14:textId="77777777" w:rsidTr="00154BAB">
        <w:trPr>
          <w:trHeight w:val="70"/>
          <w:jc w:val="center"/>
        </w:trPr>
        <w:tc>
          <w:tcPr>
            <w:tcW w:w="4661" w:type="dxa"/>
            <w:noWrap/>
            <w:vAlign w:val="center"/>
          </w:tcPr>
          <w:p w14:paraId="2927D9F7" w14:textId="77777777" w:rsidR="00BD372F" w:rsidRPr="00BD372F" w:rsidRDefault="00BD372F" w:rsidP="00BD372F">
            <w:pPr>
              <w:spacing w:after="0" w:line="240" w:lineRule="auto"/>
              <w:rPr>
                <w:rFonts w:ascii="Times New Roman" w:hAnsi="Times New Roman"/>
                <w:b/>
                <w:bCs/>
                <w:i/>
                <w:iCs/>
                <w:sz w:val="24"/>
                <w:szCs w:val="24"/>
                <w:lang w:eastAsia="sk-SK"/>
              </w:rPr>
            </w:pPr>
            <w:r w:rsidRPr="00BD372F">
              <w:rPr>
                <w:rFonts w:ascii="Times New Roman" w:hAnsi="Times New Roman"/>
                <w:b/>
                <w:bCs/>
                <w:i/>
                <w:iCs/>
                <w:sz w:val="24"/>
                <w:szCs w:val="24"/>
                <w:lang w:eastAsia="sk-SK"/>
              </w:rPr>
              <w:t>- vplyv na vyššie územné celky</w:t>
            </w:r>
          </w:p>
        </w:tc>
        <w:tc>
          <w:tcPr>
            <w:tcW w:w="1267" w:type="dxa"/>
            <w:noWrap/>
            <w:vAlign w:val="center"/>
          </w:tcPr>
          <w:p w14:paraId="78E19545"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c>
          <w:tcPr>
            <w:tcW w:w="1267" w:type="dxa"/>
            <w:noWrap/>
            <w:vAlign w:val="center"/>
          </w:tcPr>
          <w:p w14:paraId="01286F48"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c>
          <w:tcPr>
            <w:tcW w:w="1267" w:type="dxa"/>
            <w:noWrap/>
            <w:vAlign w:val="center"/>
          </w:tcPr>
          <w:p w14:paraId="0741D056"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c>
          <w:tcPr>
            <w:tcW w:w="1267" w:type="dxa"/>
            <w:noWrap/>
            <w:vAlign w:val="center"/>
          </w:tcPr>
          <w:p w14:paraId="02E2290C"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r>
      <w:tr w:rsidR="00BD372F" w:rsidRPr="00BD372F" w14:paraId="07DC055F" w14:textId="77777777" w:rsidTr="00154BAB">
        <w:trPr>
          <w:trHeight w:val="70"/>
          <w:jc w:val="center"/>
        </w:trPr>
        <w:tc>
          <w:tcPr>
            <w:tcW w:w="4661" w:type="dxa"/>
            <w:noWrap/>
            <w:vAlign w:val="center"/>
          </w:tcPr>
          <w:p w14:paraId="6782DA1A" w14:textId="77777777" w:rsidR="00BD372F" w:rsidRPr="00BD372F" w:rsidRDefault="00BD372F" w:rsidP="00BD372F">
            <w:pPr>
              <w:spacing w:after="0" w:line="240" w:lineRule="auto"/>
              <w:rPr>
                <w:rFonts w:ascii="Times New Roman" w:hAnsi="Times New Roman"/>
                <w:b/>
                <w:bCs/>
                <w:i/>
                <w:iCs/>
                <w:sz w:val="24"/>
                <w:szCs w:val="24"/>
                <w:lang w:eastAsia="sk-SK"/>
              </w:rPr>
            </w:pPr>
            <w:r w:rsidRPr="00BD372F">
              <w:rPr>
                <w:rFonts w:ascii="Times New Roman" w:hAnsi="Times New Roman"/>
                <w:b/>
                <w:bCs/>
                <w:i/>
                <w:iCs/>
                <w:sz w:val="24"/>
                <w:szCs w:val="24"/>
                <w:lang w:eastAsia="sk-SK"/>
              </w:rPr>
              <w:t>- vplyv na ostatné subjekty verejnej správy</w:t>
            </w:r>
          </w:p>
        </w:tc>
        <w:tc>
          <w:tcPr>
            <w:tcW w:w="1267" w:type="dxa"/>
            <w:noWrap/>
            <w:vAlign w:val="center"/>
          </w:tcPr>
          <w:p w14:paraId="21F608AA"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c>
          <w:tcPr>
            <w:tcW w:w="1267" w:type="dxa"/>
            <w:noWrap/>
            <w:vAlign w:val="center"/>
          </w:tcPr>
          <w:p w14:paraId="76B726D7"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c>
          <w:tcPr>
            <w:tcW w:w="1267" w:type="dxa"/>
            <w:noWrap/>
            <w:vAlign w:val="center"/>
          </w:tcPr>
          <w:p w14:paraId="6B59F213"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c>
          <w:tcPr>
            <w:tcW w:w="1267" w:type="dxa"/>
            <w:noWrap/>
            <w:vAlign w:val="center"/>
          </w:tcPr>
          <w:p w14:paraId="74A8B95C"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r>
      <w:tr w:rsidR="00BD372F" w:rsidRPr="00BD372F" w14:paraId="0602B6AF" w14:textId="77777777" w:rsidTr="00BD372F">
        <w:trPr>
          <w:trHeight w:val="70"/>
          <w:jc w:val="center"/>
        </w:trPr>
        <w:tc>
          <w:tcPr>
            <w:tcW w:w="4661" w:type="dxa"/>
            <w:shd w:val="clear" w:color="auto" w:fill="BFBFBF"/>
            <w:noWrap/>
            <w:vAlign w:val="center"/>
          </w:tcPr>
          <w:p w14:paraId="1EC6C63C" w14:textId="77777777" w:rsidR="00BD372F" w:rsidRPr="00BD372F" w:rsidRDefault="00BD372F" w:rsidP="00BD372F">
            <w:pPr>
              <w:spacing w:after="0" w:line="240" w:lineRule="auto"/>
              <w:rPr>
                <w:rFonts w:ascii="Times New Roman" w:hAnsi="Times New Roman"/>
                <w:b/>
                <w:sz w:val="24"/>
                <w:szCs w:val="24"/>
                <w:lang w:eastAsia="sk-SK"/>
              </w:rPr>
            </w:pPr>
            <w:r w:rsidRPr="00BD372F">
              <w:rPr>
                <w:rFonts w:ascii="Times New Roman" w:hAnsi="Times New Roman"/>
                <w:b/>
                <w:sz w:val="24"/>
                <w:szCs w:val="24"/>
                <w:lang w:eastAsia="sk-SK"/>
              </w:rPr>
              <w:t>Vplyv na mzdové výdavky</w:t>
            </w:r>
          </w:p>
        </w:tc>
        <w:tc>
          <w:tcPr>
            <w:tcW w:w="1267" w:type="dxa"/>
            <w:shd w:val="clear" w:color="auto" w:fill="BFBFBF"/>
            <w:noWrap/>
            <w:vAlign w:val="center"/>
          </w:tcPr>
          <w:p w14:paraId="4AAFB287" w14:textId="77777777" w:rsidR="00BD372F" w:rsidRPr="00BD372F" w:rsidRDefault="00BD372F" w:rsidP="00BD372F">
            <w:pPr>
              <w:spacing w:after="0" w:line="240" w:lineRule="auto"/>
              <w:jc w:val="right"/>
              <w:rPr>
                <w:rFonts w:ascii="Times New Roman" w:hAnsi="Times New Roman"/>
                <w:b/>
                <w:sz w:val="24"/>
                <w:szCs w:val="24"/>
                <w:lang w:eastAsia="sk-SK"/>
              </w:rPr>
            </w:pPr>
            <w:r w:rsidRPr="00BD372F">
              <w:rPr>
                <w:rFonts w:ascii="Times New Roman" w:hAnsi="Times New Roman"/>
                <w:b/>
                <w:sz w:val="24"/>
                <w:szCs w:val="24"/>
                <w:lang w:eastAsia="sk-SK"/>
              </w:rPr>
              <w:t>0</w:t>
            </w:r>
          </w:p>
        </w:tc>
        <w:tc>
          <w:tcPr>
            <w:tcW w:w="1267" w:type="dxa"/>
            <w:shd w:val="clear" w:color="auto" w:fill="BFBFBF"/>
            <w:noWrap/>
            <w:vAlign w:val="center"/>
          </w:tcPr>
          <w:p w14:paraId="5160D0DD" w14:textId="77777777" w:rsidR="00BD372F" w:rsidRPr="00BD372F" w:rsidRDefault="00BD372F" w:rsidP="00BD372F">
            <w:pPr>
              <w:spacing w:after="0" w:line="240" w:lineRule="auto"/>
              <w:jc w:val="right"/>
              <w:rPr>
                <w:rFonts w:ascii="Times New Roman" w:hAnsi="Times New Roman"/>
                <w:b/>
                <w:sz w:val="24"/>
                <w:szCs w:val="24"/>
                <w:lang w:eastAsia="sk-SK"/>
              </w:rPr>
            </w:pPr>
            <w:r w:rsidRPr="00BD372F">
              <w:rPr>
                <w:rFonts w:ascii="Times New Roman" w:hAnsi="Times New Roman"/>
                <w:b/>
                <w:sz w:val="24"/>
                <w:szCs w:val="24"/>
                <w:lang w:eastAsia="sk-SK"/>
              </w:rPr>
              <w:t>0</w:t>
            </w:r>
          </w:p>
        </w:tc>
        <w:tc>
          <w:tcPr>
            <w:tcW w:w="1267" w:type="dxa"/>
            <w:shd w:val="clear" w:color="auto" w:fill="BFBFBF"/>
            <w:noWrap/>
            <w:vAlign w:val="center"/>
          </w:tcPr>
          <w:p w14:paraId="0A3996BD" w14:textId="77777777" w:rsidR="00BD372F" w:rsidRPr="00BD372F" w:rsidRDefault="00BD372F" w:rsidP="00BD372F">
            <w:pPr>
              <w:spacing w:after="0" w:line="240" w:lineRule="auto"/>
              <w:jc w:val="right"/>
              <w:rPr>
                <w:rFonts w:ascii="Times New Roman" w:hAnsi="Times New Roman"/>
                <w:b/>
                <w:sz w:val="24"/>
                <w:szCs w:val="24"/>
                <w:lang w:eastAsia="sk-SK"/>
              </w:rPr>
            </w:pPr>
            <w:r w:rsidRPr="00BD372F">
              <w:rPr>
                <w:rFonts w:ascii="Times New Roman" w:hAnsi="Times New Roman"/>
                <w:b/>
                <w:sz w:val="24"/>
                <w:szCs w:val="24"/>
                <w:lang w:eastAsia="sk-SK"/>
              </w:rPr>
              <w:t>0</w:t>
            </w:r>
          </w:p>
        </w:tc>
        <w:tc>
          <w:tcPr>
            <w:tcW w:w="1267" w:type="dxa"/>
            <w:shd w:val="clear" w:color="auto" w:fill="BFBFBF"/>
            <w:noWrap/>
            <w:vAlign w:val="center"/>
          </w:tcPr>
          <w:p w14:paraId="5E588C14" w14:textId="77777777" w:rsidR="00BD372F" w:rsidRPr="00BD372F" w:rsidRDefault="00BD372F" w:rsidP="00BD372F">
            <w:pPr>
              <w:spacing w:after="0" w:line="240" w:lineRule="auto"/>
              <w:jc w:val="right"/>
              <w:rPr>
                <w:rFonts w:ascii="Times New Roman" w:hAnsi="Times New Roman"/>
                <w:b/>
                <w:sz w:val="24"/>
                <w:szCs w:val="24"/>
                <w:lang w:eastAsia="sk-SK"/>
              </w:rPr>
            </w:pPr>
            <w:r w:rsidRPr="00BD372F">
              <w:rPr>
                <w:rFonts w:ascii="Times New Roman" w:hAnsi="Times New Roman"/>
                <w:b/>
                <w:sz w:val="24"/>
                <w:szCs w:val="24"/>
                <w:lang w:eastAsia="sk-SK"/>
              </w:rPr>
              <w:t>0</w:t>
            </w:r>
          </w:p>
        </w:tc>
      </w:tr>
      <w:tr w:rsidR="00BD372F" w:rsidRPr="00BD372F" w14:paraId="28F76B21" w14:textId="77777777" w:rsidTr="00154BAB">
        <w:trPr>
          <w:trHeight w:val="70"/>
          <w:jc w:val="center"/>
        </w:trPr>
        <w:tc>
          <w:tcPr>
            <w:tcW w:w="4661" w:type="dxa"/>
            <w:noWrap/>
            <w:vAlign w:val="center"/>
          </w:tcPr>
          <w:p w14:paraId="3126FBC4" w14:textId="77777777" w:rsidR="00BD372F" w:rsidRPr="00BD372F" w:rsidRDefault="00BD372F" w:rsidP="00BD372F">
            <w:pPr>
              <w:spacing w:after="0" w:line="240" w:lineRule="auto"/>
              <w:rPr>
                <w:rFonts w:ascii="Times New Roman" w:hAnsi="Times New Roman"/>
                <w:b/>
                <w:bCs/>
                <w:i/>
                <w:iCs/>
                <w:sz w:val="24"/>
                <w:szCs w:val="24"/>
                <w:lang w:eastAsia="sk-SK"/>
              </w:rPr>
            </w:pPr>
            <w:r w:rsidRPr="00BD372F">
              <w:rPr>
                <w:rFonts w:ascii="Times New Roman" w:hAnsi="Times New Roman"/>
                <w:b/>
                <w:bCs/>
                <w:i/>
                <w:iCs/>
                <w:sz w:val="24"/>
                <w:szCs w:val="24"/>
                <w:lang w:eastAsia="sk-SK"/>
              </w:rPr>
              <w:t>- vplyv na ŠR</w:t>
            </w:r>
          </w:p>
        </w:tc>
        <w:tc>
          <w:tcPr>
            <w:tcW w:w="1267" w:type="dxa"/>
            <w:noWrap/>
            <w:vAlign w:val="center"/>
          </w:tcPr>
          <w:p w14:paraId="3F955DC7"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c>
          <w:tcPr>
            <w:tcW w:w="1267" w:type="dxa"/>
            <w:noWrap/>
            <w:vAlign w:val="center"/>
          </w:tcPr>
          <w:p w14:paraId="603B7162"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c>
          <w:tcPr>
            <w:tcW w:w="1267" w:type="dxa"/>
            <w:noWrap/>
            <w:vAlign w:val="center"/>
          </w:tcPr>
          <w:p w14:paraId="6379B17D"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c>
          <w:tcPr>
            <w:tcW w:w="1267" w:type="dxa"/>
            <w:noWrap/>
            <w:vAlign w:val="center"/>
          </w:tcPr>
          <w:p w14:paraId="4E9AF009"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r>
      <w:tr w:rsidR="00BD372F" w:rsidRPr="00BD372F" w14:paraId="6BBAC694" w14:textId="77777777" w:rsidTr="00154BAB">
        <w:trPr>
          <w:trHeight w:val="70"/>
          <w:jc w:val="center"/>
        </w:trPr>
        <w:tc>
          <w:tcPr>
            <w:tcW w:w="4661" w:type="dxa"/>
            <w:noWrap/>
            <w:vAlign w:val="center"/>
          </w:tcPr>
          <w:p w14:paraId="36D58D02" w14:textId="402B72F4" w:rsidR="00BD372F" w:rsidRPr="00BD372F" w:rsidRDefault="00BD372F" w:rsidP="00BD372F">
            <w:pPr>
              <w:spacing w:after="0" w:line="240" w:lineRule="auto"/>
              <w:rPr>
                <w:rFonts w:ascii="Times New Roman" w:hAnsi="Times New Roman"/>
                <w:color w:val="000000"/>
                <w:sz w:val="24"/>
                <w:szCs w:val="24"/>
                <w:lang w:eastAsia="sk-SK"/>
              </w:rPr>
            </w:pPr>
            <w:r w:rsidRPr="00BD372F">
              <w:rPr>
                <w:rFonts w:ascii="Times New Roman" w:hAnsi="Times New Roman"/>
                <w:bCs/>
                <w:iCs/>
                <w:sz w:val="24"/>
                <w:szCs w:val="24"/>
                <w:lang w:eastAsia="sk-SK"/>
              </w:rPr>
              <w:t>v tom:</w:t>
            </w:r>
            <w:r w:rsidRPr="00BD372F">
              <w:rPr>
                <w:rFonts w:ascii="Times New Roman" w:hAnsi="Times New Roman"/>
                <w:color w:val="000000"/>
                <w:sz w:val="24"/>
                <w:szCs w:val="24"/>
                <w:lang w:eastAsia="sk-SK"/>
              </w:rPr>
              <w:t xml:space="preserve"> MF SR/074 03 Kontrola, vládny audit a vnútorný audit (org. Úrad vládneho auditu)</w:t>
            </w:r>
          </w:p>
        </w:tc>
        <w:tc>
          <w:tcPr>
            <w:tcW w:w="1267" w:type="dxa"/>
            <w:noWrap/>
            <w:vAlign w:val="center"/>
          </w:tcPr>
          <w:p w14:paraId="398F4C29"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c>
          <w:tcPr>
            <w:tcW w:w="1267" w:type="dxa"/>
            <w:noWrap/>
            <w:vAlign w:val="center"/>
          </w:tcPr>
          <w:p w14:paraId="496990D8"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58 968</w:t>
            </w:r>
          </w:p>
        </w:tc>
        <w:tc>
          <w:tcPr>
            <w:tcW w:w="1267" w:type="dxa"/>
            <w:noWrap/>
            <w:vAlign w:val="center"/>
          </w:tcPr>
          <w:p w14:paraId="71E68109"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58 968</w:t>
            </w:r>
          </w:p>
        </w:tc>
        <w:tc>
          <w:tcPr>
            <w:tcW w:w="1267" w:type="dxa"/>
            <w:noWrap/>
            <w:vAlign w:val="center"/>
          </w:tcPr>
          <w:p w14:paraId="32F13CEB"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58 968</w:t>
            </w:r>
          </w:p>
        </w:tc>
      </w:tr>
      <w:tr w:rsidR="00BD372F" w:rsidRPr="00BD372F" w14:paraId="4AAE2413" w14:textId="77777777" w:rsidTr="00154BAB">
        <w:trPr>
          <w:trHeight w:val="70"/>
          <w:jc w:val="center"/>
        </w:trPr>
        <w:tc>
          <w:tcPr>
            <w:tcW w:w="4661" w:type="dxa"/>
            <w:noWrap/>
            <w:vAlign w:val="center"/>
          </w:tcPr>
          <w:p w14:paraId="77611958" w14:textId="49E8EAB0" w:rsidR="00BD372F" w:rsidRPr="00BD372F" w:rsidRDefault="00BD372F" w:rsidP="00BD372F">
            <w:pPr>
              <w:spacing w:after="0" w:line="240" w:lineRule="auto"/>
              <w:rPr>
                <w:rFonts w:ascii="Times New Roman" w:hAnsi="Times New Roman"/>
                <w:b/>
                <w:bCs/>
                <w:i/>
                <w:iCs/>
                <w:sz w:val="24"/>
                <w:szCs w:val="24"/>
                <w:lang w:eastAsia="sk-SK"/>
              </w:rPr>
            </w:pPr>
            <w:r w:rsidRPr="00BD372F">
              <w:rPr>
                <w:rFonts w:ascii="Times New Roman" w:hAnsi="Times New Roman"/>
                <w:bCs/>
                <w:iCs/>
                <w:sz w:val="24"/>
                <w:szCs w:val="24"/>
                <w:lang w:eastAsia="sk-SK"/>
              </w:rPr>
              <w:t xml:space="preserve">v tom: </w:t>
            </w:r>
            <w:r w:rsidRPr="00BD372F">
              <w:rPr>
                <w:rFonts w:ascii="Times New Roman" w:hAnsi="Times New Roman"/>
                <w:color w:val="000000"/>
                <w:sz w:val="24"/>
                <w:szCs w:val="24"/>
                <w:lang w:eastAsia="sk-SK"/>
              </w:rPr>
              <w:t>MF SR/072 05 Výkon funkcií finančnej správy (org. Finančné riaditeľstvo SR)</w:t>
            </w:r>
          </w:p>
        </w:tc>
        <w:tc>
          <w:tcPr>
            <w:tcW w:w="1267" w:type="dxa"/>
            <w:noWrap/>
            <w:vAlign w:val="center"/>
          </w:tcPr>
          <w:p w14:paraId="63162F4A"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c>
          <w:tcPr>
            <w:tcW w:w="1267" w:type="dxa"/>
            <w:noWrap/>
            <w:vAlign w:val="center"/>
          </w:tcPr>
          <w:p w14:paraId="6521207E"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-58 968</w:t>
            </w:r>
          </w:p>
        </w:tc>
        <w:tc>
          <w:tcPr>
            <w:tcW w:w="1267" w:type="dxa"/>
            <w:noWrap/>
            <w:vAlign w:val="center"/>
          </w:tcPr>
          <w:p w14:paraId="42E87038"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-58 968</w:t>
            </w:r>
          </w:p>
        </w:tc>
        <w:tc>
          <w:tcPr>
            <w:tcW w:w="1267" w:type="dxa"/>
            <w:noWrap/>
            <w:vAlign w:val="center"/>
          </w:tcPr>
          <w:p w14:paraId="6A25E424"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-58 968</w:t>
            </w:r>
          </w:p>
        </w:tc>
      </w:tr>
      <w:tr w:rsidR="00BD372F" w:rsidRPr="00BD372F" w14:paraId="17D8B4A5" w14:textId="77777777" w:rsidTr="00154BAB">
        <w:trPr>
          <w:trHeight w:val="70"/>
          <w:jc w:val="center"/>
        </w:trPr>
        <w:tc>
          <w:tcPr>
            <w:tcW w:w="4661" w:type="dxa"/>
            <w:noWrap/>
            <w:vAlign w:val="center"/>
          </w:tcPr>
          <w:p w14:paraId="15AAD56E" w14:textId="77777777" w:rsidR="00BD372F" w:rsidRPr="00BD372F" w:rsidRDefault="00BD372F" w:rsidP="00BD372F">
            <w:pPr>
              <w:spacing w:after="0" w:line="240" w:lineRule="auto"/>
              <w:rPr>
                <w:rFonts w:ascii="Times New Roman" w:hAnsi="Times New Roman"/>
                <w:b/>
                <w:bCs/>
                <w:i/>
                <w:iCs/>
                <w:sz w:val="24"/>
                <w:szCs w:val="24"/>
                <w:lang w:eastAsia="sk-SK"/>
              </w:rPr>
            </w:pPr>
            <w:r w:rsidRPr="00BD372F">
              <w:rPr>
                <w:rFonts w:ascii="Times New Roman" w:hAnsi="Times New Roman"/>
                <w:b/>
                <w:bCs/>
                <w:i/>
                <w:iCs/>
                <w:sz w:val="24"/>
                <w:szCs w:val="24"/>
                <w:lang w:eastAsia="sk-SK"/>
              </w:rPr>
              <w:t>- vplyv na obce</w:t>
            </w:r>
          </w:p>
        </w:tc>
        <w:tc>
          <w:tcPr>
            <w:tcW w:w="1267" w:type="dxa"/>
            <w:noWrap/>
            <w:vAlign w:val="center"/>
          </w:tcPr>
          <w:p w14:paraId="55CA9F59"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c>
          <w:tcPr>
            <w:tcW w:w="1267" w:type="dxa"/>
            <w:noWrap/>
            <w:vAlign w:val="center"/>
          </w:tcPr>
          <w:p w14:paraId="594FF09F"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c>
          <w:tcPr>
            <w:tcW w:w="1267" w:type="dxa"/>
            <w:noWrap/>
            <w:vAlign w:val="center"/>
          </w:tcPr>
          <w:p w14:paraId="6ACEF50D"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c>
          <w:tcPr>
            <w:tcW w:w="1267" w:type="dxa"/>
            <w:noWrap/>
            <w:vAlign w:val="center"/>
          </w:tcPr>
          <w:p w14:paraId="209BE624"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r>
      <w:tr w:rsidR="00BD372F" w:rsidRPr="00BD372F" w14:paraId="1D9E195B" w14:textId="77777777" w:rsidTr="00154BAB">
        <w:trPr>
          <w:trHeight w:val="70"/>
          <w:jc w:val="center"/>
        </w:trPr>
        <w:tc>
          <w:tcPr>
            <w:tcW w:w="4661" w:type="dxa"/>
            <w:noWrap/>
            <w:vAlign w:val="center"/>
          </w:tcPr>
          <w:p w14:paraId="6F96CEF1" w14:textId="77777777" w:rsidR="00BD372F" w:rsidRPr="00BD372F" w:rsidRDefault="00BD372F" w:rsidP="00BD372F">
            <w:pPr>
              <w:spacing w:after="0" w:line="240" w:lineRule="auto"/>
              <w:rPr>
                <w:rFonts w:ascii="Times New Roman" w:hAnsi="Times New Roman"/>
                <w:b/>
                <w:bCs/>
                <w:i/>
                <w:iCs/>
                <w:sz w:val="24"/>
                <w:szCs w:val="24"/>
                <w:lang w:eastAsia="sk-SK"/>
              </w:rPr>
            </w:pPr>
            <w:r w:rsidRPr="00BD372F">
              <w:rPr>
                <w:rFonts w:ascii="Times New Roman" w:hAnsi="Times New Roman"/>
                <w:b/>
                <w:bCs/>
                <w:i/>
                <w:iCs/>
                <w:sz w:val="24"/>
                <w:szCs w:val="24"/>
                <w:lang w:eastAsia="sk-SK"/>
              </w:rPr>
              <w:t>- vplyv na vyššie územné celky</w:t>
            </w:r>
          </w:p>
        </w:tc>
        <w:tc>
          <w:tcPr>
            <w:tcW w:w="1267" w:type="dxa"/>
            <w:noWrap/>
            <w:vAlign w:val="center"/>
          </w:tcPr>
          <w:p w14:paraId="078DEBD1"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c>
          <w:tcPr>
            <w:tcW w:w="1267" w:type="dxa"/>
            <w:noWrap/>
            <w:vAlign w:val="center"/>
          </w:tcPr>
          <w:p w14:paraId="6A9C5291"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c>
          <w:tcPr>
            <w:tcW w:w="1267" w:type="dxa"/>
            <w:noWrap/>
            <w:vAlign w:val="center"/>
          </w:tcPr>
          <w:p w14:paraId="0A1873DF"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c>
          <w:tcPr>
            <w:tcW w:w="1267" w:type="dxa"/>
            <w:noWrap/>
            <w:vAlign w:val="center"/>
          </w:tcPr>
          <w:p w14:paraId="6721FAC4"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r>
      <w:tr w:rsidR="00BD372F" w:rsidRPr="00BD372F" w14:paraId="3CB6B395" w14:textId="77777777" w:rsidTr="00154BAB">
        <w:trPr>
          <w:trHeight w:val="70"/>
          <w:jc w:val="center"/>
        </w:trPr>
        <w:tc>
          <w:tcPr>
            <w:tcW w:w="4661" w:type="dxa"/>
            <w:noWrap/>
            <w:vAlign w:val="center"/>
          </w:tcPr>
          <w:p w14:paraId="553F7DF7" w14:textId="77777777" w:rsidR="00BD372F" w:rsidRPr="00BD372F" w:rsidRDefault="00BD372F" w:rsidP="00BD372F">
            <w:pPr>
              <w:spacing w:after="0" w:line="240" w:lineRule="auto"/>
              <w:rPr>
                <w:rFonts w:ascii="Times New Roman" w:hAnsi="Times New Roman"/>
                <w:b/>
                <w:bCs/>
                <w:sz w:val="24"/>
                <w:szCs w:val="24"/>
                <w:lang w:eastAsia="sk-SK"/>
              </w:rPr>
            </w:pPr>
            <w:r w:rsidRPr="00BD372F">
              <w:rPr>
                <w:rFonts w:ascii="Times New Roman" w:hAnsi="Times New Roman"/>
                <w:b/>
                <w:bCs/>
                <w:i/>
                <w:iCs/>
                <w:sz w:val="24"/>
                <w:szCs w:val="24"/>
                <w:lang w:eastAsia="sk-SK"/>
              </w:rPr>
              <w:t>- vplyv na ostatné subjekty verejnej správy</w:t>
            </w:r>
          </w:p>
        </w:tc>
        <w:tc>
          <w:tcPr>
            <w:tcW w:w="1267" w:type="dxa"/>
            <w:noWrap/>
            <w:vAlign w:val="center"/>
          </w:tcPr>
          <w:p w14:paraId="7FD058A0"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c>
          <w:tcPr>
            <w:tcW w:w="1267" w:type="dxa"/>
            <w:noWrap/>
            <w:vAlign w:val="center"/>
          </w:tcPr>
          <w:p w14:paraId="76E4E18A"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c>
          <w:tcPr>
            <w:tcW w:w="1267" w:type="dxa"/>
            <w:noWrap/>
            <w:vAlign w:val="center"/>
          </w:tcPr>
          <w:p w14:paraId="45AD6F3B"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c>
          <w:tcPr>
            <w:tcW w:w="1267" w:type="dxa"/>
            <w:noWrap/>
            <w:vAlign w:val="center"/>
          </w:tcPr>
          <w:p w14:paraId="29910D44" w14:textId="77777777" w:rsidR="00BD372F" w:rsidRPr="00BD372F" w:rsidRDefault="00BD372F" w:rsidP="00BD372F">
            <w:pPr>
              <w:spacing w:after="0" w:line="240" w:lineRule="auto"/>
              <w:jc w:val="right"/>
              <w:rPr>
                <w:rFonts w:ascii="Times New Roman" w:hAnsi="Times New Roman"/>
                <w:b/>
                <w:bCs/>
                <w:iCs/>
                <w:sz w:val="24"/>
                <w:szCs w:val="24"/>
                <w:lang w:eastAsia="sk-SK"/>
              </w:rPr>
            </w:pPr>
            <w:r w:rsidRPr="00BD372F">
              <w:rPr>
                <w:rFonts w:ascii="Times New Roman" w:hAnsi="Times New Roman"/>
                <w:b/>
                <w:bCs/>
                <w:iCs/>
                <w:sz w:val="24"/>
                <w:szCs w:val="24"/>
                <w:lang w:eastAsia="sk-SK"/>
              </w:rPr>
              <w:t>0</w:t>
            </w:r>
          </w:p>
        </w:tc>
      </w:tr>
      <w:tr w:rsidR="00BD372F" w:rsidRPr="00BD372F" w14:paraId="0B803000" w14:textId="77777777" w:rsidTr="00154BAB">
        <w:trPr>
          <w:trHeight w:val="70"/>
          <w:jc w:val="center"/>
        </w:trPr>
        <w:tc>
          <w:tcPr>
            <w:tcW w:w="4661" w:type="dxa"/>
            <w:shd w:val="clear" w:color="auto" w:fill="C0C0C0"/>
            <w:noWrap/>
            <w:vAlign w:val="center"/>
          </w:tcPr>
          <w:p w14:paraId="481438B7" w14:textId="77777777" w:rsidR="00BD372F" w:rsidRPr="00BD372F" w:rsidRDefault="00BD372F" w:rsidP="00BD372F">
            <w:pPr>
              <w:spacing w:after="0" w:line="240" w:lineRule="auto"/>
              <w:rPr>
                <w:rFonts w:ascii="Times New Roman" w:hAnsi="Times New Roman"/>
                <w:b/>
                <w:bCs/>
                <w:sz w:val="24"/>
                <w:szCs w:val="24"/>
                <w:lang w:eastAsia="sk-SK"/>
              </w:rPr>
            </w:pPr>
            <w:r w:rsidRPr="00BD372F">
              <w:rPr>
                <w:rFonts w:ascii="Times New Roman" w:hAnsi="Times New Roman"/>
                <w:b/>
                <w:bCs/>
                <w:sz w:val="24"/>
                <w:szCs w:val="24"/>
                <w:lang w:eastAsia="sk-SK"/>
              </w:rPr>
              <w:t>Financovanie zabezpečené v rozpočte</w:t>
            </w:r>
          </w:p>
        </w:tc>
        <w:tc>
          <w:tcPr>
            <w:tcW w:w="1267" w:type="dxa"/>
            <w:shd w:val="clear" w:color="auto" w:fill="C0C0C0"/>
            <w:noWrap/>
            <w:vAlign w:val="center"/>
          </w:tcPr>
          <w:p w14:paraId="4AD0994D" w14:textId="77777777" w:rsidR="00BD372F" w:rsidRPr="00BD372F" w:rsidRDefault="00BD372F" w:rsidP="00BD372F">
            <w:pPr>
              <w:spacing w:after="0" w:line="240" w:lineRule="auto"/>
              <w:jc w:val="right"/>
              <w:rPr>
                <w:rFonts w:ascii="Times New Roman" w:hAnsi="Times New Roman"/>
                <w:b/>
                <w:sz w:val="24"/>
                <w:szCs w:val="24"/>
                <w:lang w:eastAsia="sk-SK"/>
              </w:rPr>
            </w:pPr>
            <w:r w:rsidRPr="00BD372F">
              <w:rPr>
                <w:rFonts w:ascii="Times New Roman" w:hAnsi="Times New Roman"/>
                <w:b/>
                <w:sz w:val="24"/>
                <w:szCs w:val="24"/>
                <w:lang w:eastAsia="sk-SK"/>
              </w:rPr>
              <w:t>473 788</w:t>
            </w:r>
          </w:p>
        </w:tc>
        <w:tc>
          <w:tcPr>
            <w:tcW w:w="1267" w:type="dxa"/>
            <w:shd w:val="clear" w:color="auto" w:fill="C0C0C0"/>
            <w:noWrap/>
            <w:vAlign w:val="center"/>
          </w:tcPr>
          <w:p w14:paraId="3F95EA20" w14:textId="77777777" w:rsidR="00BD372F" w:rsidRPr="00BD372F" w:rsidRDefault="00BD372F" w:rsidP="00BD372F">
            <w:pPr>
              <w:spacing w:after="0" w:line="240" w:lineRule="auto"/>
              <w:jc w:val="right"/>
              <w:rPr>
                <w:rFonts w:ascii="Times New Roman" w:hAnsi="Times New Roman"/>
                <w:b/>
                <w:bCs/>
                <w:sz w:val="24"/>
                <w:szCs w:val="24"/>
                <w:lang w:eastAsia="sk-SK"/>
              </w:rPr>
            </w:pPr>
            <w:r w:rsidRPr="00BD372F">
              <w:rPr>
                <w:rFonts w:ascii="Times New Roman" w:hAnsi="Times New Roman"/>
                <w:b/>
                <w:bCs/>
                <w:sz w:val="24"/>
                <w:szCs w:val="24"/>
                <w:lang w:eastAsia="sk-SK"/>
              </w:rPr>
              <w:t>1 292 520</w:t>
            </w:r>
          </w:p>
        </w:tc>
        <w:tc>
          <w:tcPr>
            <w:tcW w:w="1267" w:type="dxa"/>
            <w:shd w:val="clear" w:color="auto" w:fill="C0C0C0"/>
            <w:noWrap/>
            <w:vAlign w:val="center"/>
          </w:tcPr>
          <w:p w14:paraId="7543AE94" w14:textId="77777777" w:rsidR="00BD372F" w:rsidRPr="00BD372F" w:rsidRDefault="00BD372F" w:rsidP="00BD372F">
            <w:pPr>
              <w:spacing w:after="0" w:line="240" w:lineRule="auto"/>
              <w:jc w:val="right"/>
              <w:rPr>
                <w:rFonts w:ascii="Times New Roman" w:hAnsi="Times New Roman"/>
                <w:b/>
                <w:bCs/>
                <w:sz w:val="24"/>
                <w:szCs w:val="24"/>
                <w:lang w:eastAsia="sk-SK"/>
              </w:rPr>
            </w:pPr>
            <w:r w:rsidRPr="00BD372F">
              <w:rPr>
                <w:rFonts w:ascii="Times New Roman" w:hAnsi="Times New Roman"/>
                <w:b/>
                <w:bCs/>
                <w:sz w:val="24"/>
                <w:szCs w:val="24"/>
                <w:lang w:eastAsia="sk-SK"/>
              </w:rPr>
              <w:t>2 489 520</w:t>
            </w:r>
          </w:p>
        </w:tc>
        <w:tc>
          <w:tcPr>
            <w:tcW w:w="1267" w:type="dxa"/>
            <w:shd w:val="clear" w:color="auto" w:fill="C0C0C0"/>
            <w:noWrap/>
            <w:vAlign w:val="center"/>
          </w:tcPr>
          <w:p w14:paraId="408D659E" w14:textId="77777777" w:rsidR="00BD372F" w:rsidRPr="00BD372F" w:rsidRDefault="00BD372F" w:rsidP="00BD372F">
            <w:pPr>
              <w:spacing w:after="0" w:line="240" w:lineRule="auto"/>
              <w:jc w:val="right"/>
              <w:rPr>
                <w:rFonts w:ascii="Times New Roman" w:hAnsi="Times New Roman"/>
                <w:b/>
                <w:bCs/>
                <w:sz w:val="24"/>
                <w:szCs w:val="24"/>
                <w:lang w:eastAsia="sk-SK"/>
              </w:rPr>
            </w:pPr>
            <w:r w:rsidRPr="00BD372F">
              <w:rPr>
                <w:rFonts w:ascii="Times New Roman" w:hAnsi="Times New Roman"/>
                <w:b/>
                <w:bCs/>
                <w:sz w:val="24"/>
                <w:szCs w:val="24"/>
                <w:lang w:eastAsia="sk-SK"/>
              </w:rPr>
              <w:t>2 559 853</w:t>
            </w:r>
          </w:p>
        </w:tc>
      </w:tr>
      <w:tr w:rsidR="00BD372F" w:rsidRPr="00BD372F" w14:paraId="69D08536" w14:textId="77777777" w:rsidTr="00154BAB">
        <w:trPr>
          <w:trHeight w:val="70"/>
          <w:jc w:val="center"/>
        </w:trPr>
        <w:tc>
          <w:tcPr>
            <w:tcW w:w="4661" w:type="dxa"/>
            <w:noWrap/>
            <w:vAlign w:val="center"/>
          </w:tcPr>
          <w:p w14:paraId="4FBE1C0F" w14:textId="77777777"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sz w:val="24"/>
                <w:szCs w:val="24"/>
                <w:lang w:eastAsia="sk-SK"/>
              </w:rPr>
              <w:t>v tom: MF SR/074 04 Výkon ďalších funkcií MF SR (org. MF SR – úrad)</w:t>
            </w:r>
          </w:p>
        </w:tc>
        <w:tc>
          <w:tcPr>
            <w:tcW w:w="1267" w:type="dxa"/>
            <w:noWrap/>
          </w:tcPr>
          <w:p w14:paraId="4B473DCC" w14:textId="77777777" w:rsidR="00BD372F" w:rsidRPr="00BD372F" w:rsidRDefault="00BD372F" w:rsidP="00BD372F">
            <w:pPr>
              <w:spacing w:after="0" w:line="240" w:lineRule="auto"/>
              <w:jc w:val="right"/>
              <w:rPr>
                <w:rFonts w:ascii="Times New Roman" w:hAnsi="Times New Roman"/>
                <w:sz w:val="24"/>
                <w:szCs w:val="24"/>
                <w:lang w:eastAsia="sk-SK"/>
              </w:rPr>
            </w:pPr>
            <w:r w:rsidRPr="00BD372F">
              <w:rPr>
                <w:rFonts w:ascii="Times New Roman" w:hAnsi="Times New Roman"/>
                <w:bCs/>
                <w:sz w:val="24"/>
                <w:szCs w:val="24"/>
                <w:lang w:eastAsia="sk-SK"/>
              </w:rPr>
              <w:t>473 788</w:t>
            </w:r>
          </w:p>
        </w:tc>
        <w:tc>
          <w:tcPr>
            <w:tcW w:w="1267" w:type="dxa"/>
            <w:noWrap/>
          </w:tcPr>
          <w:p w14:paraId="071A867E" w14:textId="77777777" w:rsidR="00BD372F" w:rsidRPr="00BD372F" w:rsidRDefault="00BD372F" w:rsidP="00BD372F">
            <w:pPr>
              <w:spacing w:after="0" w:line="240" w:lineRule="auto"/>
              <w:jc w:val="right"/>
              <w:rPr>
                <w:rFonts w:ascii="Times New Roman" w:hAnsi="Times New Roman"/>
                <w:sz w:val="24"/>
                <w:szCs w:val="24"/>
                <w:lang w:eastAsia="sk-SK"/>
              </w:rPr>
            </w:pPr>
            <w:r w:rsidRPr="00BD372F">
              <w:rPr>
                <w:rFonts w:ascii="Times New Roman" w:hAnsi="Times New Roman"/>
                <w:bCs/>
                <w:sz w:val="24"/>
                <w:szCs w:val="24"/>
                <w:lang w:eastAsia="sk-SK"/>
              </w:rPr>
              <w:t>1 200 000</w:t>
            </w:r>
          </w:p>
        </w:tc>
        <w:tc>
          <w:tcPr>
            <w:tcW w:w="1267" w:type="dxa"/>
            <w:noWrap/>
          </w:tcPr>
          <w:p w14:paraId="1FA638E9" w14:textId="77777777" w:rsidR="00BD372F" w:rsidRPr="00BD372F" w:rsidRDefault="00BD372F" w:rsidP="00BD372F">
            <w:pPr>
              <w:spacing w:after="0" w:line="240" w:lineRule="auto"/>
              <w:jc w:val="right"/>
              <w:rPr>
                <w:rFonts w:ascii="Times New Roman" w:hAnsi="Times New Roman"/>
                <w:sz w:val="24"/>
                <w:szCs w:val="24"/>
                <w:lang w:eastAsia="sk-SK"/>
              </w:rPr>
            </w:pPr>
            <w:r w:rsidRPr="00BD372F">
              <w:rPr>
                <w:rFonts w:ascii="Times New Roman" w:hAnsi="Times New Roman"/>
                <w:bCs/>
                <w:sz w:val="24"/>
                <w:szCs w:val="24"/>
                <w:lang w:eastAsia="sk-SK"/>
              </w:rPr>
              <w:t>2 400 000</w:t>
            </w:r>
          </w:p>
        </w:tc>
        <w:tc>
          <w:tcPr>
            <w:tcW w:w="1267" w:type="dxa"/>
            <w:noWrap/>
          </w:tcPr>
          <w:p w14:paraId="46E211C5" w14:textId="77777777" w:rsidR="00BD372F" w:rsidRPr="00BD372F" w:rsidRDefault="00BD372F" w:rsidP="00BD372F">
            <w:pPr>
              <w:spacing w:after="0" w:line="240" w:lineRule="auto"/>
              <w:jc w:val="right"/>
              <w:rPr>
                <w:rFonts w:ascii="Times New Roman" w:hAnsi="Times New Roman"/>
                <w:sz w:val="24"/>
                <w:szCs w:val="24"/>
                <w:lang w:eastAsia="sk-SK"/>
              </w:rPr>
            </w:pPr>
            <w:r w:rsidRPr="00BD372F">
              <w:rPr>
                <w:rFonts w:ascii="Times New Roman" w:hAnsi="Times New Roman"/>
                <w:bCs/>
                <w:sz w:val="24"/>
                <w:szCs w:val="24"/>
                <w:lang w:eastAsia="sk-SK"/>
              </w:rPr>
              <w:t>2 400 000</w:t>
            </w:r>
          </w:p>
        </w:tc>
      </w:tr>
      <w:tr w:rsidR="00BD372F" w:rsidRPr="00BD372F" w14:paraId="20D17FDB" w14:textId="77777777" w:rsidTr="00154BAB">
        <w:trPr>
          <w:trHeight w:val="70"/>
          <w:jc w:val="center"/>
        </w:trPr>
        <w:tc>
          <w:tcPr>
            <w:tcW w:w="4661" w:type="dxa"/>
            <w:noWrap/>
            <w:vAlign w:val="center"/>
          </w:tcPr>
          <w:p w14:paraId="7F934FDD" w14:textId="77777777"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bCs/>
                <w:iCs/>
                <w:sz w:val="24"/>
                <w:szCs w:val="24"/>
                <w:lang w:eastAsia="sk-SK"/>
              </w:rPr>
              <w:t xml:space="preserve">v tom: </w:t>
            </w:r>
            <w:r w:rsidRPr="00BD372F">
              <w:rPr>
                <w:rFonts w:ascii="Times New Roman" w:hAnsi="Times New Roman"/>
                <w:color w:val="000000"/>
                <w:sz w:val="24"/>
                <w:szCs w:val="24"/>
                <w:lang w:eastAsia="sk-SK"/>
              </w:rPr>
              <w:t>MF SR/072 05 Výkon funkcií finančnej správy (org. Finančné riaditeľstvo SR)</w:t>
            </w:r>
          </w:p>
        </w:tc>
        <w:tc>
          <w:tcPr>
            <w:tcW w:w="1267" w:type="dxa"/>
            <w:noWrap/>
          </w:tcPr>
          <w:p w14:paraId="516BDD07" w14:textId="77777777" w:rsidR="00BD372F" w:rsidRPr="00BD372F" w:rsidRDefault="00BD372F" w:rsidP="00BD372F">
            <w:pPr>
              <w:spacing w:after="0" w:line="240" w:lineRule="auto"/>
              <w:jc w:val="right"/>
              <w:rPr>
                <w:rFonts w:ascii="Times New Roman" w:hAnsi="Times New Roman"/>
                <w:bCs/>
                <w:sz w:val="24"/>
                <w:szCs w:val="24"/>
                <w:lang w:eastAsia="sk-SK"/>
              </w:rPr>
            </w:pPr>
            <w:r w:rsidRPr="00BD372F">
              <w:rPr>
                <w:rFonts w:ascii="Times New Roman" w:hAnsi="Times New Roman"/>
                <w:bCs/>
                <w:sz w:val="24"/>
                <w:szCs w:val="24"/>
                <w:lang w:eastAsia="sk-SK"/>
              </w:rPr>
              <w:t>0</w:t>
            </w:r>
          </w:p>
        </w:tc>
        <w:tc>
          <w:tcPr>
            <w:tcW w:w="1267" w:type="dxa"/>
            <w:noWrap/>
          </w:tcPr>
          <w:p w14:paraId="320B263E" w14:textId="77777777" w:rsidR="00BD372F" w:rsidRPr="00BD372F" w:rsidRDefault="00BD372F" w:rsidP="00BD372F">
            <w:pPr>
              <w:spacing w:after="0" w:line="240" w:lineRule="auto"/>
              <w:jc w:val="right"/>
              <w:rPr>
                <w:rFonts w:ascii="Times New Roman" w:hAnsi="Times New Roman"/>
                <w:bCs/>
                <w:sz w:val="24"/>
                <w:szCs w:val="24"/>
                <w:lang w:eastAsia="sk-SK"/>
              </w:rPr>
            </w:pPr>
            <w:r w:rsidRPr="00BD372F">
              <w:rPr>
                <w:rFonts w:ascii="Times New Roman" w:hAnsi="Times New Roman"/>
                <w:bCs/>
                <w:sz w:val="24"/>
                <w:szCs w:val="24"/>
                <w:lang w:eastAsia="sk-SK"/>
              </w:rPr>
              <w:t>92 520</w:t>
            </w:r>
          </w:p>
        </w:tc>
        <w:tc>
          <w:tcPr>
            <w:tcW w:w="1267" w:type="dxa"/>
            <w:noWrap/>
          </w:tcPr>
          <w:p w14:paraId="70C6E40C" w14:textId="77777777" w:rsidR="00BD372F" w:rsidRPr="00BD372F" w:rsidRDefault="00BD372F" w:rsidP="00BD372F">
            <w:pPr>
              <w:spacing w:after="0" w:line="240" w:lineRule="auto"/>
              <w:jc w:val="right"/>
              <w:rPr>
                <w:rFonts w:ascii="Times New Roman" w:hAnsi="Times New Roman"/>
                <w:bCs/>
                <w:sz w:val="24"/>
                <w:szCs w:val="24"/>
                <w:lang w:eastAsia="sk-SK"/>
              </w:rPr>
            </w:pPr>
            <w:r w:rsidRPr="00BD372F">
              <w:rPr>
                <w:rFonts w:ascii="Times New Roman" w:hAnsi="Times New Roman"/>
                <w:bCs/>
                <w:sz w:val="24"/>
                <w:szCs w:val="24"/>
                <w:lang w:eastAsia="sk-SK"/>
              </w:rPr>
              <w:t>89 520</w:t>
            </w:r>
          </w:p>
        </w:tc>
        <w:tc>
          <w:tcPr>
            <w:tcW w:w="1267" w:type="dxa"/>
            <w:noWrap/>
          </w:tcPr>
          <w:p w14:paraId="1927A429" w14:textId="77777777" w:rsidR="00BD372F" w:rsidRPr="00BD372F" w:rsidRDefault="00BD372F" w:rsidP="00BD372F">
            <w:pPr>
              <w:spacing w:after="0" w:line="240" w:lineRule="auto"/>
              <w:jc w:val="right"/>
              <w:rPr>
                <w:rFonts w:ascii="Times New Roman" w:hAnsi="Times New Roman"/>
                <w:bCs/>
                <w:sz w:val="24"/>
                <w:szCs w:val="24"/>
                <w:lang w:eastAsia="sk-SK"/>
              </w:rPr>
            </w:pPr>
            <w:r w:rsidRPr="00BD372F">
              <w:rPr>
                <w:rFonts w:ascii="Times New Roman" w:hAnsi="Times New Roman"/>
                <w:bCs/>
                <w:sz w:val="24"/>
                <w:szCs w:val="24"/>
                <w:lang w:eastAsia="sk-SK"/>
              </w:rPr>
              <w:t>89 520</w:t>
            </w:r>
          </w:p>
        </w:tc>
      </w:tr>
      <w:tr w:rsidR="00BD372F" w:rsidRPr="00BD372F" w14:paraId="0AC1F5AF" w14:textId="77777777" w:rsidTr="00154BAB">
        <w:trPr>
          <w:trHeight w:val="70"/>
          <w:jc w:val="center"/>
        </w:trPr>
        <w:tc>
          <w:tcPr>
            <w:tcW w:w="4661" w:type="dxa"/>
            <w:noWrap/>
            <w:vAlign w:val="center"/>
          </w:tcPr>
          <w:p w14:paraId="2022A890" w14:textId="77777777" w:rsidR="00BD372F" w:rsidRPr="00BD372F" w:rsidRDefault="00BD372F" w:rsidP="00BD372F">
            <w:pPr>
              <w:spacing w:after="0" w:line="240" w:lineRule="auto"/>
              <w:rPr>
                <w:rFonts w:ascii="Times New Roman" w:hAnsi="Times New Roman"/>
                <w:bCs/>
                <w:iCs/>
                <w:sz w:val="24"/>
                <w:szCs w:val="24"/>
                <w:lang w:eastAsia="sk-SK"/>
              </w:rPr>
            </w:pPr>
            <w:r w:rsidRPr="00BD372F">
              <w:rPr>
                <w:rFonts w:ascii="Times New Roman" w:hAnsi="Times New Roman"/>
                <w:b/>
                <w:bCs/>
                <w:i/>
                <w:iCs/>
                <w:sz w:val="24"/>
                <w:szCs w:val="24"/>
                <w:lang w:eastAsia="sk-SK"/>
              </w:rPr>
              <w:t xml:space="preserve">  </w:t>
            </w:r>
            <w:r w:rsidRPr="00BD372F">
              <w:rPr>
                <w:rFonts w:ascii="Times New Roman" w:hAnsi="Times New Roman"/>
                <w:bCs/>
                <w:iCs/>
                <w:sz w:val="24"/>
                <w:szCs w:val="24"/>
                <w:lang w:eastAsia="sk-SK"/>
              </w:rPr>
              <w:t>v tom: MF SR/ISFS-SD, prvok 0EK0D14 – Integrovaný systém finančnej správy – správa daní (org. FR SR)</w:t>
            </w:r>
          </w:p>
        </w:tc>
        <w:tc>
          <w:tcPr>
            <w:tcW w:w="1267" w:type="dxa"/>
            <w:noWrap/>
          </w:tcPr>
          <w:p w14:paraId="6CA95209" w14:textId="77777777" w:rsidR="00BD372F" w:rsidRPr="00BD372F" w:rsidRDefault="00BD372F" w:rsidP="00BD372F">
            <w:pPr>
              <w:spacing w:after="0" w:line="240" w:lineRule="auto"/>
              <w:jc w:val="right"/>
              <w:rPr>
                <w:rFonts w:ascii="Times New Roman" w:hAnsi="Times New Roman"/>
                <w:bCs/>
                <w:sz w:val="24"/>
                <w:szCs w:val="24"/>
                <w:lang w:eastAsia="sk-SK"/>
              </w:rPr>
            </w:pPr>
            <w:r w:rsidRPr="00BD372F">
              <w:rPr>
                <w:rFonts w:ascii="Times New Roman" w:hAnsi="Times New Roman"/>
                <w:bCs/>
                <w:sz w:val="24"/>
                <w:szCs w:val="24"/>
                <w:lang w:eastAsia="sk-SK"/>
              </w:rPr>
              <w:t>0</w:t>
            </w:r>
          </w:p>
        </w:tc>
        <w:tc>
          <w:tcPr>
            <w:tcW w:w="1267" w:type="dxa"/>
            <w:noWrap/>
          </w:tcPr>
          <w:p w14:paraId="36BD062D" w14:textId="77777777" w:rsidR="00BD372F" w:rsidRPr="00BD372F" w:rsidRDefault="00BD372F" w:rsidP="00BD372F">
            <w:pPr>
              <w:spacing w:after="0" w:line="240" w:lineRule="auto"/>
              <w:jc w:val="right"/>
              <w:rPr>
                <w:rFonts w:ascii="Times New Roman" w:hAnsi="Times New Roman"/>
                <w:bCs/>
                <w:sz w:val="24"/>
                <w:szCs w:val="24"/>
                <w:lang w:eastAsia="sk-SK"/>
              </w:rPr>
            </w:pPr>
            <w:r w:rsidRPr="00BD372F">
              <w:rPr>
                <w:rFonts w:ascii="Times New Roman" w:hAnsi="Times New Roman"/>
                <w:bCs/>
                <w:sz w:val="24"/>
                <w:szCs w:val="24"/>
                <w:lang w:eastAsia="sk-SK"/>
              </w:rPr>
              <w:t>0</w:t>
            </w:r>
          </w:p>
        </w:tc>
        <w:tc>
          <w:tcPr>
            <w:tcW w:w="1267" w:type="dxa"/>
            <w:noWrap/>
          </w:tcPr>
          <w:p w14:paraId="0CA2BD33" w14:textId="77777777" w:rsidR="00BD372F" w:rsidRPr="00BD372F" w:rsidRDefault="00BD372F" w:rsidP="00BD372F">
            <w:pPr>
              <w:spacing w:after="0" w:line="240" w:lineRule="auto"/>
              <w:jc w:val="right"/>
              <w:rPr>
                <w:rFonts w:ascii="Times New Roman" w:hAnsi="Times New Roman"/>
                <w:bCs/>
                <w:sz w:val="24"/>
                <w:szCs w:val="24"/>
                <w:lang w:eastAsia="sk-SK"/>
              </w:rPr>
            </w:pPr>
            <w:r w:rsidRPr="00BD372F">
              <w:rPr>
                <w:rFonts w:ascii="Times New Roman" w:hAnsi="Times New Roman"/>
                <w:bCs/>
                <w:sz w:val="24"/>
                <w:szCs w:val="24"/>
                <w:lang w:eastAsia="sk-SK"/>
              </w:rPr>
              <w:t>0</w:t>
            </w:r>
          </w:p>
        </w:tc>
        <w:tc>
          <w:tcPr>
            <w:tcW w:w="1267" w:type="dxa"/>
            <w:noWrap/>
          </w:tcPr>
          <w:p w14:paraId="5A4100A1" w14:textId="77777777" w:rsidR="00BD372F" w:rsidRPr="00BD372F" w:rsidRDefault="00BD372F" w:rsidP="00BD372F">
            <w:pPr>
              <w:spacing w:after="0" w:line="240" w:lineRule="auto"/>
              <w:jc w:val="right"/>
              <w:rPr>
                <w:rFonts w:ascii="Times New Roman" w:hAnsi="Times New Roman"/>
                <w:bCs/>
                <w:sz w:val="24"/>
                <w:szCs w:val="24"/>
                <w:lang w:eastAsia="sk-SK"/>
              </w:rPr>
            </w:pPr>
            <w:r w:rsidRPr="00BD372F">
              <w:rPr>
                <w:rFonts w:ascii="Times New Roman" w:hAnsi="Times New Roman"/>
                <w:bCs/>
                <w:sz w:val="24"/>
                <w:szCs w:val="24"/>
                <w:lang w:eastAsia="sk-SK"/>
              </w:rPr>
              <w:t>70 333</w:t>
            </w:r>
          </w:p>
        </w:tc>
      </w:tr>
      <w:tr w:rsidR="00BD372F" w:rsidRPr="00BD372F" w14:paraId="02C630E0" w14:textId="77777777" w:rsidTr="00BD372F">
        <w:trPr>
          <w:trHeight w:val="70"/>
          <w:jc w:val="center"/>
        </w:trPr>
        <w:tc>
          <w:tcPr>
            <w:tcW w:w="4661" w:type="dxa"/>
            <w:shd w:val="clear" w:color="auto" w:fill="BFBFBF"/>
            <w:noWrap/>
            <w:vAlign w:val="center"/>
          </w:tcPr>
          <w:p w14:paraId="4DFB0235" w14:textId="77777777" w:rsidR="00BD372F" w:rsidRPr="00BD372F" w:rsidRDefault="00BD372F" w:rsidP="00BD372F">
            <w:pPr>
              <w:spacing w:after="0" w:line="240" w:lineRule="auto"/>
              <w:rPr>
                <w:rFonts w:ascii="Times New Roman" w:hAnsi="Times New Roman"/>
                <w:b/>
                <w:sz w:val="24"/>
                <w:szCs w:val="24"/>
                <w:lang w:eastAsia="sk-SK"/>
              </w:rPr>
            </w:pPr>
            <w:r w:rsidRPr="00BD372F">
              <w:rPr>
                <w:rFonts w:ascii="Times New Roman" w:hAnsi="Times New Roman"/>
                <w:b/>
                <w:sz w:val="24"/>
                <w:szCs w:val="24"/>
                <w:lang w:eastAsia="sk-SK"/>
              </w:rPr>
              <w:t>Iné ako rozpočtové zdroje</w:t>
            </w:r>
          </w:p>
        </w:tc>
        <w:tc>
          <w:tcPr>
            <w:tcW w:w="1267" w:type="dxa"/>
            <w:shd w:val="clear" w:color="auto" w:fill="BFBFBF"/>
            <w:noWrap/>
            <w:vAlign w:val="center"/>
          </w:tcPr>
          <w:p w14:paraId="3190779B" w14:textId="77777777" w:rsidR="00BD372F" w:rsidRPr="00BD372F" w:rsidRDefault="00BD372F" w:rsidP="00BD372F">
            <w:pPr>
              <w:spacing w:after="0" w:line="240" w:lineRule="auto"/>
              <w:jc w:val="right"/>
              <w:rPr>
                <w:rFonts w:ascii="Times New Roman" w:hAnsi="Times New Roman"/>
                <w:b/>
                <w:bCs/>
                <w:sz w:val="24"/>
                <w:szCs w:val="24"/>
                <w:lang w:eastAsia="sk-SK"/>
              </w:rPr>
            </w:pPr>
            <w:r w:rsidRPr="00BD372F">
              <w:rPr>
                <w:rFonts w:ascii="Times New Roman" w:hAnsi="Times New Roman"/>
                <w:b/>
                <w:bCs/>
                <w:sz w:val="24"/>
                <w:szCs w:val="24"/>
                <w:lang w:eastAsia="sk-SK"/>
              </w:rPr>
              <w:t>0</w:t>
            </w:r>
          </w:p>
        </w:tc>
        <w:tc>
          <w:tcPr>
            <w:tcW w:w="1267" w:type="dxa"/>
            <w:shd w:val="clear" w:color="auto" w:fill="BFBFBF"/>
            <w:noWrap/>
            <w:vAlign w:val="center"/>
          </w:tcPr>
          <w:p w14:paraId="0E4952AC" w14:textId="77777777" w:rsidR="00BD372F" w:rsidRPr="00BD372F" w:rsidRDefault="00BD372F" w:rsidP="00BD372F">
            <w:pPr>
              <w:spacing w:after="0" w:line="240" w:lineRule="auto"/>
              <w:jc w:val="right"/>
              <w:rPr>
                <w:rFonts w:ascii="Times New Roman" w:hAnsi="Times New Roman"/>
                <w:b/>
                <w:bCs/>
                <w:sz w:val="24"/>
                <w:szCs w:val="24"/>
                <w:lang w:eastAsia="sk-SK"/>
              </w:rPr>
            </w:pPr>
            <w:r w:rsidRPr="00BD372F">
              <w:rPr>
                <w:rFonts w:ascii="Times New Roman" w:hAnsi="Times New Roman"/>
                <w:b/>
                <w:bCs/>
                <w:sz w:val="24"/>
                <w:szCs w:val="24"/>
                <w:lang w:eastAsia="sk-SK"/>
              </w:rPr>
              <w:t>0</w:t>
            </w:r>
          </w:p>
        </w:tc>
        <w:tc>
          <w:tcPr>
            <w:tcW w:w="1267" w:type="dxa"/>
            <w:shd w:val="clear" w:color="auto" w:fill="BFBFBF"/>
            <w:noWrap/>
            <w:vAlign w:val="center"/>
          </w:tcPr>
          <w:p w14:paraId="2DF55066" w14:textId="77777777" w:rsidR="00BD372F" w:rsidRPr="00BD372F" w:rsidRDefault="00BD372F" w:rsidP="00BD372F">
            <w:pPr>
              <w:spacing w:after="0" w:line="240" w:lineRule="auto"/>
              <w:jc w:val="right"/>
              <w:rPr>
                <w:rFonts w:ascii="Times New Roman" w:hAnsi="Times New Roman"/>
                <w:b/>
                <w:bCs/>
                <w:sz w:val="24"/>
                <w:szCs w:val="24"/>
                <w:lang w:eastAsia="sk-SK"/>
              </w:rPr>
            </w:pPr>
            <w:r w:rsidRPr="00BD372F">
              <w:rPr>
                <w:rFonts w:ascii="Times New Roman" w:hAnsi="Times New Roman"/>
                <w:b/>
                <w:bCs/>
                <w:sz w:val="24"/>
                <w:szCs w:val="24"/>
                <w:lang w:eastAsia="sk-SK"/>
              </w:rPr>
              <w:t>0</w:t>
            </w:r>
          </w:p>
        </w:tc>
        <w:tc>
          <w:tcPr>
            <w:tcW w:w="1267" w:type="dxa"/>
            <w:shd w:val="clear" w:color="auto" w:fill="BFBFBF"/>
            <w:noWrap/>
            <w:vAlign w:val="center"/>
          </w:tcPr>
          <w:p w14:paraId="371A3092" w14:textId="77777777" w:rsidR="00BD372F" w:rsidRPr="00BD372F" w:rsidRDefault="00BD372F" w:rsidP="00BD372F">
            <w:pPr>
              <w:spacing w:after="0" w:line="240" w:lineRule="auto"/>
              <w:jc w:val="right"/>
              <w:rPr>
                <w:rFonts w:ascii="Times New Roman" w:hAnsi="Times New Roman"/>
                <w:b/>
                <w:bCs/>
                <w:sz w:val="24"/>
                <w:szCs w:val="24"/>
                <w:lang w:eastAsia="sk-SK"/>
              </w:rPr>
            </w:pPr>
            <w:r w:rsidRPr="00BD372F">
              <w:rPr>
                <w:rFonts w:ascii="Times New Roman" w:hAnsi="Times New Roman"/>
                <w:b/>
                <w:bCs/>
                <w:sz w:val="24"/>
                <w:szCs w:val="24"/>
                <w:lang w:eastAsia="sk-SK"/>
              </w:rPr>
              <w:t>0</w:t>
            </w:r>
          </w:p>
        </w:tc>
      </w:tr>
      <w:tr w:rsidR="00BD372F" w:rsidRPr="00BD372F" w14:paraId="2F488609" w14:textId="77777777" w:rsidTr="00BD372F">
        <w:trPr>
          <w:trHeight w:val="70"/>
          <w:jc w:val="center"/>
        </w:trPr>
        <w:tc>
          <w:tcPr>
            <w:tcW w:w="4661" w:type="dxa"/>
            <w:shd w:val="clear" w:color="auto" w:fill="A6A6A6"/>
            <w:noWrap/>
            <w:vAlign w:val="center"/>
          </w:tcPr>
          <w:p w14:paraId="084DC111" w14:textId="77777777" w:rsidR="00BD372F" w:rsidRPr="00BD372F" w:rsidRDefault="00BD372F" w:rsidP="00BD372F">
            <w:pPr>
              <w:spacing w:after="0" w:line="240" w:lineRule="auto"/>
              <w:rPr>
                <w:rFonts w:ascii="Times New Roman" w:hAnsi="Times New Roman"/>
                <w:b/>
                <w:bCs/>
                <w:sz w:val="24"/>
                <w:szCs w:val="24"/>
                <w:lang w:eastAsia="sk-SK"/>
              </w:rPr>
            </w:pPr>
            <w:r w:rsidRPr="00BD372F">
              <w:rPr>
                <w:rFonts w:ascii="Times New Roman" w:hAnsi="Times New Roman"/>
                <w:b/>
                <w:bCs/>
                <w:sz w:val="24"/>
                <w:szCs w:val="24"/>
                <w:lang w:eastAsia="sk-SK"/>
              </w:rPr>
              <w:t>Rozpočtovo nekrytý vplyv / úspora</w:t>
            </w:r>
          </w:p>
        </w:tc>
        <w:tc>
          <w:tcPr>
            <w:tcW w:w="1267" w:type="dxa"/>
            <w:shd w:val="clear" w:color="auto" w:fill="A6A6A6"/>
            <w:noWrap/>
            <w:vAlign w:val="center"/>
          </w:tcPr>
          <w:p w14:paraId="29F46BCB" w14:textId="77777777" w:rsidR="00BD372F" w:rsidRPr="00BD372F" w:rsidRDefault="00BD372F" w:rsidP="00BD372F">
            <w:pPr>
              <w:spacing w:after="0" w:line="240" w:lineRule="auto"/>
              <w:jc w:val="right"/>
              <w:rPr>
                <w:rFonts w:ascii="Times New Roman" w:hAnsi="Times New Roman"/>
                <w:b/>
                <w:bCs/>
                <w:sz w:val="24"/>
                <w:szCs w:val="24"/>
                <w:lang w:eastAsia="sk-SK"/>
              </w:rPr>
            </w:pPr>
            <w:r w:rsidRPr="00BD372F">
              <w:rPr>
                <w:rFonts w:ascii="Times New Roman" w:hAnsi="Times New Roman"/>
                <w:b/>
                <w:bCs/>
                <w:sz w:val="24"/>
                <w:szCs w:val="24"/>
                <w:lang w:eastAsia="sk-SK"/>
              </w:rPr>
              <w:t>0</w:t>
            </w:r>
          </w:p>
        </w:tc>
        <w:tc>
          <w:tcPr>
            <w:tcW w:w="1267" w:type="dxa"/>
            <w:shd w:val="clear" w:color="auto" w:fill="A6A6A6"/>
            <w:noWrap/>
            <w:vAlign w:val="center"/>
          </w:tcPr>
          <w:p w14:paraId="20D80136" w14:textId="77777777" w:rsidR="00BD372F" w:rsidRPr="00BD372F" w:rsidRDefault="00BD372F" w:rsidP="00BD372F">
            <w:pPr>
              <w:spacing w:after="0" w:line="240" w:lineRule="auto"/>
              <w:jc w:val="right"/>
              <w:rPr>
                <w:rFonts w:ascii="Times New Roman" w:hAnsi="Times New Roman"/>
                <w:b/>
                <w:bCs/>
                <w:sz w:val="24"/>
                <w:szCs w:val="24"/>
                <w:lang w:eastAsia="sk-SK"/>
              </w:rPr>
            </w:pPr>
            <w:r w:rsidRPr="00BD372F">
              <w:rPr>
                <w:rFonts w:ascii="Times New Roman" w:hAnsi="Times New Roman"/>
                <w:b/>
                <w:bCs/>
                <w:sz w:val="24"/>
                <w:szCs w:val="24"/>
                <w:lang w:eastAsia="sk-SK"/>
              </w:rPr>
              <w:t>0</w:t>
            </w:r>
          </w:p>
        </w:tc>
        <w:tc>
          <w:tcPr>
            <w:tcW w:w="1267" w:type="dxa"/>
            <w:shd w:val="clear" w:color="auto" w:fill="A6A6A6"/>
            <w:noWrap/>
            <w:vAlign w:val="center"/>
          </w:tcPr>
          <w:p w14:paraId="19B3413C" w14:textId="77777777" w:rsidR="00BD372F" w:rsidRPr="00BD372F" w:rsidRDefault="00BD372F" w:rsidP="00BD372F">
            <w:pPr>
              <w:spacing w:after="0" w:line="240" w:lineRule="auto"/>
              <w:jc w:val="right"/>
              <w:rPr>
                <w:rFonts w:ascii="Times New Roman" w:hAnsi="Times New Roman"/>
                <w:b/>
                <w:bCs/>
                <w:sz w:val="24"/>
                <w:szCs w:val="24"/>
                <w:lang w:eastAsia="sk-SK"/>
              </w:rPr>
            </w:pPr>
            <w:r w:rsidRPr="00BD372F">
              <w:rPr>
                <w:rFonts w:ascii="Times New Roman" w:hAnsi="Times New Roman"/>
                <w:b/>
                <w:bCs/>
                <w:sz w:val="24"/>
                <w:szCs w:val="24"/>
                <w:lang w:eastAsia="sk-SK"/>
              </w:rPr>
              <w:t>0</w:t>
            </w:r>
          </w:p>
        </w:tc>
        <w:tc>
          <w:tcPr>
            <w:tcW w:w="1267" w:type="dxa"/>
            <w:shd w:val="clear" w:color="auto" w:fill="A6A6A6"/>
            <w:noWrap/>
            <w:vAlign w:val="center"/>
          </w:tcPr>
          <w:p w14:paraId="0CDA5701" w14:textId="77777777" w:rsidR="00BD372F" w:rsidRPr="00BD372F" w:rsidRDefault="00BD372F" w:rsidP="00BD372F">
            <w:pPr>
              <w:spacing w:after="0" w:line="240" w:lineRule="auto"/>
              <w:jc w:val="right"/>
              <w:rPr>
                <w:rFonts w:ascii="Times New Roman" w:hAnsi="Times New Roman"/>
                <w:b/>
                <w:bCs/>
                <w:sz w:val="24"/>
                <w:szCs w:val="24"/>
                <w:lang w:eastAsia="sk-SK"/>
              </w:rPr>
            </w:pPr>
            <w:r w:rsidRPr="00BD372F">
              <w:rPr>
                <w:rFonts w:ascii="Times New Roman" w:hAnsi="Times New Roman"/>
                <w:b/>
                <w:bCs/>
                <w:sz w:val="24"/>
                <w:szCs w:val="24"/>
                <w:lang w:eastAsia="sk-SK"/>
              </w:rPr>
              <w:t>0</w:t>
            </w:r>
          </w:p>
        </w:tc>
      </w:tr>
    </w:tbl>
    <w:bookmarkEnd w:id="2"/>
    <w:p w14:paraId="0C4AE01A" w14:textId="77777777" w:rsidR="00BD372F" w:rsidRPr="00BD372F" w:rsidRDefault="00BD372F" w:rsidP="00BD372F">
      <w:pPr>
        <w:spacing w:after="0"/>
        <w:rPr>
          <w:rFonts w:ascii="Times New Roman" w:hAnsi="Times New Roman"/>
          <w:bCs/>
          <w:sz w:val="20"/>
          <w:szCs w:val="20"/>
          <w:lang w:eastAsia="sk-SK"/>
        </w:rPr>
      </w:pPr>
      <w:r w:rsidRPr="00BD372F">
        <w:rPr>
          <w:rFonts w:ascii="Times New Roman" w:hAnsi="Times New Roman"/>
          <w:bCs/>
          <w:sz w:val="20"/>
          <w:szCs w:val="20"/>
          <w:lang w:eastAsia="sk-SK"/>
        </w:rPr>
        <w:t xml:space="preserve">                                                                                                                                                             Tabuľka č. 1/B</w:t>
      </w:r>
    </w:p>
    <w:tbl>
      <w:tblPr>
        <w:tblW w:w="9782" w:type="dxa"/>
        <w:tblInd w:w="-289" w:type="dxa"/>
        <w:tblCellMar>
          <w:left w:w="70" w:type="dxa"/>
          <w:right w:w="70" w:type="dxa"/>
        </w:tblCellMar>
        <w:tblLook w:val="04A0" w:firstRow="1" w:lastRow="0" w:firstColumn="1" w:lastColumn="0" w:noHBand="0" w:noVBand="1"/>
      </w:tblPr>
      <w:tblGrid>
        <w:gridCol w:w="4679"/>
        <w:gridCol w:w="1134"/>
        <w:gridCol w:w="1275"/>
        <w:gridCol w:w="1418"/>
        <w:gridCol w:w="1276"/>
      </w:tblGrid>
      <w:tr w:rsidR="00BD372F" w:rsidRPr="00BD372F" w14:paraId="21674C32" w14:textId="77777777" w:rsidTr="00BD372F">
        <w:trPr>
          <w:trHeight w:val="300"/>
        </w:trPr>
        <w:tc>
          <w:tcPr>
            <w:tcW w:w="4679"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2F83F297" w14:textId="77777777" w:rsidR="00BD372F" w:rsidRPr="00BD372F" w:rsidRDefault="00BD372F" w:rsidP="00BD372F">
            <w:pPr>
              <w:spacing w:after="0" w:line="240" w:lineRule="auto"/>
              <w:rPr>
                <w:rFonts w:ascii="Times New Roman" w:hAnsi="Times New Roman"/>
                <w:color w:val="000000"/>
                <w:sz w:val="24"/>
                <w:szCs w:val="24"/>
                <w:lang w:eastAsia="sk-SK"/>
              </w:rPr>
            </w:pPr>
            <w:r w:rsidRPr="00BD372F">
              <w:rPr>
                <w:rFonts w:ascii="Times New Roman" w:hAnsi="Times New Roman"/>
                <w:color w:val="000000"/>
                <w:sz w:val="24"/>
                <w:szCs w:val="24"/>
                <w:lang w:eastAsia="sk-SK"/>
              </w:rPr>
              <w:t> </w:t>
            </w:r>
          </w:p>
        </w:tc>
        <w:tc>
          <w:tcPr>
            <w:tcW w:w="1134" w:type="dxa"/>
            <w:tcBorders>
              <w:top w:val="single" w:sz="4" w:space="0" w:color="auto"/>
              <w:left w:val="nil"/>
              <w:bottom w:val="single" w:sz="4" w:space="0" w:color="auto"/>
              <w:right w:val="single" w:sz="4" w:space="0" w:color="auto"/>
            </w:tcBorders>
            <w:shd w:val="clear" w:color="auto" w:fill="BFBFBF"/>
            <w:noWrap/>
            <w:vAlign w:val="center"/>
            <w:hideMark/>
          </w:tcPr>
          <w:p w14:paraId="73FE6255" w14:textId="77777777" w:rsidR="00BD372F" w:rsidRPr="00BD372F" w:rsidRDefault="00BD372F" w:rsidP="00BD372F">
            <w:pPr>
              <w:spacing w:after="0" w:line="240" w:lineRule="auto"/>
              <w:jc w:val="center"/>
              <w:rPr>
                <w:rFonts w:ascii="Times New Roman" w:hAnsi="Times New Roman"/>
                <w:b/>
                <w:bCs/>
                <w:color w:val="000000"/>
                <w:sz w:val="24"/>
                <w:szCs w:val="24"/>
                <w:lang w:eastAsia="sk-SK"/>
              </w:rPr>
            </w:pPr>
            <w:r w:rsidRPr="00BD372F">
              <w:rPr>
                <w:rFonts w:ascii="Times New Roman" w:hAnsi="Times New Roman"/>
                <w:b/>
                <w:bCs/>
                <w:color w:val="000000"/>
                <w:sz w:val="24"/>
                <w:szCs w:val="24"/>
                <w:lang w:eastAsia="sk-SK"/>
              </w:rPr>
              <w:t>2025</w:t>
            </w:r>
          </w:p>
        </w:tc>
        <w:tc>
          <w:tcPr>
            <w:tcW w:w="1275" w:type="dxa"/>
            <w:tcBorders>
              <w:top w:val="single" w:sz="4" w:space="0" w:color="auto"/>
              <w:left w:val="nil"/>
              <w:bottom w:val="single" w:sz="4" w:space="0" w:color="auto"/>
              <w:right w:val="single" w:sz="4" w:space="0" w:color="auto"/>
            </w:tcBorders>
            <w:shd w:val="clear" w:color="auto" w:fill="BFBFBF"/>
            <w:noWrap/>
            <w:vAlign w:val="center"/>
            <w:hideMark/>
          </w:tcPr>
          <w:p w14:paraId="010F466A" w14:textId="77777777" w:rsidR="00BD372F" w:rsidRPr="00BD372F" w:rsidRDefault="00BD372F" w:rsidP="00BD372F">
            <w:pPr>
              <w:spacing w:after="0" w:line="240" w:lineRule="auto"/>
              <w:jc w:val="center"/>
              <w:rPr>
                <w:rFonts w:ascii="Times New Roman" w:hAnsi="Times New Roman"/>
                <w:b/>
                <w:bCs/>
                <w:color w:val="000000"/>
                <w:sz w:val="24"/>
                <w:szCs w:val="24"/>
                <w:lang w:eastAsia="sk-SK"/>
              </w:rPr>
            </w:pPr>
            <w:r w:rsidRPr="00BD372F">
              <w:rPr>
                <w:rFonts w:ascii="Times New Roman" w:hAnsi="Times New Roman"/>
                <w:b/>
                <w:bCs/>
                <w:color w:val="000000"/>
                <w:sz w:val="24"/>
                <w:szCs w:val="24"/>
                <w:lang w:eastAsia="sk-SK"/>
              </w:rPr>
              <w:t>2026</w:t>
            </w:r>
          </w:p>
        </w:tc>
        <w:tc>
          <w:tcPr>
            <w:tcW w:w="1418" w:type="dxa"/>
            <w:tcBorders>
              <w:top w:val="single" w:sz="4" w:space="0" w:color="auto"/>
              <w:left w:val="nil"/>
              <w:bottom w:val="single" w:sz="4" w:space="0" w:color="auto"/>
              <w:right w:val="single" w:sz="4" w:space="0" w:color="auto"/>
            </w:tcBorders>
            <w:shd w:val="clear" w:color="auto" w:fill="BFBFBF"/>
            <w:noWrap/>
            <w:vAlign w:val="center"/>
            <w:hideMark/>
          </w:tcPr>
          <w:p w14:paraId="420CFF30" w14:textId="77777777" w:rsidR="00BD372F" w:rsidRPr="00BD372F" w:rsidRDefault="00BD372F" w:rsidP="00BD372F">
            <w:pPr>
              <w:spacing w:after="0" w:line="240" w:lineRule="auto"/>
              <w:jc w:val="center"/>
              <w:rPr>
                <w:rFonts w:ascii="Times New Roman" w:hAnsi="Times New Roman"/>
                <w:b/>
                <w:bCs/>
                <w:color w:val="000000"/>
                <w:sz w:val="24"/>
                <w:szCs w:val="24"/>
                <w:lang w:eastAsia="sk-SK"/>
              </w:rPr>
            </w:pPr>
            <w:r w:rsidRPr="00BD372F">
              <w:rPr>
                <w:rFonts w:ascii="Times New Roman" w:hAnsi="Times New Roman"/>
                <w:b/>
                <w:bCs/>
                <w:color w:val="000000"/>
                <w:sz w:val="24"/>
                <w:szCs w:val="24"/>
                <w:lang w:eastAsia="sk-SK"/>
              </w:rPr>
              <w:t>2027</w:t>
            </w:r>
          </w:p>
        </w:tc>
        <w:tc>
          <w:tcPr>
            <w:tcW w:w="1276" w:type="dxa"/>
            <w:tcBorders>
              <w:top w:val="single" w:sz="4" w:space="0" w:color="auto"/>
              <w:left w:val="nil"/>
              <w:bottom w:val="single" w:sz="4" w:space="0" w:color="auto"/>
              <w:right w:val="single" w:sz="4" w:space="0" w:color="auto"/>
            </w:tcBorders>
            <w:shd w:val="clear" w:color="auto" w:fill="BFBFBF"/>
            <w:noWrap/>
            <w:vAlign w:val="center"/>
            <w:hideMark/>
          </w:tcPr>
          <w:p w14:paraId="07A6B480" w14:textId="77777777" w:rsidR="00BD372F" w:rsidRPr="00BD372F" w:rsidRDefault="00BD372F" w:rsidP="00BD372F">
            <w:pPr>
              <w:spacing w:after="0" w:line="240" w:lineRule="auto"/>
              <w:jc w:val="center"/>
              <w:rPr>
                <w:rFonts w:ascii="Times New Roman" w:hAnsi="Times New Roman"/>
                <w:b/>
                <w:bCs/>
                <w:color w:val="000000"/>
                <w:sz w:val="24"/>
                <w:szCs w:val="24"/>
                <w:lang w:eastAsia="sk-SK"/>
              </w:rPr>
            </w:pPr>
            <w:r w:rsidRPr="00BD372F">
              <w:rPr>
                <w:rFonts w:ascii="Times New Roman" w:hAnsi="Times New Roman"/>
                <w:b/>
                <w:bCs/>
                <w:color w:val="000000"/>
                <w:sz w:val="24"/>
                <w:szCs w:val="24"/>
                <w:lang w:eastAsia="sk-SK"/>
              </w:rPr>
              <w:t>2028</w:t>
            </w:r>
          </w:p>
        </w:tc>
      </w:tr>
      <w:tr w:rsidR="00BD372F" w:rsidRPr="00BD372F" w14:paraId="52604A7B" w14:textId="77777777" w:rsidTr="00BD372F">
        <w:trPr>
          <w:trHeight w:val="300"/>
        </w:trPr>
        <w:tc>
          <w:tcPr>
            <w:tcW w:w="4679" w:type="dxa"/>
            <w:tcBorders>
              <w:top w:val="nil"/>
              <w:left w:val="single" w:sz="4" w:space="0" w:color="auto"/>
              <w:bottom w:val="single" w:sz="4" w:space="0" w:color="auto"/>
              <w:right w:val="single" w:sz="4" w:space="0" w:color="auto"/>
            </w:tcBorders>
            <w:shd w:val="clear" w:color="auto" w:fill="BFBFBF"/>
            <w:noWrap/>
            <w:vAlign w:val="bottom"/>
            <w:hideMark/>
          </w:tcPr>
          <w:p w14:paraId="12E2EEC3" w14:textId="77777777" w:rsidR="00BD372F" w:rsidRPr="00BD372F" w:rsidRDefault="00BD372F" w:rsidP="00BD372F">
            <w:pPr>
              <w:spacing w:after="0" w:line="240" w:lineRule="auto"/>
              <w:rPr>
                <w:rFonts w:ascii="Times New Roman" w:hAnsi="Times New Roman"/>
                <w:b/>
                <w:bCs/>
                <w:color w:val="000000"/>
                <w:sz w:val="24"/>
                <w:szCs w:val="24"/>
                <w:lang w:eastAsia="sk-SK"/>
              </w:rPr>
            </w:pPr>
            <w:r w:rsidRPr="00BD372F">
              <w:rPr>
                <w:rFonts w:ascii="Times New Roman" w:hAnsi="Times New Roman"/>
                <w:b/>
                <w:bCs/>
                <w:color w:val="000000"/>
                <w:sz w:val="24"/>
                <w:szCs w:val="24"/>
                <w:lang w:eastAsia="sk-SK"/>
              </w:rPr>
              <w:t>Vplyvy na limit verejných výdavkov verejnej správy celkom (v metodike ESA 2010)</w:t>
            </w:r>
          </w:p>
        </w:tc>
        <w:tc>
          <w:tcPr>
            <w:tcW w:w="1134" w:type="dxa"/>
            <w:tcBorders>
              <w:top w:val="nil"/>
              <w:left w:val="nil"/>
              <w:bottom w:val="single" w:sz="4" w:space="0" w:color="auto"/>
              <w:right w:val="single" w:sz="4" w:space="0" w:color="auto"/>
            </w:tcBorders>
            <w:noWrap/>
            <w:vAlign w:val="center"/>
            <w:hideMark/>
          </w:tcPr>
          <w:p w14:paraId="26EE6517" w14:textId="77777777" w:rsidR="00BD372F" w:rsidRPr="00BD372F" w:rsidRDefault="00BD372F" w:rsidP="00BD372F">
            <w:pPr>
              <w:spacing w:after="0" w:line="240" w:lineRule="auto"/>
              <w:jc w:val="right"/>
              <w:rPr>
                <w:rFonts w:ascii="Times New Roman" w:hAnsi="Times New Roman"/>
                <w:b/>
                <w:color w:val="000000"/>
                <w:sz w:val="24"/>
                <w:szCs w:val="24"/>
                <w:lang w:eastAsia="sk-SK"/>
              </w:rPr>
            </w:pPr>
            <w:r w:rsidRPr="00BD372F">
              <w:rPr>
                <w:rFonts w:ascii="Times New Roman" w:hAnsi="Times New Roman"/>
                <w:b/>
                <w:color w:val="000000"/>
                <w:sz w:val="24"/>
                <w:szCs w:val="24"/>
                <w:lang w:eastAsia="sk-SK"/>
              </w:rPr>
              <w:t>0</w:t>
            </w:r>
          </w:p>
        </w:tc>
        <w:tc>
          <w:tcPr>
            <w:tcW w:w="1275" w:type="dxa"/>
            <w:tcBorders>
              <w:top w:val="nil"/>
              <w:left w:val="nil"/>
              <w:bottom w:val="single" w:sz="4" w:space="0" w:color="auto"/>
              <w:right w:val="single" w:sz="4" w:space="0" w:color="auto"/>
            </w:tcBorders>
            <w:noWrap/>
            <w:vAlign w:val="center"/>
            <w:hideMark/>
          </w:tcPr>
          <w:p w14:paraId="22A8EA51" w14:textId="77777777" w:rsidR="00BD372F" w:rsidRPr="00BD372F" w:rsidRDefault="00BD372F" w:rsidP="00BD372F">
            <w:pPr>
              <w:spacing w:after="0" w:line="240" w:lineRule="auto"/>
              <w:jc w:val="right"/>
              <w:rPr>
                <w:rFonts w:ascii="Times New Roman" w:hAnsi="Times New Roman"/>
                <w:b/>
                <w:color w:val="000000"/>
                <w:sz w:val="24"/>
                <w:szCs w:val="24"/>
                <w:lang w:eastAsia="sk-SK"/>
              </w:rPr>
            </w:pPr>
            <w:r w:rsidRPr="00BD372F">
              <w:rPr>
                <w:rFonts w:ascii="Times New Roman" w:hAnsi="Times New Roman"/>
                <w:b/>
                <w:color w:val="000000"/>
                <w:sz w:val="24"/>
                <w:szCs w:val="24"/>
                <w:lang w:eastAsia="sk-SK"/>
              </w:rPr>
              <w:t>0</w:t>
            </w:r>
          </w:p>
        </w:tc>
        <w:tc>
          <w:tcPr>
            <w:tcW w:w="1418" w:type="dxa"/>
            <w:tcBorders>
              <w:top w:val="nil"/>
              <w:left w:val="nil"/>
              <w:bottom w:val="single" w:sz="4" w:space="0" w:color="auto"/>
              <w:right w:val="single" w:sz="4" w:space="0" w:color="auto"/>
            </w:tcBorders>
            <w:noWrap/>
            <w:vAlign w:val="center"/>
            <w:hideMark/>
          </w:tcPr>
          <w:p w14:paraId="4531D96D" w14:textId="77777777" w:rsidR="00BD372F" w:rsidRPr="00BD372F" w:rsidRDefault="00BD372F" w:rsidP="00BD372F">
            <w:pPr>
              <w:spacing w:after="0" w:line="240" w:lineRule="auto"/>
              <w:jc w:val="right"/>
              <w:rPr>
                <w:rFonts w:ascii="Times New Roman" w:hAnsi="Times New Roman"/>
                <w:b/>
                <w:color w:val="000000"/>
                <w:sz w:val="24"/>
                <w:szCs w:val="24"/>
                <w:lang w:eastAsia="sk-SK"/>
              </w:rPr>
            </w:pPr>
            <w:r w:rsidRPr="00BD372F">
              <w:rPr>
                <w:rFonts w:ascii="Times New Roman" w:hAnsi="Times New Roman"/>
                <w:b/>
                <w:color w:val="000000"/>
                <w:sz w:val="24"/>
                <w:szCs w:val="24"/>
                <w:lang w:eastAsia="sk-SK"/>
              </w:rPr>
              <w:t>0</w:t>
            </w:r>
          </w:p>
        </w:tc>
        <w:tc>
          <w:tcPr>
            <w:tcW w:w="1276" w:type="dxa"/>
            <w:tcBorders>
              <w:top w:val="nil"/>
              <w:left w:val="nil"/>
              <w:bottom w:val="single" w:sz="4" w:space="0" w:color="auto"/>
              <w:right w:val="single" w:sz="4" w:space="0" w:color="auto"/>
            </w:tcBorders>
            <w:noWrap/>
            <w:vAlign w:val="center"/>
            <w:hideMark/>
          </w:tcPr>
          <w:p w14:paraId="246F06B0" w14:textId="77777777" w:rsidR="00BD372F" w:rsidRPr="00BD372F" w:rsidRDefault="00BD372F" w:rsidP="00BD372F">
            <w:pPr>
              <w:spacing w:after="0" w:line="240" w:lineRule="auto"/>
              <w:jc w:val="right"/>
              <w:rPr>
                <w:rFonts w:ascii="Times New Roman" w:hAnsi="Times New Roman"/>
                <w:b/>
                <w:color w:val="000000"/>
                <w:sz w:val="24"/>
                <w:szCs w:val="24"/>
                <w:lang w:eastAsia="sk-SK"/>
              </w:rPr>
            </w:pPr>
            <w:r w:rsidRPr="00BD372F">
              <w:rPr>
                <w:rFonts w:ascii="Times New Roman" w:hAnsi="Times New Roman"/>
                <w:b/>
                <w:color w:val="000000"/>
                <w:sz w:val="24"/>
                <w:szCs w:val="24"/>
                <w:lang w:eastAsia="sk-SK"/>
              </w:rPr>
              <w:t>0</w:t>
            </w:r>
          </w:p>
        </w:tc>
      </w:tr>
      <w:tr w:rsidR="00BD372F" w:rsidRPr="00BD372F" w14:paraId="7F4B4F25" w14:textId="77777777" w:rsidTr="00BD372F">
        <w:trPr>
          <w:trHeight w:val="300"/>
        </w:trPr>
        <w:tc>
          <w:tcPr>
            <w:tcW w:w="4679" w:type="dxa"/>
            <w:tcBorders>
              <w:top w:val="nil"/>
              <w:left w:val="single" w:sz="4" w:space="0" w:color="auto"/>
              <w:bottom w:val="single" w:sz="4" w:space="0" w:color="auto"/>
              <w:right w:val="single" w:sz="4" w:space="0" w:color="auto"/>
            </w:tcBorders>
            <w:shd w:val="clear" w:color="auto" w:fill="BFBFBF"/>
            <w:noWrap/>
            <w:hideMark/>
          </w:tcPr>
          <w:p w14:paraId="53162188" w14:textId="77777777" w:rsidR="00BD372F" w:rsidRPr="00BD372F" w:rsidRDefault="00BD372F" w:rsidP="00BD372F">
            <w:pPr>
              <w:spacing w:after="0" w:line="240" w:lineRule="auto"/>
              <w:rPr>
                <w:rFonts w:ascii="Times New Roman" w:hAnsi="Times New Roman"/>
                <w:color w:val="000000"/>
                <w:sz w:val="24"/>
                <w:szCs w:val="24"/>
                <w:lang w:eastAsia="sk-SK"/>
              </w:rPr>
            </w:pPr>
            <w:r w:rsidRPr="00BD372F">
              <w:rPr>
                <w:rFonts w:ascii="Times New Roman" w:hAnsi="Times New Roman"/>
                <w:color w:val="000000"/>
                <w:sz w:val="24"/>
                <w:szCs w:val="24"/>
                <w:lang w:eastAsia="sk-SK"/>
              </w:rPr>
              <w:t xml:space="preserve">v tom: </w:t>
            </w:r>
          </w:p>
          <w:p w14:paraId="131137E0" w14:textId="77777777"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sz w:val="24"/>
                <w:szCs w:val="24"/>
                <w:lang w:eastAsia="sk-SK"/>
              </w:rPr>
              <w:t>MF SR/0EK 0D IT financované zo ŠR – MF SR (org. Štátna pokladnica)</w:t>
            </w:r>
          </w:p>
          <w:p w14:paraId="16993B35" w14:textId="77777777"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sz w:val="24"/>
                <w:szCs w:val="24"/>
                <w:lang w:eastAsia="sk-SK"/>
              </w:rPr>
              <w:t>MF SR/074 04 Výkon ďalších funkcií MF SR (org. MF SR – úrad)</w:t>
            </w:r>
          </w:p>
          <w:p w14:paraId="0F8127E3" w14:textId="77777777" w:rsidR="00BD372F" w:rsidRPr="00BD372F" w:rsidRDefault="00BD372F" w:rsidP="00BD372F">
            <w:pPr>
              <w:spacing w:after="0" w:line="240" w:lineRule="auto"/>
              <w:rPr>
                <w:rFonts w:ascii="Times New Roman" w:hAnsi="Times New Roman"/>
                <w:color w:val="000000"/>
                <w:sz w:val="24"/>
                <w:szCs w:val="24"/>
                <w:lang w:eastAsia="sk-SK"/>
              </w:rPr>
            </w:pPr>
            <w:r w:rsidRPr="00BD372F">
              <w:rPr>
                <w:rFonts w:ascii="Times New Roman" w:hAnsi="Times New Roman"/>
                <w:color w:val="000000"/>
                <w:sz w:val="24"/>
                <w:szCs w:val="24"/>
                <w:lang w:eastAsia="sk-SK"/>
              </w:rPr>
              <w:t>MF SR/074 03 Kontrola, vládny audit a vnútorný audit (org. Úrad vládneho auditu)</w:t>
            </w:r>
          </w:p>
          <w:p w14:paraId="68E3FBD1" w14:textId="77777777" w:rsidR="00BD372F" w:rsidRPr="00BD372F" w:rsidRDefault="00BD372F" w:rsidP="00BD372F">
            <w:pPr>
              <w:spacing w:after="0" w:line="240" w:lineRule="auto"/>
              <w:rPr>
                <w:rFonts w:ascii="Times New Roman" w:hAnsi="Times New Roman"/>
                <w:color w:val="000000"/>
                <w:sz w:val="24"/>
                <w:szCs w:val="24"/>
                <w:lang w:eastAsia="sk-SK"/>
              </w:rPr>
            </w:pPr>
            <w:r w:rsidRPr="00BD372F">
              <w:rPr>
                <w:rFonts w:ascii="Times New Roman" w:hAnsi="Times New Roman"/>
                <w:color w:val="000000"/>
                <w:sz w:val="24"/>
                <w:szCs w:val="24"/>
                <w:lang w:eastAsia="sk-SK"/>
              </w:rPr>
              <w:t>MF SR/072 05 Výkon funkcií finančnej správy (org. Finančné riaditeľstvo SR)</w:t>
            </w:r>
          </w:p>
          <w:p w14:paraId="0D405E4A" w14:textId="77777777" w:rsidR="00BD372F" w:rsidRPr="00BD372F" w:rsidRDefault="00BD372F" w:rsidP="00BD372F">
            <w:pPr>
              <w:spacing w:after="0" w:line="240" w:lineRule="auto"/>
              <w:rPr>
                <w:rFonts w:ascii="Times New Roman" w:hAnsi="Times New Roman"/>
                <w:color w:val="000000"/>
                <w:sz w:val="24"/>
                <w:szCs w:val="24"/>
                <w:lang w:eastAsia="sk-SK"/>
              </w:rPr>
            </w:pPr>
            <w:r w:rsidRPr="00BD372F">
              <w:rPr>
                <w:rFonts w:ascii="Times New Roman" w:hAnsi="Times New Roman"/>
                <w:color w:val="000000"/>
                <w:sz w:val="24"/>
                <w:szCs w:val="24"/>
                <w:lang w:eastAsia="sk-SK"/>
              </w:rPr>
              <w:t>MF SR/072 05 Výkon funkcií finančnej správy (org. Finančné riaditeľstvo SR)</w:t>
            </w:r>
          </w:p>
          <w:p w14:paraId="796DFCCB" w14:textId="77777777" w:rsidR="00BD372F" w:rsidRPr="00BD372F" w:rsidRDefault="00BD372F" w:rsidP="00BD372F">
            <w:pPr>
              <w:spacing w:after="0" w:line="240" w:lineRule="auto"/>
              <w:rPr>
                <w:rFonts w:ascii="Times New Roman" w:hAnsi="Times New Roman"/>
                <w:color w:val="000000"/>
                <w:sz w:val="24"/>
                <w:szCs w:val="24"/>
                <w:lang w:eastAsia="sk-SK"/>
              </w:rPr>
            </w:pPr>
            <w:r w:rsidRPr="00BD372F">
              <w:rPr>
                <w:rFonts w:ascii="Times New Roman" w:hAnsi="Times New Roman"/>
                <w:bCs/>
                <w:iCs/>
                <w:sz w:val="24"/>
                <w:szCs w:val="24"/>
                <w:lang w:eastAsia="sk-SK"/>
              </w:rPr>
              <w:t>MF SR/ISFS-SD, prvok 0EK0D14 – ISFS – správa daní (org. FR SR)</w:t>
            </w:r>
          </w:p>
        </w:tc>
        <w:tc>
          <w:tcPr>
            <w:tcW w:w="1134" w:type="dxa"/>
            <w:tcBorders>
              <w:top w:val="nil"/>
              <w:left w:val="nil"/>
              <w:bottom w:val="single" w:sz="4" w:space="0" w:color="auto"/>
              <w:right w:val="single" w:sz="4" w:space="0" w:color="auto"/>
            </w:tcBorders>
            <w:noWrap/>
            <w:hideMark/>
          </w:tcPr>
          <w:p w14:paraId="0B87F5A1" w14:textId="77777777" w:rsidR="00BD372F" w:rsidRPr="00BD372F" w:rsidRDefault="00BD372F" w:rsidP="00BD372F">
            <w:pPr>
              <w:spacing w:after="0" w:line="240" w:lineRule="auto"/>
              <w:jc w:val="right"/>
              <w:rPr>
                <w:rFonts w:ascii="Times New Roman" w:hAnsi="Times New Roman"/>
                <w:bCs/>
                <w:sz w:val="24"/>
                <w:szCs w:val="24"/>
                <w:lang w:eastAsia="sk-SK"/>
              </w:rPr>
            </w:pPr>
          </w:p>
          <w:p w14:paraId="79E6DAF4" w14:textId="77777777" w:rsidR="00BD372F" w:rsidRPr="00BD372F" w:rsidRDefault="00BD372F" w:rsidP="00BD372F">
            <w:pPr>
              <w:spacing w:after="0" w:line="240" w:lineRule="auto"/>
              <w:jc w:val="right"/>
              <w:rPr>
                <w:rFonts w:ascii="Times New Roman" w:hAnsi="Times New Roman"/>
                <w:bCs/>
                <w:sz w:val="24"/>
                <w:szCs w:val="24"/>
                <w:lang w:eastAsia="sk-SK"/>
              </w:rPr>
            </w:pPr>
            <w:r w:rsidRPr="00BD372F">
              <w:rPr>
                <w:rFonts w:ascii="Times New Roman" w:hAnsi="Times New Roman"/>
                <w:bCs/>
                <w:sz w:val="24"/>
                <w:szCs w:val="24"/>
                <w:lang w:eastAsia="sk-SK"/>
              </w:rPr>
              <w:t>473 788</w:t>
            </w:r>
          </w:p>
          <w:p w14:paraId="286ACF0F" w14:textId="77777777" w:rsidR="00BD372F" w:rsidRPr="00BD372F" w:rsidRDefault="00BD372F" w:rsidP="00BD372F">
            <w:pPr>
              <w:spacing w:after="0" w:line="240" w:lineRule="auto"/>
              <w:jc w:val="right"/>
              <w:rPr>
                <w:rFonts w:ascii="Times New Roman" w:hAnsi="Times New Roman"/>
                <w:bCs/>
                <w:sz w:val="24"/>
                <w:szCs w:val="24"/>
                <w:lang w:eastAsia="sk-SK"/>
              </w:rPr>
            </w:pPr>
          </w:p>
          <w:p w14:paraId="24963536" w14:textId="77777777" w:rsidR="00BD372F" w:rsidRPr="00BD372F" w:rsidRDefault="00BD372F" w:rsidP="00BD372F">
            <w:pPr>
              <w:spacing w:after="0" w:line="240" w:lineRule="auto"/>
              <w:jc w:val="right"/>
              <w:rPr>
                <w:rFonts w:ascii="Times New Roman" w:hAnsi="Times New Roman"/>
                <w:bCs/>
                <w:sz w:val="24"/>
                <w:szCs w:val="24"/>
                <w:lang w:eastAsia="sk-SK"/>
              </w:rPr>
            </w:pPr>
            <w:r w:rsidRPr="00BD372F">
              <w:rPr>
                <w:rFonts w:ascii="Times New Roman" w:hAnsi="Times New Roman"/>
                <w:bCs/>
                <w:sz w:val="24"/>
                <w:szCs w:val="24"/>
                <w:lang w:eastAsia="sk-SK"/>
              </w:rPr>
              <w:t>-473 788</w:t>
            </w:r>
          </w:p>
          <w:p w14:paraId="31842C63" w14:textId="77777777" w:rsidR="00BD372F" w:rsidRPr="00BD372F" w:rsidRDefault="00BD372F" w:rsidP="00BD372F">
            <w:pPr>
              <w:spacing w:after="0" w:line="240" w:lineRule="auto"/>
              <w:jc w:val="right"/>
              <w:rPr>
                <w:rFonts w:ascii="Times New Roman" w:hAnsi="Times New Roman"/>
                <w:bCs/>
                <w:sz w:val="24"/>
                <w:szCs w:val="24"/>
                <w:lang w:eastAsia="sk-SK"/>
              </w:rPr>
            </w:pPr>
          </w:p>
          <w:p w14:paraId="36A7AEA7" w14:textId="77777777" w:rsidR="00BD372F" w:rsidRPr="00BD372F" w:rsidRDefault="00BD372F" w:rsidP="00BD372F">
            <w:pPr>
              <w:spacing w:after="0" w:line="240" w:lineRule="auto"/>
              <w:jc w:val="right"/>
              <w:rPr>
                <w:rFonts w:ascii="Times New Roman" w:hAnsi="Times New Roman"/>
                <w:color w:val="000000"/>
                <w:sz w:val="24"/>
                <w:szCs w:val="24"/>
                <w:lang w:eastAsia="sk-SK"/>
              </w:rPr>
            </w:pPr>
            <w:r w:rsidRPr="00BD372F">
              <w:rPr>
                <w:rFonts w:ascii="Times New Roman" w:hAnsi="Times New Roman"/>
                <w:color w:val="000000"/>
                <w:sz w:val="24"/>
                <w:szCs w:val="24"/>
                <w:lang w:eastAsia="sk-SK"/>
              </w:rPr>
              <w:t>0</w:t>
            </w:r>
          </w:p>
          <w:p w14:paraId="59E40A98" w14:textId="77777777" w:rsidR="00BD372F" w:rsidRPr="00BD372F" w:rsidRDefault="00BD372F" w:rsidP="00BD372F">
            <w:pPr>
              <w:spacing w:after="0" w:line="240" w:lineRule="auto"/>
              <w:jc w:val="right"/>
              <w:rPr>
                <w:rFonts w:ascii="Times New Roman" w:hAnsi="Times New Roman"/>
                <w:color w:val="000000"/>
                <w:sz w:val="24"/>
                <w:szCs w:val="24"/>
                <w:lang w:eastAsia="sk-SK"/>
              </w:rPr>
            </w:pPr>
          </w:p>
          <w:p w14:paraId="1C773F77" w14:textId="77777777" w:rsidR="00BD372F" w:rsidRPr="00BD372F" w:rsidRDefault="00BD372F" w:rsidP="00BD372F">
            <w:pPr>
              <w:spacing w:after="0" w:line="240" w:lineRule="auto"/>
              <w:jc w:val="right"/>
              <w:rPr>
                <w:rFonts w:ascii="Times New Roman" w:hAnsi="Times New Roman"/>
                <w:color w:val="000000"/>
                <w:sz w:val="24"/>
                <w:szCs w:val="24"/>
                <w:lang w:eastAsia="sk-SK"/>
              </w:rPr>
            </w:pPr>
            <w:r w:rsidRPr="00BD372F">
              <w:rPr>
                <w:rFonts w:ascii="Times New Roman" w:hAnsi="Times New Roman"/>
                <w:color w:val="000000"/>
                <w:sz w:val="24"/>
                <w:szCs w:val="24"/>
                <w:lang w:eastAsia="sk-SK"/>
              </w:rPr>
              <w:t>0</w:t>
            </w:r>
          </w:p>
          <w:p w14:paraId="25CA6E55" w14:textId="77777777" w:rsidR="00BD372F" w:rsidRPr="00BD372F" w:rsidRDefault="00BD372F" w:rsidP="00BD372F">
            <w:pPr>
              <w:spacing w:after="0" w:line="240" w:lineRule="auto"/>
              <w:jc w:val="right"/>
              <w:rPr>
                <w:rFonts w:ascii="Times New Roman" w:hAnsi="Times New Roman"/>
                <w:color w:val="000000"/>
                <w:sz w:val="24"/>
                <w:szCs w:val="24"/>
                <w:lang w:eastAsia="sk-SK"/>
              </w:rPr>
            </w:pPr>
          </w:p>
          <w:p w14:paraId="61F76BE6" w14:textId="77777777" w:rsidR="00BD372F" w:rsidRPr="00BD372F" w:rsidRDefault="00BD372F" w:rsidP="00BD372F">
            <w:pPr>
              <w:spacing w:after="0" w:line="240" w:lineRule="auto"/>
              <w:jc w:val="right"/>
              <w:rPr>
                <w:rFonts w:ascii="Times New Roman" w:hAnsi="Times New Roman"/>
                <w:color w:val="000000"/>
                <w:sz w:val="24"/>
                <w:szCs w:val="24"/>
                <w:lang w:eastAsia="sk-SK"/>
              </w:rPr>
            </w:pPr>
            <w:r w:rsidRPr="00BD372F">
              <w:rPr>
                <w:rFonts w:ascii="Times New Roman" w:hAnsi="Times New Roman"/>
                <w:color w:val="000000"/>
                <w:sz w:val="24"/>
                <w:szCs w:val="24"/>
                <w:lang w:eastAsia="sk-SK"/>
              </w:rPr>
              <w:t>0</w:t>
            </w:r>
          </w:p>
          <w:p w14:paraId="6BF33928" w14:textId="77777777" w:rsidR="00BD372F" w:rsidRPr="00BD372F" w:rsidRDefault="00BD372F" w:rsidP="00BD372F">
            <w:pPr>
              <w:spacing w:after="0" w:line="240" w:lineRule="auto"/>
              <w:jc w:val="right"/>
              <w:rPr>
                <w:rFonts w:ascii="Times New Roman" w:hAnsi="Times New Roman"/>
                <w:color w:val="000000"/>
                <w:sz w:val="24"/>
                <w:szCs w:val="24"/>
                <w:lang w:eastAsia="sk-SK"/>
              </w:rPr>
            </w:pPr>
          </w:p>
          <w:p w14:paraId="6CE4B53B" w14:textId="77777777" w:rsidR="00BD372F" w:rsidRPr="00BD372F" w:rsidRDefault="00BD372F" w:rsidP="00BD372F">
            <w:pPr>
              <w:spacing w:after="0" w:line="240" w:lineRule="auto"/>
              <w:jc w:val="right"/>
              <w:rPr>
                <w:rFonts w:ascii="Times New Roman" w:hAnsi="Times New Roman"/>
                <w:color w:val="000000"/>
                <w:sz w:val="24"/>
                <w:szCs w:val="24"/>
                <w:lang w:eastAsia="sk-SK"/>
              </w:rPr>
            </w:pPr>
            <w:r w:rsidRPr="00BD372F">
              <w:rPr>
                <w:rFonts w:ascii="Times New Roman" w:hAnsi="Times New Roman"/>
                <w:color w:val="000000"/>
                <w:sz w:val="24"/>
                <w:szCs w:val="24"/>
                <w:lang w:eastAsia="sk-SK"/>
              </w:rPr>
              <w:t>0</w:t>
            </w:r>
          </w:p>
          <w:p w14:paraId="1D098276" w14:textId="77777777" w:rsidR="00BD372F" w:rsidRPr="00BD372F" w:rsidRDefault="00BD372F" w:rsidP="00BD372F">
            <w:pPr>
              <w:spacing w:after="0" w:line="240" w:lineRule="auto"/>
              <w:jc w:val="right"/>
              <w:rPr>
                <w:rFonts w:ascii="Times New Roman" w:hAnsi="Times New Roman"/>
                <w:color w:val="000000"/>
                <w:sz w:val="24"/>
                <w:szCs w:val="24"/>
                <w:lang w:eastAsia="sk-SK"/>
              </w:rPr>
            </w:pPr>
          </w:p>
        </w:tc>
        <w:tc>
          <w:tcPr>
            <w:tcW w:w="1275" w:type="dxa"/>
            <w:tcBorders>
              <w:top w:val="nil"/>
              <w:left w:val="nil"/>
              <w:bottom w:val="single" w:sz="4" w:space="0" w:color="auto"/>
              <w:right w:val="single" w:sz="4" w:space="0" w:color="auto"/>
            </w:tcBorders>
            <w:noWrap/>
            <w:hideMark/>
          </w:tcPr>
          <w:p w14:paraId="10DE9D3F" w14:textId="77777777" w:rsidR="00BD372F" w:rsidRPr="00BD372F" w:rsidRDefault="00BD372F" w:rsidP="00BD372F">
            <w:pPr>
              <w:spacing w:after="0" w:line="240" w:lineRule="auto"/>
              <w:jc w:val="right"/>
              <w:rPr>
                <w:rFonts w:ascii="Times New Roman" w:hAnsi="Times New Roman"/>
                <w:bCs/>
                <w:sz w:val="24"/>
                <w:szCs w:val="24"/>
                <w:lang w:eastAsia="sk-SK"/>
              </w:rPr>
            </w:pPr>
          </w:p>
          <w:p w14:paraId="47432C17" w14:textId="77777777" w:rsidR="00BD372F" w:rsidRPr="00BD372F" w:rsidRDefault="00BD372F" w:rsidP="00BD372F">
            <w:pPr>
              <w:spacing w:after="0" w:line="240" w:lineRule="auto"/>
              <w:jc w:val="right"/>
              <w:rPr>
                <w:rFonts w:ascii="Times New Roman" w:hAnsi="Times New Roman"/>
                <w:bCs/>
                <w:sz w:val="24"/>
                <w:szCs w:val="24"/>
                <w:lang w:eastAsia="sk-SK"/>
              </w:rPr>
            </w:pPr>
            <w:r w:rsidRPr="00BD372F">
              <w:rPr>
                <w:rFonts w:ascii="Times New Roman" w:hAnsi="Times New Roman"/>
                <w:bCs/>
                <w:sz w:val="24"/>
                <w:szCs w:val="24"/>
                <w:lang w:eastAsia="sk-SK"/>
              </w:rPr>
              <w:t>1 200 000</w:t>
            </w:r>
          </w:p>
          <w:p w14:paraId="76FF3CA7" w14:textId="77777777" w:rsidR="00BD372F" w:rsidRPr="00BD372F" w:rsidRDefault="00BD372F" w:rsidP="00BD372F">
            <w:pPr>
              <w:spacing w:after="0" w:line="240" w:lineRule="auto"/>
              <w:jc w:val="right"/>
              <w:rPr>
                <w:rFonts w:ascii="Times New Roman" w:hAnsi="Times New Roman"/>
                <w:bCs/>
                <w:sz w:val="24"/>
                <w:szCs w:val="24"/>
                <w:lang w:eastAsia="sk-SK"/>
              </w:rPr>
            </w:pPr>
          </w:p>
          <w:p w14:paraId="38C6CBC1" w14:textId="77777777" w:rsidR="00BD372F" w:rsidRPr="00BD372F" w:rsidRDefault="00BD372F" w:rsidP="00BD372F">
            <w:pPr>
              <w:spacing w:after="0" w:line="240" w:lineRule="auto"/>
              <w:jc w:val="right"/>
              <w:rPr>
                <w:rFonts w:ascii="Times New Roman" w:hAnsi="Times New Roman"/>
                <w:bCs/>
                <w:sz w:val="24"/>
                <w:szCs w:val="24"/>
                <w:lang w:eastAsia="sk-SK"/>
              </w:rPr>
            </w:pPr>
            <w:r w:rsidRPr="00BD372F">
              <w:rPr>
                <w:rFonts w:ascii="Times New Roman" w:hAnsi="Times New Roman"/>
                <w:bCs/>
                <w:sz w:val="24"/>
                <w:szCs w:val="24"/>
                <w:lang w:eastAsia="sk-SK"/>
              </w:rPr>
              <w:t>-1 200 000</w:t>
            </w:r>
          </w:p>
          <w:p w14:paraId="3D8372F8" w14:textId="77777777" w:rsidR="00BD372F" w:rsidRPr="00BD372F" w:rsidRDefault="00BD372F" w:rsidP="00BD372F">
            <w:pPr>
              <w:spacing w:after="0" w:line="240" w:lineRule="auto"/>
              <w:jc w:val="right"/>
              <w:rPr>
                <w:rFonts w:ascii="Times New Roman" w:hAnsi="Times New Roman"/>
                <w:bCs/>
                <w:sz w:val="24"/>
                <w:szCs w:val="24"/>
                <w:lang w:eastAsia="sk-SK"/>
              </w:rPr>
            </w:pPr>
          </w:p>
          <w:p w14:paraId="76DE7559" w14:textId="77777777" w:rsidR="00BD372F" w:rsidRPr="00BD372F" w:rsidRDefault="00BD372F" w:rsidP="00BD372F">
            <w:pPr>
              <w:spacing w:after="0" w:line="240" w:lineRule="auto"/>
              <w:jc w:val="right"/>
              <w:rPr>
                <w:rFonts w:ascii="Times New Roman" w:hAnsi="Times New Roman"/>
                <w:color w:val="000000"/>
                <w:sz w:val="24"/>
                <w:szCs w:val="24"/>
                <w:lang w:eastAsia="sk-SK"/>
              </w:rPr>
            </w:pPr>
            <w:r w:rsidRPr="00BD372F">
              <w:rPr>
                <w:rFonts w:ascii="Times New Roman" w:hAnsi="Times New Roman"/>
                <w:color w:val="000000"/>
                <w:sz w:val="24"/>
                <w:szCs w:val="24"/>
                <w:lang w:eastAsia="sk-SK"/>
              </w:rPr>
              <w:t>92 520</w:t>
            </w:r>
          </w:p>
          <w:p w14:paraId="4F48CEB1" w14:textId="77777777" w:rsidR="00BD372F" w:rsidRPr="00BD372F" w:rsidRDefault="00BD372F" w:rsidP="00BD372F">
            <w:pPr>
              <w:spacing w:after="0" w:line="240" w:lineRule="auto"/>
              <w:jc w:val="right"/>
              <w:rPr>
                <w:rFonts w:ascii="Times New Roman" w:hAnsi="Times New Roman"/>
                <w:color w:val="000000"/>
                <w:sz w:val="24"/>
                <w:szCs w:val="24"/>
                <w:lang w:eastAsia="sk-SK"/>
              </w:rPr>
            </w:pPr>
          </w:p>
          <w:p w14:paraId="372E43C7" w14:textId="77777777" w:rsidR="00BD372F" w:rsidRPr="00BD372F" w:rsidRDefault="00BD372F" w:rsidP="00BD372F">
            <w:pPr>
              <w:spacing w:after="0" w:line="240" w:lineRule="auto"/>
              <w:jc w:val="right"/>
              <w:rPr>
                <w:rFonts w:ascii="Times New Roman" w:hAnsi="Times New Roman"/>
                <w:color w:val="000000"/>
                <w:sz w:val="24"/>
                <w:szCs w:val="24"/>
                <w:lang w:eastAsia="sk-SK"/>
              </w:rPr>
            </w:pPr>
            <w:r w:rsidRPr="00BD372F">
              <w:rPr>
                <w:rFonts w:ascii="Times New Roman" w:hAnsi="Times New Roman"/>
                <w:color w:val="000000"/>
                <w:sz w:val="24"/>
                <w:szCs w:val="24"/>
                <w:lang w:eastAsia="sk-SK"/>
              </w:rPr>
              <w:t>-92 520</w:t>
            </w:r>
          </w:p>
          <w:p w14:paraId="04EAFD37" w14:textId="77777777" w:rsidR="00BD372F" w:rsidRPr="00BD372F" w:rsidRDefault="00BD372F" w:rsidP="00BD372F">
            <w:pPr>
              <w:spacing w:after="0" w:line="240" w:lineRule="auto"/>
              <w:jc w:val="right"/>
              <w:rPr>
                <w:rFonts w:ascii="Times New Roman" w:hAnsi="Times New Roman"/>
                <w:color w:val="000000"/>
                <w:sz w:val="24"/>
                <w:szCs w:val="24"/>
                <w:lang w:eastAsia="sk-SK"/>
              </w:rPr>
            </w:pPr>
          </w:p>
          <w:p w14:paraId="4600EB3D" w14:textId="77777777" w:rsidR="00BD372F" w:rsidRPr="00BD372F" w:rsidRDefault="00BD372F" w:rsidP="00BD372F">
            <w:pPr>
              <w:spacing w:after="0" w:line="240" w:lineRule="auto"/>
              <w:jc w:val="right"/>
              <w:rPr>
                <w:rFonts w:ascii="Times New Roman" w:hAnsi="Times New Roman"/>
                <w:color w:val="000000"/>
                <w:sz w:val="24"/>
                <w:szCs w:val="24"/>
                <w:lang w:eastAsia="sk-SK"/>
              </w:rPr>
            </w:pPr>
            <w:r w:rsidRPr="00BD372F">
              <w:rPr>
                <w:rFonts w:ascii="Times New Roman" w:hAnsi="Times New Roman"/>
                <w:color w:val="000000"/>
                <w:sz w:val="24"/>
                <w:szCs w:val="24"/>
                <w:lang w:eastAsia="sk-SK"/>
              </w:rPr>
              <w:t>0</w:t>
            </w:r>
          </w:p>
          <w:p w14:paraId="2C4D6F35" w14:textId="77777777" w:rsidR="00BD372F" w:rsidRPr="00BD372F" w:rsidRDefault="00BD372F" w:rsidP="00BD372F">
            <w:pPr>
              <w:spacing w:after="0" w:line="240" w:lineRule="auto"/>
              <w:jc w:val="right"/>
              <w:rPr>
                <w:rFonts w:ascii="Times New Roman" w:hAnsi="Times New Roman"/>
                <w:color w:val="000000"/>
                <w:sz w:val="24"/>
                <w:szCs w:val="24"/>
                <w:lang w:eastAsia="sk-SK"/>
              </w:rPr>
            </w:pPr>
          </w:p>
          <w:p w14:paraId="31B01B3F" w14:textId="77777777" w:rsidR="00BD372F" w:rsidRPr="00BD372F" w:rsidRDefault="00BD372F" w:rsidP="00BD372F">
            <w:pPr>
              <w:spacing w:after="0" w:line="240" w:lineRule="auto"/>
              <w:jc w:val="right"/>
              <w:rPr>
                <w:rFonts w:ascii="Times New Roman" w:hAnsi="Times New Roman"/>
                <w:color w:val="000000"/>
                <w:sz w:val="24"/>
                <w:szCs w:val="24"/>
                <w:lang w:eastAsia="sk-SK"/>
              </w:rPr>
            </w:pPr>
            <w:r w:rsidRPr="00BD372F">
              <w:rPr>
                <w:rFonts w:ascii="Times New Roman" w:hAnsi="Times New Roman"/>
                <w:color w:val="000000"/>
                <w:sz w:val="24"/>
                <w:szCs w:val="24"/>
                <w:lang w:eastAsia="sk-SK"/>
              </w:rPr>
              <w:t>0</w:t>
            </w:r>
          </w:p>
        </w:tc>
        <w:tc>
          <w:tcPr>
            <w:tcW w:w="1418" w:type="dxa"/>
            <w:tcBorders>
              <w:top w:val="nil"/>
              <w:left w:val="nil"/>
              <w:bottom w:val="single" w:sz="4" w:space="0" w:color="auto"/>
              <w:right w:val="single" w:sz="4" w:space="0" w:color="auto"/>
            </w:tcBorders>
            <w:noWrap/>
            <w:hideMark/>
          </w:tcPr>
          <w:p w14:paraId="4C12154E" w14:textId="77777777" w:rsidR="00BD372F" w:rsidRPr="00BD372F" w:rsidRDefault="00BD372F" w:rsidP="00BD372F">
            <w:pPr>
              <w:spacing w:after="0" w:line="240" w:lineRule="auto"/>
              <w:jc w:val="right"/>
              <w:rPr>
                <w:rFonts w:ascii="Times New Roman" w:hAnsi="Times New Roman"/>
                <w:bCs/>
                <w:sz w:val="24"/>
                <w:szCs w:val="24"/>
                <w:lang w:eastAsia="sk-SK"/>
              </w:rPr>
            </w:pPr>
          </w:p>
          <w:p w14:paraId="6CC82DDF" w14:textId="77777777" w:rsidR="00BD372F" w:rsidRPr="00BD372F" w:rsidRDefault="00BD372F" w:rsidP="00BD372F">
            <w:pPr>
              <w:spacing w:after="0" w:line="240" w:lineRule="auto"/>
              <w:jc w:val="right"/>
              <w:rPr>
                <w:rFonts w:ascii="Times New Roman" w:hAnsi="Times New Roman"/>
                <w:bCs/>
                <w:sz w:val="24"/>
                <w:szCs w:val="24"/>
                <w:lang w:eastAsia="sk-SK"/>
              </w:rPr>
            </w:pPr>
            <w:r w:rsidRPr="00BD372F">
              <w:rPr>
                <w:rFonts w:ascii="Times New Roman" w:hAnsi="Times New Roman"/>
                <w:bCs/>
                <w:sz w:val="24"/>
                <w:szCs w:val="24"/>
                <w:lang w:eastAsia="sk-SK"/>
              </w:rPr>
              <w:t>2 400 000</w:t>
            </w:r>
          </w:p>
          <w:p w14:paraId="5694AA5D" w14:textId="77777777" w:rsidR="00BD372F" w:rsidRPr="00BD372F" w:rsidRDefault="00BD372F" w:rsidP="00BD372F">
            <w:pPr>
              <w:spacing w:after="0" w:line="240" w:lineRule="auto"/>
              <w:jc w:val="right"/>
              <w:rPr>
                <w:rFonts w:ascii="Times New Roman" w:hAnsi="Times New Roman"/>
                <w:bCs/>
                <w:sz w:val="24"/>
                <w:szCs w:val="24"/>
                <w:lang w:eastAsia="sk-SK"/>
              </w:rPr>
            </w:pPr>
          </w:p>
          <w:p w14:paraId="2058906C" w14:textId="77777777" w:rsidR="00BD372F" w:rsidRPr="00BD372F" w:rsidRDefault="00BD372F" w:rsidP="00BD372F">
            <w:pPr>
              <w:spacing w:after="0" w:line="240" w:lineRule="auto"/>
              <w:jc w:val="right"/>
              <w:rPr>
                <w:rFonts w:ascii="Times New Roman" w:hAnsi="Times New Roman"/>
                <w:bCs/>
                <w:sz w:val="24"/>
                <w:szCs w:val="24"/>
                <w:lang w:eastAsia="sk-SK"/>
              </w:rPr>
            </w:pPr>
            <w:r w:rsidRPr="00BD372F">
              <w:rPr>
                <w:rFonts w:ascii="Times New Roman" w:hAnsi="Times New Roman"/>
                <w:bCs/>
                <w:sz w:val="24"/>
                <w:szCs w:val="24"/>
                <w:lang w:eastAsia="sk-SK"/>
              </w:rPr>
              <w:t>-2 400 000</w:t>
            </w:r>
          </w:p>
          <w:p w14:paraId="00A94286" w14:textId="77777777" w:rsidR="00BD372F" w:rsidRPr="00BD372F" w:rsidRDefault="00BD372F" w:rsidP="00BD372F">
            <w:pPr>
              <w:spacing w:after="0" w:line="240" w:lineRule="auto"/>
              <w:jc w:val="right"/>
              <w:rPr>
                <w:rFonts w:ascii="Times New Roman" w:hAnsi="Times New Roman"/>
                <w:bCs/>
                <w:sz w:val="24"/>
                <w:szCs w:val="24"/>
                <w:lang w:eastAsia="sk-SK"/>
              </w:rPr>
            </w:pPr>
          </w:p>
          <w:p w14:paraId="7869C680" w14:textId="77777777" w:rsidR="00BD372F" w:rsidRPr="00BD372F" w:rsidRDefault="00BD372F" w:rsidP="00BD372F">
            <w:pPr>
              <w:spacing w:after="0" w:line="240" w:lineRule="auto"/>
              <w:jc w:val="right"/>
              <w:rPr>
                <w:rFonts w:ascii="Times New Roman" w:hAnsi="Times New Roman"/>
                <w:color w:val="000000"/>
                <w:sz w:val="24"/>
                <w:szCs w:val="24"/>
                <w:lang w:eastAsia="sk-SK"/>
              </w:rPr>
            </w:pPr>
            <w:r w:rsidRPr="00BD372F">
              <w:rPr>
                <w:rFonts w:ascii="Times New Roman" w:hAnsi="Times New Roman"/>
                <w:color w:val="000000"/>
                <w:sz w:val="24"/>
                <w:szCs w:val="24"/>
                <w:lang w:eastAsia="sk-SK"/>
              </w:rPr>
              <w:t>89 520</w:t>
            </w:r>
          </w:p>
          <w:p w14:paraId="0CF102B5" w14:textId="77777777" w:rsidR="00BD372F" w:rsidRPr="00BD372F" w:rsidRDefault="00BD372F" w:rsidP="00BD372F">
            <w:pPr>
              <w:spacing w:after="0" w:line="240" w:lineRule="auto"/>
              <w:jc w:val="right"/>
              <w:rPr>
                <w:rFonts w:ascii="Times New Roman" w:hAnsi="Times New Roman"/>
                <w:color w:val="000000"/>
                <w:sz w:val="24"/>
                <w:szCs w:val="24"/>
                <w:lang w:eastAsia="sk-SK"/>
              </w:rPr>
            </w:pPr>
          </w:p>
          <w:p w14:paraId="15018F7B" w14:textId="77777777" w:rsidR="00BD372F" w:rsidRPr="00BD372F" w:rsidRDefault="00BD372F" w:rsidP="00BD372F">
            <w:pPr>
              <w:spacing w:after="0" w:line="240" w:lineRule="auto"/>
              <w:jc w:val="right"/>
              <w:rPr>
                <w:rFonts w:ascii="Times New Roman" w:hAnsi="Times New Roman"/>
                <w:color w:val="000000"/>
                <w:sz w:val="24"/>
                <w:szCs w:val="24"/>
                <w:lang w:eastAsia="sk-SK"/>
              </w:rPr>
            </w:pPr>
            <w:r w:rsidRPr="00BD372F">
              <w:rPr>
                <w:rFonts w:ascii="Times New Roman" w:hAnsi="Times New Roman"/>
                <w:color w:val="000000"/>
                <w:sz w:val="24"/>
                <w:szCs w:val="24"/>
                <w:lang w:eastAsia="sk-SK"/>
              </w:rPr>
              <w:t>-89 520</w:t>
            </w:r>
          </w:p>
          <w:p w14:paraId="77EA1E39" w14:textId="77777777" w:rsidR="00BD372F" w:rsidRPr="00BD372F" w:rsidRDefault="00BD372F" w:rsidP="00BD372F">
            <w:pPr>
              <w:spacing w:after="0" w:line="240" w:lineRule="auto"/>
              <w:jc w:val="right"/>
              <w:rPr>
                <w:rFonts w:ascii="Times New Roman" w:hAnsi="Times New Roman"/>
                <w:color w:val="000000"/>
                <w:sz w:val="24"/>
                <w:szCs w:val="24"/>
                <w:lang w:eastAsia="sk-SK"/>
              </w:rPr>
            </w:pPr>
          </w:p>
          <w:p w14:paraId="6B9667EA" w14:textId="77777777" w:rsidR="00BD372F" w:rsidRPr="00BD372F" w:rsidRDefault="00BD372F" w:rsidP="00BD372F">
            <w:pPr>
              <w:spacing w:after="0" w:line="240" w:lineRule="auto"/>
              <w:jc w:val="right"/>
              <w:rPr>
                <w:rFonts w:ascii="Times New Roman" w:hAnsi="Times New Roman"/>
                <w:color w:val="000000"/>
                <w:sz w:val="24"/>
                <w:szCs w:val="24"/>
                <w:lang w:eastAsia="sk-SK"/>
              </w:rPr>
            </w:pPr>
            <w:r w:rsidRPr="00BD372F">
              <w:rPr>
                <w:rFonts w:ascii="Times New Roman" w:hAnsi="Times New Roman"/>
                <w:color w:val="000000"/>
                <w:sz w:val="24"/>
                <w:szCs w:val="24"/>
                <w:lang w:eastAsia="sk-SK"/>
              </w:rPr>
              <w:t>0</w:t>
            </w:r>
          </w:p>
          <w:p w14:paraId="041D7BEA" w14:textId="77777777" w:rsidR="00BD372F" w:rsidRPr="00BD372F" w:rsidRDefault="00BD372F" w:rsidP="00BD372F">
            <w:pPr>
              <w:spacing w:after="0" w:line="240" w:lineRule="auto"/>
              <w:jc w:val="right"/>
              <w:rPr>
                <w:rFonts w:ascii="Times New Roman" w:hAnsi="Times New Roman"/>
                <w:color w:val="000000"/>
                <w:sz w:val="24"/>
                <w:szCs w:val="24"/>
                <w:lang w:eastAsia="sk-SK"/>
              </w:rPr>
            </w:pPr>
          </w:p>
          <w:p w14:paraId="7A2775E1" w14:textId="77777777" w:rsidR="00BD372F" w:rsidRPr="00BD372F" w:rsidRDefault="00BD372F" w:rsidP="00BD372F">
            <w:pPr>
              <w:spacing w:after="0" w:line="240" w:lineRule="auto"/>
              <w:jc w:val="right"/>
              <w:rPr>
                <w:rFonts w:ascii="Times New Roman" w:hAnsi="Times New Roman"/>
                <w:color w:val="000000"/>
                <w:sz w:val="24"/>
                <w:szCs w:val="24"/>
                <w:lang w:eastAsia="sk-SK"/>
              </w:rPr>
            </w:pPr>
            <w:r w:rsidRPr="00BD372F">
              <w:rPr>
                <w:rFonts w:ascii="Times New Roman" w:hAnsi="Times New Roman"/>
                <w:color w:val="000000"/>
                <w:sz w:val="24"/>
                <w:szCs w:val="24"/>
                <w:lang w:eastAsia="sk-SK"/>
              </w:rPr>
              <w:t>0</w:t>
            </w:r>
          </w:p>
        </w:tc>
        <w:tc>
          <w:tcPr>
            <w:tcW w:w="1276" w:type="dxa"/>
            <w:tcBorders>
              <w:top w:val="nil"/>
              <w:left w:val="nil"/>
              <w:bottom w:val="single" w:sz="4" w:space="0" w:color="auto"/>
              <w:right w:val="single" w:sz="4" w:space="0" w:color="auto"/>
            </w:tcBorders>
            <w:noWrap/>
            <w:hideMark/>
          </w:tcPr>
          <w:p w14:paraId="56E22994" w14:textId="77777777" w:rsidR="00BD372F" w:rsidRPr="00BD372F" w:rsidRDefault="00BD372F" w:rsidP="00BD372F">
            <w:pPr>
              <w:spacing w:after="0" w:line="240" w:lineRule="auto"/>
              <w:jc w:val="right"/>
              <w:rPr>
                <w:rFonts w:ascii="Times New Roman" w:hAnsi="Times New Roman"/>
                <w:bCs/>
                <w:sz w:val="24"/>
                <w:szCs w:val="24"/>
                <w:lang w:eastAsia="sk-SK"/>
              </w:rPr>
            </w:pPr>
          </w:p>
          <w:p w14:paraId="3D6201E2" w14:textId="77777777" w:rsidR="00BD372F" w:rsidRPr="00BD372F" w:rsidRDefault="00BD372F" w:rsidP="00BD372F">
            <w:pPr>
              <w:spacing w:after="0" w:line="240" w:lineRule="auto"/>
              <w:jc w:val="right"/>
              <w:rPr>
                <w:rFonts w:ascii="Times New Roman" w:hAnsi="Times New Roman"/>
                <w:bCs/>
                <w:sz w:val="24"/>
                <w:szCs w:val="24"/>
                <w:lang w:eastAsia="sk-SK"/>
              </w:rPr>
            </w:pPr>
            <w:r w:rsidRPr="00BD372F">
              <w:rPr>
                <w:rFonts w:ascii="Times New Roman" w:hAnsi="Times New Roman"/>
                <w:bCs/>
                <w:sz w:val="24"/>
                <w:szCs w:val="24"/>
                <w:lang w:eastAsia="sk-SK"/>
              </w:rPr>
              <w:t>2 400 000</w:t>
            </w:r>
          </w:p>
          <w:p w14:paraId="73EF2340" w14:textId="77777777" w:rsidR="00BD372F" w:rsidRPr="00BD372F" w:rsidRDefault="00BD372F" w:rsidP="00BD372F">
            <w:pPr>
              <w:spacing w:after="0" w:line="240" w:lineRule="auto"/>
              <w:jc w:val="right"/>
              <w:rPr>
                <w:rFonts w:ascii="Times New Roman" w:hAnsi="Times New Roman"/>
                <w:bCs/>
                <w:sz w:val="24"/>
                <w:szCs w:val="24"/>
                <w:lang w:eastAsia="sk-SK"/>
              </w:rPr>
            </w:pPr>
          </w:p>
          <w:p w14:paraId="38283A86" w14:textId="77777777" w:rsidR="00BD372F" w:rsidRPr="00BD372F" w:rsidRDefault="00BD372F" w:rsidP="00BD372F">
            <w:pPr>
              <w:spacing w:after="0" w:line="240" w:lineRule="auto"/>
              <w:jc w:val="right"/>
              <w:rPr>
                <w:rFonts w:ascii="Times New Roman" w:hAnsi="Times New Roman"/>
                <w:bCs/>
                <w:sz w:val="24"/>
                <w:szCs w:val="24"/>
                <w:lang w:eastAsia="sk-SK"/>
              </w:rPr>
            </w:pPr>
            <w:r w:rsidRPr="00BD372F">
              <w:rPr>
                <w:rFonts w:ascii="Times New Roman" w:hAnsi="Times New Roman"/>
                <w:bCs/>
                <w:sz w:val="24"/>
                <w:szCs w:val="24"/>
                <w:lang w:eastAsia="sk-SK"/>
              </w:rPr>
              <w:t>-2 400 000</w:t>
            </w:r>
          </w:p>
          <w:p w14:paraId="7A59EC49" w14:textId="77777777" w:rsidR="00BD372F" w:rsidRPr="00BD372F" w:rsidRDefault="00BD372F" w:rsidP="00BD372F">
            <w:pPr>
              <w:spacing w:after="0" w:line="240" w:lineRule="auto"/>
              <w:jc w:val="right"/>
              <w:rPr>
                <w:rFonts w:ascii="Times New Roman" w:hAnsi="Times New Roman"/>
                <w:bCs/>
                <w:sz w:val="24"/>
                <w:szCs w:val="24"/>
                <w:lang w:eastAsia="sk-SK"/>
              </w:rPr>
            </w:pPr>
          </w:p>
          <w:p w14:paraId="66CAA2E7" w14:textId="77777777" w:rsidR="00BD372F" w:rsidRPr="00BD372F" w:rsidRDefault="00BD372F" w:rsidP="00BD372F">
            <w:pPr>
              <w:spacing w:after="0" w:line="240" w:lineRule="auto"/>
              <w:jc w:val="right"/>
              <w:rPr>
                <w:rFonts w:ascii="Times New Roman" w:hAnsi="Times New Roman"/>
                <w:color w:val="000000"/>
                <w:sz w:val="24"/>
                <w:szCs w:val="24"/>
                <w:lang w:eastAsia="sk-SK"/>
              </w:rPr>
            </w:pPr>
            <w:r w:rsidRPr="00BD372F">
              <w:rPr>
                <w:rFonts w:ascii="Times New Roman" w:hAnsi="Times New Roman"/>
                <w:color w:val="000000"/>
                <w:sz w:val="24"/>
                <w:szCs w:val="24"/>
                <w:lang w:eastAsia="sk-SK"/>
              </w:rPr>
              <w:t>89 520</w:t>
            </w:r>
          </w:p>
          <w:p w14:paraId="06D877D3" w14:textId="77777777" w:rsidR="00BD372F" w:rsidRPr="00BD372F" w:rsidRDefault="00BD372F" w:rsidP="00BD372F">
            <w:pPr>
              <w:spacing w:after="0" w:line="240" w:lineRule="auto"/>
              <w:jc w:val="right"/>
              <w:rPr>
                <w:rFonts w:ascii="Times New Roman" w:hAnsi="Times New Roman"/>
                <w:color w:val="000000"/>
                <w:sz w:val="24"/>
                <w:szCs w:val="24"/>
                <w:lang w:eastAsia="sk-SK"/>
              </w:rPr>
            </w:pPr>
          </w:p>
          <w:p w14:paraId="39798F74" w14:textId="77777777" w:rsidR="00BD372F" w:rsidRPr="00BD372F" w:rsidRDefault="00BD372F" w:rsidP="00BD372F">
            <w:pPr>
              <w:spacing w:after="0" w:line="240" w:lineRule="auto"/>
              <w:jc w:val="right"/>
              <w:rPr>
                <w:rFonts w:ascii="Times New Roman" w:hAnsi="Times New Roman"/>
                <w:color w:val="000000"/>
                <w:sz w:val="24"/>
                <w:szCs w:val="24"/>
                <w:lang w:eastAsia="sk-SK"/>
              </w:rPr>
            </w:pPr>
            <w:r w:rsidRPr="00BD372F">
              <w:rPr>
                <w:rFonts w:ascii="Times New Roman" w:hAnsi="Times New Roman"/>
                <w:color w:val="000000"/>
                <w:sz w:val="24"/>
                <w:szCs w:val="24"/>
                <w:lang w:eastAsia="sk-SK"/>
              </w:rPr>
              <w:t>-89 520</w:t>
            </w:r>
          </w:p>
          <w:p w14:paraId="078118A8" w14:textId="77777777" w:rsidR="00BD372F" w:rsidRPr="00BD372F" w:rsidRDefault="00BD372F" w:rsidP="00BD372F">
            <w:pPr>
              <w:spacing w:after="0" w:line="240" w:lineRule="auto"/>
              <w:jc w:val="right"/>
              <w:rPr>
                <w:rFonts w:ascii="Times New Roman" w:hAnsi="Times New Roman"/>
                <w:color w:val="000000"/>
                <w:sz w:val="24"/>
                <w:szCs w:val="24"/>
                <w:lang w:eastAsia="sk-SK"/>
              </w:rPr>
            </w:pPr>
          </w:p>
          <w:p w14:paraId="7E9B8B64" w14:textId="77777777" w:rsidR="00BD372F" w:rsidRPr="00BD372F" w:rsidRDefault="00BD372F" w:rsidP="00BD372F">
            <w:pPr>
              <w:spacing w:after="0" w:line="240" w:lineRule="auto"/>
              <w:jc w:val="right"/>
              <w:rPr>
                <w:rFonts w:ascii="Times New Roman" w:hAnsi="Times New Roman"/>
                <w:color w:val="000000"/>
                <w:sz w:val="24"/>
                <w:szCs w:val="24"/>
                <w:lang w:eastAsia="sk-SK"/>
              </w:rPr>
            </w:pPr>
            <w:r w:rsidRPr="00BD372F">
              <w:rPr>
                <w:rFonts w:ascii="Times New Roman" w:hAnsi="Times New Roman"/>
                <w:color w:val="000000"/>
                <w:sz w:val="24"/>
                <w:szCs w:val="24"/>
                <w:lang w:eastAsia="sk-SK"/>
              </w:rPr>
              <w:t>-70 333</w:t>
            </w:r>
          </w:p>
          <w:p w14:paraId="303F7B88" w14:textId="77777777" w:rsidR="00BD372F" w:rsidRPr="00BD372F" w:rsidRDefault="00BD372F" w:rsidP="00BD372F">
            <w:pPr>
              <w:spacing w:after="0" w:line="240" w:lineRule="auto"/>
              <w:jc w:val="right"/>
              <w:rPr>
                <w:rFonts w:ascii="Times New Roman" w:hAnsi="Times New Roman"/>
                <w:color w:val="000000"/>
                <w:sz w:val="24"/>
                <w:szCs w:val="24"/>
                <w:lang w:eastAsia="sk-SK"/>
              </w:rPr>
            </w:pPr>
          </w:p>
          <w:p w14:paraId="0E72E228" w14:textId="77777777" w:rsidR="00BD372F" w:rsidRPr="00BD372F" w:rsidRDefault="00BD372F" w:rsidP="00BD372F">
            <w:pPr>
              <w:spacing w:after="0" w:line="240" w:lineRule="auto"/>
              <w:jc w:val="right"/>
              <w:rPr>
                <w:rFonts w:ascii="Times New Roman" w:hAnsi="Times New Roman"/>
                <w:bCs/>
                <w:sz w:val="24"/>
                <w:szCs w:val="24"/>
                <w:lang w:eastAsia="sk-SK"/>
              </w:rPr>
            </w:pPr>
            <w:r w:rsidRPr="00BD372F">
              <w:rPr>
                <w:rFonts w:ascii="Times New Roman" w:hAnsi="Times New Roman"/>
                <w:color w:val="000000"/>
                <w:sz w:val="24"/>
                <w:szCs w:val="24"/>
                <w:lang w:eastAsia="sk-SK"/>
              </w:rPr>
              <w:t>70 333</w:t>
            </w:r>
          </w:p>
          <w:p w14:paraId="685AD286" w14:textId="77777777" w:rsidR="00BD372F" w:rsidRPr="00BD372F" w:rsidRDefault="00BD372F" w:rsidP="00BD372F">
            <w:pPr>
              <w:spacing w:after="0" w:line="240" w:lineRule="auto"/>
              <w:jc w:val="right"/>
              <w:rPr>
                <w:rFonts w:ascii="Times New Roman" w:hAnsi="Times New Roman"/>
                <w:color w:val="000000"/>
                <w:sz w:val="24"/>
                <w:szCs w:val="24"/>
                <w:lang w:eastAsia="sk-SK"/>
              </w:rPr>
            </w:pPr>
          </w:p>
        </w:tc>
      </w:tr>
      <w:tr w:rsidR="00BD372F" w:rsidRPr="00BD372F" w14:paraId="43AB4BE1" w14:textId="77777777" w:rsidTr="00BD372F">
        <w:trPr>
          <w:trHeight w:val="300"/>
        </w:trPr>
        <w:tc>
          <w:tcPr>
            <w:tcW w:w="4679" w:type="dxa"/>
            <w:tcBorders>
              <w:top w:val="nil"/>
              <w:left w:val="single" w:sz="4" w:space="0" w:color="auto"/>
              <w:bottom w:val="single" w:sz="4" w:space="0" w:color="auto"/>
              <w:right w:val="single" w:sz="4" w:space="0" w:color="auto"/>
            </w:tcBorders>
            <w:shd w:val="clear" w:color="auto" w:fill="BFBFBF"/>
            <w:noWrap/>
            <w:vAlign w:val="bottom"/>
            <w:hideMark/>
          </w:tcPr>
          <w:p w14:paraId="072830F0" w14:textId="77777777" w:rsidR="00BD372F" w:rsidRPr="00BD372F" w:rsidRDefault="00BD372F" w:rsidP="00BD372F">
            <w:pPr>
              <w:spacing w:after="0" w:line="240" w:lineRule="auto"/>
              <w:rPr>
                <w:rFonts w:ascii="Times New Roman" w:hAnsi="Times New Roman"/>
                <w:b/>
                <w:color w:val="000000"/>
                <w:sz w:val="24"/>
                <w:szCs w:val="24"/>
                <w:lang w:eastAsia="sk-SK"/>
              </w:rPr>
            </w:pPr>
            <w:r w:rsidRPr="00BD372F">
              <w:rPr>
                <w:rFonts w:ascii="Times New Roman" w:hAnsi="Times New Roman"/>
                <w:b/>
                <w:color w:val="000000"/>
                <w:sz w:val="24"/>
                <w:szCs w:val="24"/>
                <w:lang w:eastAsia="sk-SK"/>
              </w:rPr>
              <w:t>z toho:</w:t>
            </w:r>
          </w:p>
        </w:tc>
        <w:tc>
          <w:tcPr>
            <w:tcW w:w="1134" w:type="dxa"/>
            <w:tcBorders>
              <w:top w:val="nil"/>
              <w:left w:val="nil"/>
              <w:bottom w:val="single" w:sz="4" w:space="0" w:color="auto"/>
              <w:right w:val="single" w:sz="4" w:space="0" w:color="auto"/>
            </w:tcBorders>
            <w:noWrap/>
            <w:vAlign w:val="center"/>
            <w:hideMark/>
          </w:tcPr>
          <w:p w14:paraId="2BEA0948" w14:textId="77777777" w:rsidR="00BD372F" w:rsidRPr="00BD372F" w:rsidRDefault="00BD372F" w:rsidP="00BD372F">
            <w:pPr>
              <w:spacing w:after="0" w:line="240" w:lineRule="auto"/>
              <w:jc w:val="right"/>
              <w:rPr>
                <w:rFonts w:ascii="Times New Roman" w:hAnsi="Times New Roman"/>
                <w:color w:val="000000"/>
                <w:sz w:val="24"/>
                <w:szCs w:val="24"/>
                <w:lang w:eastAsia="sk-SK"/>
              </w:rPr>
            </w:pPr>
            <w:r w:rsidRPr="00BD372F">
              <w:rPr>
                <w:rFonts w:ascii="Times New Roman" w:hAnsi="Times New Roman"/>
                <w:color w:val="000000"/>
                <w:sz w:val="24"/>
                <w:szCs w:val="24"/>
                <w:lang w:eastAsia="sk-SK"/>
              </w:rPr>
              <w:t> </w:t>
            </w:r>
          </w:p>
        </w:tc>
        <w:tc>
          <w:tcPr>
            <w:tcW w:w="1275" w:type="dxa"/>
            <w:tcBorders>
              <w:top w:val="nil"/>
              <w:left w:val="nil"/>
              <w:bottom w:val="single" w:sz="4" w:space="0" w:color="auto"/>
              <w:right w:val="single" w:sz="4" w:space="0" w:color="auto"/>
            </w:tcBorders>
            <w:noWrap/>
            <w:vAlign w:val="center"/>
            <w:hideMark/>
          </w:tcPr>
          <w:p w14:paraId="4C72DB6F" w14:textId="77777777" w:rsidR="00BD372F" w:rsidRPr="00BD372F" w:rsidRDefault="00BD372F" w:rsidP="00BD372F">
            <w:pPr>
              <w:spacing w:after="0" w:line="240" w:lineRule="auto"/>
              <w:jc w:val="right"/>
              <w:rPr>
                <w:rFonts w:ascii="Times New Roman" w:hAnsi="Times New Roman"/>
                <w:color w:val="000000"/>
                <w:sz w:val="24"/>
                <w:szCs w:val="24"/>
                <w:lang w:eastAsia="sk-SK"/>
              </w:rPr>
            </w:pPr>
            <w:r w:rsidRPr="00BD372F">
              <w:rPr>
                <w:rFonts w:ascii="Times New Roman" w:hAnsi="Times New Roman"/>
                <w:color w:val="000000"/>
                <w:sz w:val="24"/>
                <w:szCs w:val="24"/>
                <w:lang w:eastAsia="sk-SK"/>
              </w:rPr>
              <w:t> </w:t>
            </w:r>
          </w:p>
        </w:tc>
        <w:tc>
          <w:tcPr>
            <w:tcW w:w="1418" w:type="dxa"/>
            <w:tcBorders>
              <w:top w:val="nil"/>
              <w:left w:val="nil"/>
              <w:bottom w:val="single" w:sz="4" w:space="0" w:color="auto"/>
              <w:right w:val="single" w:sz="4" w:space="0" w:color="auto"/>
            </w:tcBorders>
            <w:noWrap/>
            <w:vAlign w:val="center"/>
            <w:hideMark/>
          </w:tcPr>
          <w:p w14:paraId="6D5907B7" w14:textId="77777777" w:rsidR="00BD372F" w:rsidRPr="00BD372F" w:rsidRDefault="00BD372F" w:rsidP="00BD372F">
            <w:pPr>
              <w:spacing w:after="0" w:line="240" w:lineRule="auto"/>
              <w:jc w:val="right"/>
              <w:rPr>
                <w:rFonts w:ascii="Times New Roman" w:hAnsi="Times New Roman"/>
                <w:color w:val="000000"/>
                <w:sz w:val="24"/>
                <w:szCs w:val="24"/>
                <w:lang w:eastAsia="sk-SK"/>
              </w:rPr>
            </w:pPr>
            <w:r w:rsidRPr="00BD372F">
              <w:rPr>
                <w:rFonts w:ascii="Times New Roman" w:hAnsi="Times New Roman"/>
                <w:color w:val="000000"/>
                <w:sz w:val="24"/>
                <w:szCs w:val="24"/>
                <w:lang w:eastAsia="sk-SK"/>
              </w:rPr>
              <w:t> </w:t>
            </w:r>
          </w:p>
        </w:tc>
        <w:tc>
          <w:tcPr>
            <w:tcW w:w="1276" w:type="dxa"/>
            <w:tcBorders>
              <w:top w:val="nil"/>
              <w:left w:val="nil"/>
              <w:bottom w:val="single" w:sz="4" w:space="0" w:color="auto"/>
              <w:right w:val="single" w:sz="4" w:space="0" w:color="auto"/>
            </w:tcBorders>
            <w:noWrap/>
            <w:vAlign w:val="center"/>
            <w:hideMark/>
          </w:tcPr>
          <w:p w14:paraId="0B89E1E2" w14:textId="77777777" w:rsidR="00BD372F" w:rsidRPr="00BD372F" w:rsidRDefault="00BD372F" w:rsidP="00BD372F">
            <w:pPr>
              <w:spacing w:after="0" w:line="240" w:lineRule="auto"/>
              <w:jc w:val="right"/>
              <w:rPr>
                <w:rFonts w:ascii="Times New Roman" w:hAnsi="Times New Roman"/>
                <w:color w:val="000000"/>
                <w:sz w:val="24"/>
                <w:szCs w:val="24"/>
                <w:lang w:eastAsia="sk-SK"/>
              </w:rPr>
            </w:pPr>
            <w:r w:rsidRPr="00BD372F">
              <w:rPr>
                <w:rFonts w:ascii="Times New Roman" w:hAnsi="Times New Roman"/>
                <w:color w:val="000000"/>
                <w:sz w:val="24"/>
                <w:szCs w:val="24"/>
                <w:lang w:eastAsia="sk-SK"/>
              </w:rPr>
              <w:t> </w:t>
            </w:r>
          </w:p>
        </w:tc>
      </w:tr>
      <w:tr w:rsidR="00BD372F" w:rsidRPr="00BD372F" w14:paraId="6B5EEF23" w14:textId="77777777" w:rsidTr="00BD372F">
        <w:trPr>
          <w:trHeight w:val="300"/>
        </w:trPr>
        <w:tc>
          <w:tcPr>
            <w:tcW w:w="4679" w:type="dxa"/>
            <w:tcBorders>
              <w:top w:val="nil"/>
              <w:left w:val="single" w:sz="4" w:space="0" w:color="auto"/>
              <w:bottom w:val="single" w:sz="4" w:space="0" w:color="auto"/>
              <w:right w:val="single" w:sz="4" w:space="0" w:color="auto"/>
            </w:tcBorders>
            <w:shd w:val="clear" w:color="auto" w:fill="BFBFBF"/>
            <w:noWrap/>
            <w:vAlign w:val="bottom"/>
            <w:hideMark/>
          </w:tcPr>
          <w:p w14:paraId="1D8ADA18" w14:textId="77777777" w:rsidR="00BD372F" w:rsidRPr="00BD372F" w:rsidRDefault="00BD372F" w:rsidP="00BD372F">
            <w:pPr>
              <w:spacing w:after="0" w:line="240" w:lineRule="auto"/>
              <w:rPr>
                <w:rFonts w:ascii="Times New Roman" w:hAnsi="Times New Roman"/>
                <w:b/>
                <w:bCs/>
                <w:color w:val="000000"/>
                <w:sz w:val="24"/>
                <w:szCs w:val="24"/>
                <w:lang w:eastAsia="sk-SK"/>
              </w:rPr>
            </w:pPr>
            <w:r w:rsidRPr="00BD372F">
              <w:rPr>
                <w:rFonts w:ascii="Times New Roman" w:hAnsi="Times New Roman"/>
                <w:b/>
                <w:bCs/>
                <w:color w:val="000000"/>
                <w:sz w:val="24"/>
                <w:szCs w:val="24"/>
                <w:lang w:eastAsia="sk-SK"/>
              </w:rPr>
              <w:t>vplyv na limit verejných výdavkov ŠR</w:t>
            </w:r>
          </w:p>
        </w:tc>
        <w:tc>
          <w:tcPr>
            <w:tcW w:w="1134" w:type="dxa"/>
            <w:tcBorders>
              <w:top w:val="nil"/>
              <w:left w:val="nil"/>
              <w:bottom w:val="single" w:sz="4" w:space="0" w:color="auto"/>
              <w:right w:val="single" w:sz="4" w:space="0" w:color="auto"/>
            </w:tcBorders>
            <w:noWrap/>
            <w:vAlign w:val="center"/>
            <w:hideMark/>
          </w:tcPr>
          <w:p w14:paraId="72DD9F03" w14:textId="77777777" w:rsidR="00BD372F" w:rsidRPr="00BD372F" w:rsidRDefault="00BD372F" w:rsidP="00BD372F">
            <w:pPr>
              <w:spacing w:after="0" w:line="240" w:lineRule="auto"/>
              <w:jc w:val="right"/>
              <w:rPr>
                <w:rFonts w:ascii="Times New Roman" w:hAnsi="Times New Roman"/>
                <w:b/>
                <w:color w:val="000000"/>
                <w:sz w:val="24"/>
                <w:szCs w:val="24"/>
                <w:lang w:eastAsia="sk-SK"/>
              </w:rPr>
            </w:pPr>
            <w:r w:rsidRPr="00BD372F">
              <w:rPr>
                <w:rFonts w:ascii="Times New Roman" w:hAnsi="Times New Roman"/>
                <w:b/>
                <w:color w:val="000000"/>
                <w:sz w:val="24"/>
                <w:szCs w:val="24"/>
                <w:lang w:eastAsia="sk-SK"/>
              </w:rPr>
              <w:t>0</w:t>
            </w:r>
          </w:p>
        </w:tc>
        <w:tc>
          <w:tcPr>
            <w:tcW w:w="1275" w:type="dxa"/>
            <w:tcBorders>
              <w:top w:val="nil"/>
              <w:left w:val="nil"/>
              <w:bottom w:val="single" w:sz="4" w:space="0" w:color="auto"/>
              <w:right w:val="single" w:sz="4" w:space="0" w:color="auto"/>
            </w:tcBorders>
            <w:noWrap/>
            <w:vAlign w:val="center"/>
            <w:hideMark/>
          </w:tcPr>
          <w:p w14:paraId="3B2A1D31" w14:textId="77777777" w:rsidR="00BD372F" w:rsidRPr="00BD372F" w:rsidRDefault="00BD372F" w:rsidP="00BD372F">
            <w:pPr>
              <w:spacing w:after="0" w:line="240" w:lineRule="auto"/>
              <w:jc w:val="right"/>
              <w:rPr>
                <w:rFonts w:ascii="Times New Roman" w:hAnsi="Times New Roman"/>
                <w:b/>
                <w:color w:val="000000"/>
                <w:sz w:val="24"/>
                <w:szCs w:val="24"/>
                <w:lang w:eastAsia="sk-SK"/>
              </w:rPr>
            </w:pPr>
            <w:r w:rsidRPr="00BD372F">
              <w:rPr>
                <w:rFonts w:ascii="Times New Roman" w:hAnsi="Times New Roman"/>
                <w:b/>
                <w:color w:val="000000"/>
                <w:sz w:val="24"/>
                <w:szCs w:val="24"/>
                <w:lang w:eastAsia="sk-SK"/>
              </w:rPr>
              <w:t>0</w:t>
            </w:r>
          </w:p>
        </w:tc>
        <w:tc>
          <w:tcPr>
            <w:tcW w:w="1418" w:type="dxa"/>
            <w:tcBorders>
              <w:top w:val="nil"/>
              <w:left w:val="nil"/>
              <w:bottom w:val="single" w:sz="4" w:space="0" w:color="auto"/>
              <w:right w:val="single" w:sz="4" w:space="0" w:color="auto"/>
            </w:tcBorders>
            <w:noWrap/>
            <w:vAlign w:val="center"/>
            <w:hideMark/>
          </w:tcPr>
          <w:p w14:paraId="59AEB83E" w14:textId="77777777" w:rsidR="00BD372F" w:rsidRPr="00BD372F" w:rsidRDefault="00BD372F" w:rsidP="00BD372F">
            <w:pPr>
              <w:spacing w:after="0" w:line="240" w:lineRule="auto"/>
              <w:jc w:val="right"/>
              <w:rPr>
                <w:rFonts w:ascii="Times New Roman" w:hAnsi="Times New Roman"/>
                <w:b/>
                <w:color w:val="000000"/>
                <w:sz w:val="24"/>
                <w:szCs w:val="24"/>
                <w:lang w:eastAsia="sk-SK"/>
              </w:rPr>
            </w:pPr>
            <w:r w:rsidRPr="00BD372F">
              <w:rPr>
                <w:rFonts w:ascii="Times New Roman" w:hAnsi="Times New Roman"/>
                <w:b/>
                <w:color w:val="000000"/>
                <w:sz w:val="24"/>
                <w:szCs w:val="24"/>
                <w:lang w:eastAsia="sk-SK"/>
              </w:rPr>
              <w:t>0</w:t>
            </w:r>
          </w:p>
        </w:tc>
        <w:tc>
          <w:tcPr>
            <w:tcW w:w="1276" w:type="dxa"/>
            <w:tcBorders>
              <w:top w:val="nil"/>
              <w:left w:val="nil"/>
              <w:bottom w:val="single" w:sz="4" w:space="0" w:color="auto"/>
              <w:right w:val="single" w:sz="4" w:space="0" w:color="auto"/>
            </w:tcBorders>
            <w:noWrap/>
            <w:vAlign w:val="center"/>
            <w:hideMark/>
          </w:tcPr>
          <w:p w14:paraId="1EDEFB64" w14:textId="77777777" w:rsidR="00BD372F" w:rsidRPr="00BD372F" w:rsidRDefault="00BD372F" w:rsidP="00BD372F">
            <w:pPr>
              <w:spacing w:after="0" w:line="240" w:lineRule="auto"/>
              <w:jc w:val="right"/>
              <w:rPr>
                <w:rFonts w:ascii="Times New Roman" w:hAnsi="Times New Roman"/>
                <w:b/>
                <w:color w:val="000000"/>
                <w:sz w:val="24"/>
                <w:szCs w:val="24"/>
                <w:lang w:eastAsia="sk-SK"/>
              </w:rPr>
            </w:pPr>
            <w:r w:rsidRPr="00BD372F">
              <w:rPr>
                <w:rFonts w:ascii="Times New Roman" w:hAnsi="Times New Roman"/>
                <w:b/>
                <w:color w:val="000000"/>
                <w:sz w:val="24"/>
                <w:szCs w:val="24"/>
                <w:lang w:eastAsia="sk-SK"/>
              </w:rPr>
              <w:t>0</w:t>
            </w:r>
          </w:p>
        </w:tc>
      </w:tr>
      <w:tr w:rsidR="00BD372F" w:rsidRPr="00BD372F" w14:paraId="75CFCC08" w14:textId="77777777" w:rsidTr="00BD372F">
        <w:trPr>
          <w:trHeight w:val="300"/>
        </w:trPr>
        <w:tc>
          <w:tcPr>
            <w:tcW w:w="4679" w:type="dxa"/>
            <w:tcBorders>
              <w:top w:val="nil"/>
              <w:left w:val="single" w:sz="4" w:space="0" w:color="auto"/>
              <w:bottom w:val="single" w:sz="4" w:space="0" w:color="auto"/>
              <w:right w:val="single" w:sz="4" w:space="0" w:color="auto"/>
            </w:tcBorders>
            <w:shd w:val="clear" w:color="auto" w:fill="BFBFBF"/>
            <w:noWrap/>
            <w:vAlign w:val="bottom"/>
            <w:hideMark/>
          </w:tcPr>
          <w:p w14:paraId="3408FA51" w14:textId="77777777" w:rsidR="00BD372F" w:rsidRPr="00BD372F" w:rsidRDefault="00BD372F" w:rsidP="00BD372F">
            <w:pPr>
              <w:spacing w:after="0" w:line="240" w:lineRule="auto"/>
              <w:rPr>
                <w:rFonts w:ascii="Times New Roman" w:hAnsi="Times New Roman"/>
                <w:b/>
                <w:bCs/>
                <w:color w:val="000000"/>
                <w:sz w:val="24"/>
                <w:szCs w:val="24"/>
                <w:lang w:eastAsia="sk-SK"/>
              </w:rPr>
            </w:pPr>
            <w:r w:rsidRPr="00BD372F">
              <w:rPr>
                <w:rFonts w:ascii="Times New Roman" w:hAnsi="Times New Roman"/>
                <w:b/>
                <w:bCs/>
                <w:color w:val="000000"/>
                <w:sz w:val="24"/>
                <w:szCs w:val="24"/>
                <w:lang w:eastAsia="sk-SK"/>
              </w:rPr>
              <w:t>vplyv na limit verejných výdavkov ostatných subjekty verejnej správy</w:t>
            </w:r>
          </w:p>
        </w:tc>
        <w:tc>
          <w:tcPr>
            <w:tcW w:w="1134" w:type="dxa"/>
            <w:tcBorders>
              <w:top w:val="nil"/>
              <w:left w:val="nil"/>
              <w:bottom w:val="single" w:sz="4" w:space="0" w:color="auto"/>
              <w:right w:val="single" w:sz="4" w:space="0" w:color="auto"/>
            </w:tcBorders>
            <w:noWrap/>
            <w:vAlign w:val="center"/>
            <w:hideMark/>
          </w:tcPr>
          <w:p w14:paraId="5777BEC8" w14:textId="77777777" w:rsidR="00BD372F" w:rsidRPr="00BD372F" w:rsidRDefault="00BD372F" w:rsidP="00BD372F">
            <w:pPr>
              <w:spacing w:after="0" w:line="240" w:lineRule="auto"/>
              <w:jc w:val="right"/>
              <w:rPr>
                <w:rFonts w:ascii="Times New Roman" w:hAnsi="Times New Roman"/>
                <w:b/>
                <w:color w:val="000000"/>
                <w:sz w:val="24"/>
                <w:szCs w:val="24"/>
                <w:lang w:eastAsia="sk-SK"/>
              </w:rPr>
            </w:pPr>
            <w:r w:rsidRPr="00BD372F">
              <w:rPr>
                <w:rFonts w:ascii="Times New Roman" w:hAnsi="Times New Roman"/>
                <w:b/>
                <w:color w:val="000000"/>
                <w:sz w:val="24"/>
                <w:szCs w:val="24"/>
                <w:lang w:eastAsia="sk-SK"/>
              </w:rPr>
              <w:t>0</w:t>
            </w:r>
          </w:p>
        </w:tc>
        <w:tc>
          <w:tcPr>
            <w:tcW w:w="1275" w:type="dxa"/>
            <w:tcBorders>
              <w:top w:val="nil"/>
              <w:left w:val="nil"/>
              <w:bottom w:val="single" w:sz="4" w:space="0" w:color="auto"/>
              <w:right w:val="single" w:sz="4" w:space="0" w:color="auto"/>
            </w:tcBorders>
            <w:noWrap/>
            <w:vAlign w:val="center"/>
            <w:hideMark/>
          </w:tcPr>
          <w:p w14:paraId="27DED1D4" w14:textId="77777777" w:rsidR="00BD372F" w:rsidRPr="00BD372F" w:rsidRDefault="00BD372F" w:rsidP="00BD372F">
            <w:pPr>
              <w:spacing w:after="0" w:line="240" w:lineRule="auto"/>
              <w:jc w:val="right"/>
              <w:rPr>
                <w:rFonts w:ascii="Times New Roman" w:hAnsi="Times New Roman"/>
                <w:b/>
                <w:color w:val="000000"/>
                <w:sz w:val="24"/>
                <w:szCs w:val="24"/>
                <w:lang w:eastAsia="sk-SK"/>
              </w:rPr>
            </w:pPr>
            <w:r w:rsidRPr="00BD372F">
              <w:rPr>
                <w:rFonts w:ascii="Times New Roman" w:hAnsi="Times New Roman"/>
                <w:b/>
                <w:color w:val="000000"/>
                <w:sz w:val="24"/>
                <w:szCs w:val="24"/>
                <w:lang w:eastAsia="sk-SK"/>
              </w:rPr>
              <w:t>0</w:t>
            </w:r>
          </w:p>
        </w:tc>
        <w:tc>
          <w:tcPr>
            <w:tcW w:w="1418" w:type="dxa"/>
            <w:tcBorders>
              <w:top w:val="nil"/>
              <w:left w:val="nil"/>
              <w:bottom w:val="single" w:sz="4" w:space="0" w:color="auto"/>
              <w:right w:val="single" w:sz="4" w:space="0" w:color="auto"/>
            </w:tcBorders>
            <w:noWrap/>
            <w:vAlign w:val="center"/>
            <w:hideMark/>
          </w:tcPr>
          <w:p w14:paraId="2A247D52" w14:textId="77777777" w:rsidR="00BD372F" w:rsidRPr="00BD372F" w:rsidRDefault="00BD372F" w:rsidP="00BD372F">
            <w:pPr>
              <w:spacing w:after="0" w:line="240" w:lineRule="auto"/>
              <w:jc w:val="right"/>
              <w:rPr>
                <w:rFonts w:ascii="Times New Roman" w:hAnsi="Times New Roman"/>
                <w:b/>
                <w:color w:val="000000"/>
                <w:sz w:val="24"/>
                <w:szCs w:val="24"/>
                <w:lang w:eastAsia="sk-SK"/>
              </w:rPr>
            </w:pPr>
            <w:r w:rsidRPr="00BD372F">
              <w:rPr>
                <w:rFonts w:ascii="Times New Roman" w:hAnsi="Times New Roman"/>
                <w:b/>
                <w:color w:val="000000"/>
                <w:sz w:val="24"/>
                <w:szCs w:val="24"/>
                <w:lang w:eastAsia="sk-SK"/>
              </w:rPr>
              <w:t>0</w:t>
            </w:r>
          </w:p>
        </w:tc>
        <w:tc>
          <w:tcPr>
            <w:tcW w:w="1276" w:type="dxa"/>
            <w:tcBorders>
              <w:top w:val="nil"/>
              <w:left w:val="nil"/>
              <w:bottom w:val="single" w:sz="4" w:space="0" w:color="auto"/>
              <w:right w:val="single" w:sz="4" w:space="0" w:color="auto"/>
            </w:tcBorders>
            <w:noWrap/>
            <w:vAlign w:val="center"/>
            <w:hideMark/>
          </w:tcPr>
          <w:p w14:paraId="54E87B52" w14:textId="77777777" w:rsidR="00BD372F" w:rsidRPr="00BD372F" w:rsidRDefault="00BD372F" w:rsidP="00BD372F">
            <w:pPr>
              <w:spacing w:after="0" w:line="240" w:lineRule="auto"/>
              <w:jc w:val="right"/>
              <w:rPr>
                <w:rFonts w:ascii="Times New Roman" w:hAnsi="Times New Roman"/>
                <w:b/>
                <w:color w:val="000000"/>
                <w:sz w:val="24"/>
                <w:szCs w:val="24"/>
                <w:lang w:eastAsia="sk-SK"/>
              </w:rPr>
            </w:pPr>
            <w:r w:rsidRPr="00BD372F">
              <w:rPr>
                <w:rFonts w:ascii="Times New Roman" w:hAnsi="Times New Roman"/>
                <w:b/>
                <w:color w:val="000000"/>
                <w:sz w:val="24"/>
                <w:szCs w:val="24"/>
                <w:lang w:eastAsia="sk-SK"/>
              </w:rPr>
              <w:t>0</w:t>
            </w:r>
          </w:p>
        </w:tc>
      </w:tr>
      <w:tr w:rsidR="00BD372F" w:rsidRPr="00BD372F" w14:paraId="00060B1E" w14:textId="77777777" w:rsidTr="00BD372F">
        <w:trPr>
          <w:trHeight w:val="300"/>
        </w:trPr>
        <w:tc>
          <w:tcPr>
            <w:tcW w:w="4679" w:type="dxa"/>
            <w:tcBorders>
              <w:top w:val="single" w:sz="4" w:space="0" w:color="auto"/>
              <w:left w:val="single" w:sz="4" w:space="0" w:color="auto"/>
              <w:bottom w:val="single" w:sz="4" w:space="0" w:color="auto"/>
              <w:right w:val="single" w:sz="4" w:space="0" w:color="auto"/>
            </w:tcBorders>
            <w:shd w:val="clear" w:color="auto" w:fill="BFBFBF"/>
            <w:noWrap/>
            <w:vAlign w:val="bottom"/>
          </w:tcPr>
          <w:p w14:paraId="3FD3478B" w14:textId="77777777" w:rsidR="00BD372F" w:rsidRPr="00BD372F" w:rsidRDefault="00BD372F" w:rsidP="00BD372F">
            <w:pPr>
              <w:spacing w:after="0" w:line="240" w:lineRule="auto"/>
              <w:rPr>
                <w:rFonts w:ascii="Times New Roman" w:hAnsi="Times New Roman"/>
                <w:b/>
                <w:bCs/>
                <w:color w:val="000000"/>
                <w:sz w:val="24"/>
                <w:szCs w:val="24"/>
                <w:lang w:eastAsia="sk-SK"/>
              </w:rPr>
            </w:pPr>
            <w:r w:rsidRPr="00BD372F">
              <w:rPr>
                <w:rFonts w:ascii="Times New Roman" w:hAnsi="Times New Roman"/>
                <w:b/>
                <w:bCs/>
                <w:color w:val="000000"/>
                <w:sz w:val="24"/>
                <w:szCs w:val="24"/>
                <w:lang w:eastAsia="sk-SK"/>
              </w:rPr>
              <w:t>vplyv na limit verejných výdavkov ďalších súčastí rozpočtu verejnej správy</w:t>
            </w:r>
          </w:p>
        </w:tc>
        <w:tc>
          <w:tcPr>
            <w:tcW w:w="1134" w:type="dxa"/>
            <w:tcBorders>
              <w:top w:val="single" w:sz="4" w:space="0" w:color="auto"/>
              <w:left w:val="nil"/>
              <w:bottom w:val="single" w:sz="4" w:space="0" w:color="auto"/>
              <w:right w:val="single" w:sz="4" w:space="0" w:color="auto"/>
            </w:tcBorders>
            <w:noWrap/>
            <w:vAlign w:val="center"/>
          </w:tcPr>
          <w:p w14:paraId="276C640F" w14:textId="77777777" w:rsidR="00BD372F" w:rsidRPr="00BD372F" w:rsidRDefault="00BD372F" w:rsidP="00BD372F">
            <w:pPr>
              <w:spacing w:after="0" w:line="240" w:lineRule="auto"/>
              <w:jc w:val="center"/>
              <w:rPr>
                <w:rFonts w:ascii="Times New Roman" w:hAnsi="Times New Roman"/>
                <w:b/>
                <w:color w:val="000000"/>
                <w:sz w:val="24"/>
                <w:szCs w:val="24"/>
                <w:lang w:eastAsia="sk-SK"/>
              </w:rPr>
            </w:pPr>
          </w:p>
        </w:tc>
        <w:tc>
          <w:tcPr>
            <w:tcW w:w="1275" w:type="dxa"/>
            <w:tcBorders>
              <w:top w:val="single" w:sz="4" w:space="0" w:color="auto"/>
              <w:left w:val="nil"/>
              <w:bottom w:val="single" w:sz="4" w:space="0" w:color="auto"/>
              <w:right w:val="single" w:sz="4" w:space="0" w:color="auto"/>
            </w:tcBorders>
            <w:noWrap/>
            <w:vAlign w:val="center"/>
          </w:tcPr>
          <w:p w14:paraId="04474EA6" w14:textId="77777777" w:rsidR="00BD372F" w:rsidRPr="00BD372F" w:rsidRDefault="00BD372F" w:rsidP="00BD372F">
            <w:pPr>
              <w:spacing w:after="0" w:line="240" w:lineRule="auto"/>
              <w:jc w:val="center"/>
              <w:rPr>
                <w:rFonts w:ascii="Times New Roman" w:hAnsi="Times New Roman"/>
                <w:b/>
                <w:color w:val="000000"/>
                <w:sz w:val="24"/>
                <w:szCs w:val="24"/>
                <w:lang w:eastAsia="sk-SK"/>
              </w:rPr>
            </w:pPr>
          </w:p>
        </w:tc>
        <w:tc>
          <w:tcPr>
            <w:tcW w:w="1418" w:type="dxa"/>
            <w:tcBorders>
              <w:top w:val="single" w:sz="4" w:space="0" w:color="auto"/>
              <w:left w:val="nil"/>
              <w:bottom w:val="single" w:sz="4" w:space="0" w:color="auto"/>
              <w:right w:val="single" w:sz="4" w:space="0" w:color="auto"/>
            </w:tcBorders>
            <w:noWrap/>
            <w:vAlign w:val="center"/>
          </w:tcPr>
          <w:p w14:paraId="3EA0D673" w14:textId="77777777" w:rsidR="00BD372F" w:rsidRPr="00BD372F" w:rsidRDefault="00BD372F" w:rsidP="00BD372F">
            <w:pPr>
              <w:spacing w:after="0" w:line="240" w:lineRule="auto"/>
              <w:jc w:val="center"/>
              <w:rPr>
                <w:rFonts w:ascii="Times New Roman" w:hAnsi="Times New Roman"/>
                <w:b/>
                <w:color w:val="000000"/>
                <w:sz w:val="24"/>
                <w:szCs w:val="24"/>
                <w:lang w:eastAsia="sk-SK"/>
              </w:rPr>
            </w:pPr>
          </w:p>
        </w:tc>
        <w:tc>
          <w:tcPr>
            <w:tcW w:w="1276" w:type="dxa"/>
            <w:tcBorders>
              <w:top w:val="single" w:sz="4" w:space="0" w:color="auto"/>
              <w:left w:val="nil"/>
              <w:bottom w:val="single" w:sz="4" w:space="0" w:color="auto"/>
              <w:right w:val="single" w:sz="4" w:space="0" w:color="auto"/>
            </w:tcBorders>
            <w:noWrap/>
            <w:vAlign w:val="center"/>
          </w:tcPr>
          <w:p w14:paraId="3B4FD0B2" w14:textId="77777777" w:rsidR="00BD372F" w:rsidRPr="00BD372F" w:rsidRDefault="00BD372F" w:rsidP="00BD372F">
            <w:pPr>
              <w:spacing w:after="0" w:line="240" w:lineRule="auto"/>
              <w:jc w:val="center"/>
              <w:rPr>
                <w:rFonts w:ascii="Times New Roman" w:hAnsi="Times New Roman"/>
                <w:b/>
                <w:color w:val="000000"/>
                <w:sz w:val="24"/>
                <w:szCs w:val="24"/>
                <w:lang w:eastAsia="sk-SK"/>
              </w:rPr>
            </w:pPr>
          </w:p>
        </w:tc>
      </w:tr>
    </w:tbl>
    <w:p w14:paraId="5F8A5B8E" w14:textId="77777777" w:rsidR="00BD372F" w:rsidRDefault="00BD372F" w:rsidP="00BD372F">
      <w:pPr>
        <w:rPr>
          <w:rFonts w:ascii="Times New Roman" w:hAnsi="Times New Roman"/>
          <w:b/>
          <w:bCs/>
          <w:sz w:val="24"/>
          <w:szCs w:val="24"/>
          <w:lang w:eastAsia="sk-SK"/>
        </w:rPr>
      </w:pPr>
    </w:p>
    <w:p w14:paraId="02E53832" w14:textId="07804958" w:rsidR="00BD372F" w:rsidRPr="00BD372F" w:rsidRDefault="00BD372F" w:rsidP="00BD372F">
      <w:pPr>
        <w:rPr>
          <w:rFonts w:ascii="Times New Roman" w:hAnsi="Times New Roman"/>
          <w:b/>
          <w:bCs/>
          <w:sz w:val="24"/>
          <w:szCs w:val="24"/>
          <w:lang w:eastAsia="sk-SK"/>
        </w:rPr>
      </w:pPr>
      <w:r w:rsidRPr="00BD372F">
        <w:rPr>
          <w:rFonts w:ascii="Times New Roman" w:hAnsi="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14:paraId="2EA995C8" w14:textId="77777777" w:rsidR="00BD372F" w:rsidRPr="00BD372F" w:rsidRDefault="00BD372F" w:rsidP="00BD372F">
      <w:pPr>
        <w:spacing w:after="0" w:line="240" w:lineRule="auto"/>
        <w:jc w:val="both"/>
        <w:rPr>
          <w:rFonts w:ascii="Times New Roman" w:hAnsi="Times New Roman"/>
          <w:b/>
          <w:bCs/>
          <w:sz w:val="12"/>
          <w:szCs w:val="24"/>
          <w:lang w:eastAsia="sk-SK"/>
        </w:rPr>
      </w:pPr>
    </w:p>
    <w:p w14:paraId="3AE3E2F5" w14:textId="77777777" w:rsidR="00BD372F" w:rsidRPr="00BD372F" w:rsidRDefault="00BD372F" w:rsidP="00BD372F">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Calibri" w:hAnsi="Times New Roman"/>
          <w:bCs/>
          <w:sz w:val="24"/>
          <w:szCs w:val="24"/>
          <w:lang w:eastAsia="sk-SK"/>
        </w:rPr>
      </w:pPr>
      <w:r w:rsidRPr="00BD372F">
        <w:rPr>
          <w:rFonts w:ascii="Times New Roman" w:eastAsia="Calibri" w:hAnsi="Times New Roman"/>
          <w:bCs/>
          <w:sz w:val="24"/>
          <w:szCs w:val="24"/>
          <w:lang w:eastAsia="sk-SK"/>
        </w:rPr>
        <w:t>Financovanie predmetných výdavkov na rozvoj IS ŠP je zabezpečené v rámci schválených limitov výdavkov rozpočtu verejnej správy úpravou rozpočtu kapitoly MF SR. Navrhuje sa transformovanie časti bežných výdavkov určených na výber správnych a súdnych poplatkov na kapitálové výdavky na rozvoj IT VS. Tento spôsob financovania sa v roku 2025 zabezpečí rozpočtovým opatrením podľa zákona č. 523/2004 Z. z. o rozpočtových pravidlách verejnej správy a o zmene a doplnení niektorých zákonov v znení neskorších predpisov. Cieľom návrhu zákona je v prechodnom období zaviesť duálne úhrady súdnych poplatkov a správnych poplatkov prostredníctvom technického vybavenia Štátnej pokladnice a prostredníctvom prevádzkovateľa systému (Slovenská pošta, a. s.), s cieľovým riešením úhrady súdnych poplatkov a správnych poplatkov len prostredníctvom technického vybavenia Štátnej pokladnice.</w:t>
      </w:r>
    </w:p>
    <w:p w14:paraId="53869556" w14:textId="77777777" w:rsidR="00BD372F" w:rsidRPr="00BD372F" w:rsidRDefault="00BD372F" w:rsidP="00BD372F">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Calibri" w:hAnsi="Times New Roman"/>
          <w:bCs/>
          <w:sz w:val="24"/>
          <w:szCs w:val="24"/>
          <w:lang w:eastAsia="sk-SK"/>
        </w:rPr>
      </w:pPr>
    </w:p>
    <w:p w14:paraId="6D1BF741" w14:textId="77777777" w:rsidR="00BD372F" w:rsidRPr="00BD372F" w:rsidRDefault="00BD372F" w:rsidP="00BD372F">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Calibri" w:hAnsi="Times New Roman"/>
          <w:bCs/>
          <w:sz w:val="24"/>
          <w:szCs w:val="24"/>
          <w:lang w:eastAsia="sk-SK"/>
        </w:rPr>
      </w:pPr>
      <w:r w:rsidRPr="00BD372F">
        <w:rPr>
          <w:rFonts w:ascii="Times New Roman" w:eastAsia="Calibri" w:hAnsi="Times New Roman"/>
          <w:bCs/>
          <w:sz w:val="24"/>
          <w:szCs w:val="24"/>
          <w:lang w:eastAsia="sk-SK"/>
        </w:rPr>
        <w:t>Pokiaľ ide o finančné zabezpečenie výkonu vládneho auditu Úradom vládneho auditu na správnych orgánoch v súvislosti s úpravou § 15 novelizačného článku II a novelizačného článku IV, navrhuje sa presun bežných výdavkov v rámci rozpočtovej kapitoly Ministerstva financií SR, a to z rozpočtu finančnej správy na Úrad vládneho auditu. Zvýšenie bežných výdavkov Úradu vládneho auditu v tabuľke č. 1/A v sume 92 520 eur v roku 2026, 89 520 eur v roku 2027 a 89 520 eur v roku 2028 (ako aj v ďalších rokoch neuvedených v rozpočtovom výhľade) súvisí s presunom dvoch zamestnancov z finančnej správy na plnenie kompetencie auditu včasnosti a úplnosti platenia súdnych poplatkov a správnych poplatkov. Pre túto kompetenciu sa vyčleňujú náklady pre dve osoby, ktoré sa budú celoročne venovať iba auditom poplatkov. Celková ročná kapacita je teda vyjadrená 2 FTE (full-time equivalent), čo predstavuje približne 400 – 420 netto človekodní alokovateľných na predmetnú činnosť vládneho auditu. Celkový počet správnych orgánov, súdov, orgánov štátnej správy súdov a prokuratúry, ktoré budú po legislatívnej zmene podliehať vládnemu auditu je 691 (vyjadrené na úroveň adries jednotlivých miest v centrálnej evidencii).</w:t>
      </w:r>
    </w:p>
    <w:p w14:paraId="64E971D8" w14:textId="77777777" w:rsidR="00BD372F" w:rsidRPr="00BD372F" w:rsidRDefault="00BD372F" w:rsidP="00BD372F">
      <w:pPr>
        <w:spacing w:after="0" w:line="240" w:lineRule="auto"/>
        <w:rPr>
          <w:rFonts w:ascii="Times New Roman" w:hAnsi="Times New Roman"/>
          <w:b/>
          <w:bCs/>
          <w:sz w:val="24"/>
          <w:szCs w:val="24"/>
          <w:lang w:eastAsia="sk-SK"/>
        </w:rPr>
      </w:pPr>
    </w:p>
    <w:p w14:paraId="6AC167C6" w14:textId="77777777" w:rsidR="00BD372F" w:rsidRPr="00BD372F" w:rsidRDefault="00BD372F" w:rsidP="00BD372F">
      <w:pPr>
        <w:spacing w:after="0" w:line="240" w:lineRule="auto"/>
        <w:rPr>
          <w:rFonts w:ascii="Times New Roman" w:hAnsi="Times New Roman"/>
          <w:b/>
          <w:bCs/>
          <w:sz w:val="24"/>
          <w:szCs w:val="24"/>
          <w:lang w:eastAsia="sk-SK"/>
        </w:rPr>
      </w:pPr>
      <w:r w:rsidRPr="00BD372F">
        <w:rPr>
          <w:rFonts w:ascii="Times New Roman" w:hAnsi="Times New Roman"/>
          <w:b/>
          <w:bCs/>
          <w:sz w:val="24"/>
          <w:szCs w:val="24"/>
          <w:lang w:eastAsia="sk-SK"/>
        </w:rPr>
        <w:t>2.2. Popis a charakteristika návrhu</w:t>
      </w:r>
    </w:p>
    <w:p w14:paraId="18B6FDE2" w14:textId="77777777" w:rsidR="00BD372F" w:rsidRPr="00BD372F" w:rsidRDefault="00BD372F" w:rsidP="00BD372F">
      <w:pPr>
        <w:spacing w:after="0" w:line="240" w:lineRule="auto"/>
        <w:rPr>
          <w:rFonts w:ascii="Times New Roman" w:hAnsi="Times New Roman"/>
          <w:sz w:val="24"/>
          <w:szCs w:val="24"/>
          <w:lang w:eastAsia="sk-SK"/>
        </w:rPr>
      </w:pPr>
    </w:p>
    <w:p w14:paraId="3F36909B" w14:textId="77777777" w:rsidR="00BD372F" w:rsidRPr="00BD372F" w:rsidRDefault="00BD372F" w:rsidP="00BD372F">
      <w:pPr>
        <w:spacing w:after="0" w:line="240" w:lineRule="auto"/>
        <w:jc w:val="both"/>
        <w:rPr>
          <w:rFonts w:ascii="Times New Roman" w:hAnsi="Times New Roman"/>
          <w:b/>
          <w:bCs/>
          <w:sz w:val="24"/>
          <w:szCs w:val="24"/>
          <w:lang w:eastAsia="sk-SK"/>
        </w:rPr>
      </w:pPr>
      <w:r w:rsidRPr="00BD372F">
        <w:rPr>
          <w:rFonts w:ascii="Times New Roman" w:hAnsi="Times New Roman"/>
          <w:b/>
          <w:bCs/>
          <w:sz w:val="24"/>
          <w:szCs w:val="24"/>
          <w:lang w:eastAsia="sk-SK"/>
        </w:rPr>
        <w:t>2.2.1. Popis návrhu:</w:t>
      </w:r>
    </w:p>
    <w:p w14:paraId="2B566B6B" w14:textId="77777777" w:rsidR="00BD372F" w:rsidRPr="00BD372F" w:rsidRDefault="00BD372F" w:rsidP="00BD372F">
      <w:pPr>
        <w:spacing w:after="0" w:line="240" w:lineRule="auto"/>
        <w:jc w:val="both"/>
        <w:rPr>
          <w:rFonts w:ascii="Times New Roman" w:hAnsi="Times New Roman"/>
          <w:b/>
          <w:bCs/>
          <w:sz w:val="24"/>
          <w:szCs w:val="24"/>
          <w:lang w:eastAsia="sk-SK"/>
        </w:rPr>
      </w:pPr>
    </w:p>
    <w:p w14:paraId="2D63AAEF" w14:textId="77777777" w:rsidR="00BD372F" w:rsidRPr="00BD372F" w:rsidRDefault="00BD372F" w:rsidP="00BD372F">
      <w:pPr>
        <w:spacing w:after="0" w:line="240" w:lineRule="auto"/>
        <w:jc w:val="both"/>
        <w:rPr>
          <w:rFonts w:ascii="Times New Roman" w:hAnsi="Times New Roman"/>
          <w:sz w:val="24"/>
          <w:szCs w:val="24"/>
          <w:lang w:eastAsia="sk-SK"/>
        </w:rPr>
      </w:pPr>
      <w:r w:rsidRPr="00BD372F">
        <w:rPr>
          <w:rFonts w:ascii="Times New Roman" w:hAnsi="Times New Roman"/>
          <w:sz w:val="24"/>
          <w:szCs w:val="24"/>
          <w:lang w:eastAsia="sk-SK"/>
        </w:rPr>
        <w:t>Akú problematiku návrh rieši? Kto bude návrh implementovať? Kde sa budú služby poskytovať?</w:t>
      </w:r>
    </w:p>
    <w:p w14:paraId="63A15C1A" w14:textId="77777777" w:rsidR="00BD372F" w:rsidRPr="00BD372F" w:rsidRDefault="00BD372F" w:rsidP="00BD372F">
      <w:pPr>
        <w:spacing w:after="0" w:line="240" w:lineRule="auto"/>
        <w:rPr>
          <w:rFonts w:ascii="Times New Roman" w:hAnsi="Times New Roman"/>
          <w:sz w:val="24"/>
          <w:szCs w:val="24"/>
          <w:lang w:eastAsia="sk-SK"/>
        </w:rPr>
      </w:pPr>
    </w:p>
    <w:p w14:paraId="40574403" w14:textId="77777777" w:rsidR="00BD372F" w:rsidRPr="00BD372F" w:rsidRDefault="00BD372F" w:rsidP="00BD372F">
      <w:pPr>
        <w:spacing w:after="0" w:line="240" w:lineRule="auto"/>
        <w:jc w:val="both"/>
        <w:rPr>
          <w:rFonts w:ascii="Times New Roman" w:hAnsi="Times New Roman"/>
          <w:sz w:val="24"/>
          <w:szCs w:val="24"/>
          <w:lang w:eastAsia="sk-SK"/>
        </w:rPr>
      </w:pPr>
      <w:r w:rsidRPr="00BD372F">
        <w:rPr>
          <w:rFonts w:ascii="Times New Roman" w:hAnsi="Times New Roman"/>
          <w:sz w:val="24"/>
          <w:szCs w:val="24"/>
          <w:lang w:eastAsia="sk-SK"/>
        </w:rPr>
        <w:t>Návrh predpokladá kapitálové výdavky do rozvoja IT - funkčného rozšírenia informačného systému pre systém Štátnej pokladnice o vytvorenie centrálneho systému evidencie poplatkov Štátnej pokladnice.</w:t>
      </w:r>
    </w:p>
    <w:p w14:paraId="6ED8F683" w14:textId="77777777"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sz w:val="24"/>
          <w:szCs w:val="24"/>
          <w:lang w:eastAsia="sk-SK"/>
        </w:rPr>
        <w:t>.......................................................................................................................................................</w:t>
      </w:r>
    </w:p>
    <w:p w14:paraId="1475EE1D" w14:textId="77777777" w:rsidR="00BD372F" w:rsidRPr="00BD372F" w:rsidRDefault="00BD372F" w:rsidP="00BD372F">
      <w:pPr>
        <w:spacing w:after="0" w:line="240" w:lineRule="auto"/>
        <w:rPr>
          <w:rFonts w:ascii="Times New Roman" w:hAnsi="Times New Roman"/>
          <w:sz w:val="24"/>
          <w:szCs w:val="24"/>
          <w:lang w:eastAsia="sk-SK"/>
        </w:rPr>
      </w:pPr>
    </w:p>
    <w:p w14:paraId="0B3C7F04" w14:textId="77777777" w:rsidR="00BD372F" w:rsidRPr="00BD372F" w:rsidRDefault="00BD372F" w:rsidP="00BD372F">
      <w:pPr>
        <w:spacing w:after="0" w:line="240" w:lineRule="auto"/>
        <w:rPr>
          <w:rFonts w:ascii="Times New Roman" w:hAnsi="Times New Roman"/>
          <w:b/>
          <w:bCs/>
          <w:sz w:val="24"/>
          <w:szCs w:val="24"/>
          <w:lang w:eastAsia="sk-SK"/>
        </w:rPr>
      </w:pPr>
      <w:r w:rsidRPr="00BD372F">
        <w:rPr>
          <w:rFonts w:ascii="Times New Roman" w:hAnsi="Times New Roman"/>
          <w:b/>
          <w:bCs/>
          <w:sz w:val="24"/>
          <w:szCs w:val="24"/>
          <w:lang w:eastAsia="sk-SK"/>
        </w:rPr>
        <w:t>2.2.2. Charakteristika návrhu:</w:t>
      </w:r>
    </w:p>
    <w:p w14:paraId="2AE183F0" w14:textId="77777777" w:rsidR="00BD372F" w:rsidRPr="00BD372F" w:rsidRDefault="00BD372F" w:rsidP="00BD372F">
      <w:pPr>
        <w:spacing w:after="0" w:line="240" w:lineRule="auto"/>
        <w:rPr>
          <w:rFonts w:ascii="Times New Roman" w:hAnsi="Times New Roman"/>
          <w:sz w:val="24"/>
          <w:szCs w:val="24"/>
          <w:lang w:eastAsia="sk-SK"/>
        </w:rPr>
      </w:pPr>
    </w:p>
    <w:p w14:paraId="288F4C9B" w14:textId="77777777"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b/>
          <w:sz w:val="24"/>
          <w:szCs w:val="24"/>
          <w:bdr w:val="single" w:sz="4" w:space="0" w:color="auto"/>
          <w:lang w:eastAsia="sk-SK"/>
        </w:rPr>
        <w:t xml:space="preserve">     </w:t>
      </w:r>
      <w:r w:rsidRPr="00BD372F">
        <w:rPr>
          <w:rFonts w:ascii="Times New Roman" w:hAnsi="Times New Roman"/>
          <w:b/>
          <w:sz w:val="24"/>
          <w:szCs w:val="24"/>
          <w:lang w:eastAsia="sk-SK"/>
        </w:rPr>
        <w:t xml:space="preserve">  </w:t>
      </w:r>
      <w:r w:rsidRPr="00BD372F">
        <w:rPr>
          <w:rFonts w:ascii="Times New Roman" w:hAnsi="Times New Roman"/>
          <w:sz w:val="24"/>
          <w:szCs w:val="24"/>
          <w:lang w:eastAsia="sk-SK"/>
        </w:rPr>
        <w:t>zmena sadzby</w:t>
      </w:r>
    </w:p>
    <w:p w14:paraId="1C7A958D" w14:textId="77777777"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sz w:val="24"/>
          <w:szCs w:val="24"/>
          <w:bdr w:val="single" w:sz="4" w:space="0" w:color="auto"/>
          <w:lang w:eastAsia="sk-SK"/>
        </w:rPr>
        <w:t xml:space="preserve">     </w:t>
      </w:r>
      <w:r w:rsidRPr="00BD372F">
        <w:rPr>
          <w:rFonts w:ascii="Times New Roman" w:hAnsi="Times New Roman"/>
          <w:sz w:val="24"/>
          <w:szCs w:val="24"/>
          <w:lang w:eastAsia="sk-SK"/>
        </w:rPr>
        <w:t xml:space="preserve">  zmena v nároku</w:t>
      </w:r>
    </w:p>
    <w:p w14:paraId="25C80164" w14:textId="77777777"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sz w:val="24"/>
          <w:szCs w:val="24"/>
          <w:bdr w:val="single" w:sz="4" w:space="0" w:color="auto"/>
          <w:lang w:eastAsia="sk-SK"/>
        </w:rPr>
        <w:t xml:space="preserve">     </w:t>
      </w:r>
      <w:r w:rsidRPr="00BD372F">
        <w:rPr>
          <w:rFonts w:ascii="Times New Roman" w:hAnsi="Times New Roman"/>
          <w:sz w:val="24"/>
          <w:szCs w:val="24"/>
          <w:lang w:eastAsia="sk-SK"/>
        </w:rPr>
        <w:t xml:space="preserve">  nová služba alebo nariadenie (alebo ich zrušenie)</w:t>
      </w:r>
    </w:p>
    <w:p w14:paraId="04EA1187" w14:textId="77777777"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sz w:val="24"/>
          <w:szCs w:val="24"/>
          <w:bdr w:val="single" w:sz="4" w:space="0" w:color="auto"/>
          <w:lang w:eastAsia="sk-SK"/>
        </w:rPr>
        <w:t xml:space="preserve"> X </w:t>
      </w:r>
      <w:r w:rsidRPr="00BD372F">
        <w:rPr>
          <w:rFonts w:ascii="Times New Roman" w:hAnsi="Times New Roman"/>
          <w:sz w:val="24"/>
          <w:szCs w:val="24"/>
          <w:lang w:eastAsia="sk-SK"/>
        </w:rPr>
        <w:t xml:space="preserve">  kombinovaný návrh</w:t>
      </w:r>
    </w:p>
    <w:p w14:paraId="22AF245D" w14:textId="77777777"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sz w:val="24"/>
          <w:szCs w:val="24"/>
          <w:bdr w:val="single" w:sz="4" w:space="0" w:color="auto"/>
          <w:lang w:eastAsia="sk-SK"/>
        </w:rPr>
        <w:t xml:space="preserve">     </w:t>
      </w:r>
      <w:r w:rsidRPr="00BD372F">
        <w:rPr>
          <w:rFonts w:ascii="Times New Roman" w:hAnsi="Times New Roman"/>
          <w:sz w:val="24"/>
          <w:szCs w:val="24"/>
          <w:lang w:eastAsia="sk-SK"/>
        </w:rPr>
        <w:t xml:space="preserve">  iné </w:t>
      </w:r>
    </w:p>
    <w:p w14:paraId="3412BFBB" w14:textId="77777777" w:rsidR="00BD372F" w:rsidRPr="00BD372F" w:rsidRDefault="00BD372F" w:rsidP="00BD372F">
      <w:pPr>
        <w:spacing w:after="0" w:line="240" w:lineRule="auto"/>
        <w:rPr>
          <w:rFonts w:ascii="Times New Roman" w:hAnsi="Times New Roman"/>
          <w:sz w:val="24"/>
          <w:szCs w:val="24"/>
          <w:lang w:eastAsia="sk-SK"/>
        </w:rPr>
      </w:pPr>
    </w:p>
    <w:p w14:paraId="4E522866" w14:textId="77777777" w:rsidR="00BD372F" w:rsidRPr="00BD372F" w:rsidRDefault="00BD372F" w:rsidP="00BD372F">
      <w:pPr>
        <w:spacing w:after="0" w:line="240" w:lineRule="auto"/>
        <w:rPr>
          <w:rFonts w:ascii="Times New Roman" w:hAnsi="Times New Roman"/>
          <w:sz w:val="24"/>
          <w:szCs w:val="24"/>
          <w:lang w:eastAsia="sk-SK"/>
        </w:rPr>
      </w:pPr>
    </w:p>
    <w:p w14:paraId="40E4A520" w14:textId="77777777"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b/>
          <w:bCs/>
          <w:sz w:val="24"/>
          <w:szCs w:val="24"/>
          <w:lang w:eastAsia="sk-SK"/>
        </w:rPr>
        <w:t>2.2.3. Predpoklady vývoja objemu aktivít:</w:t>
      </w:r>
    </w:p>
    <w:p w14:paraId="1E9F8ED3" w14:textId="77777777" w:rsidR="00BD372F" w:rsidRPr="00BD372F" w:rsidRDefault="00BD372F" w:rsidP="00BD372F">
      <w:pPr>
        <w:spacing w:after="0" w:line="240" w:lineRule="auto"/>
        <w:rPr>
          <w:rFonts w:ascii="Times New Roman" w:hAnsi="Times New Roman"/>
          <w:sz w:val="24"/>
          <w:szCs w:val="24"/>
          <w:lang w:eastAsia="sk-SK"/>
        </w:rPr>
      </w:pPr>
    </w:p>
    <w:p w14:paraId="6A36F217" w14:textId="77777777" w:rsidR="00BD372F" w:rsidRPr="00BD372F" w:rsidRDefault="00BD372F" w:rsidP="00BD372F">
      <w:pPr>
        <w:spacing w:after="0" w:line="240" w:lineRule="auto"/>
        <w:jc w:val="both"/>
        <w:rPr>
          <w:rFonts w:ascii="Times New Roman" w:hAnsi="Times New Roman"/>
          <w:sz w:val="24"/>
          <w:szCs w:val="24"/>
          <w:lang w:eastAsia="sk-SK"/>
        </w:rPr>
      </w:pPr>
      <w:r w:rsidRPr="00BD372F">
        <w:rPr>
          <w:rFonts w:ascii="Times New Roman" w:hAnsi="Times New Roman"/>
          <w:sz w:val="24"/>
          <w:szCs w:val="24"/>
          <w:lang w:eastAsia="sk-SK"/>
        </w:rPr>
        <w:t>Jasne popíšte, v prípade potreby použite nižšie uvedenú tabuľku. Uveďte aj odhady základov daní a/alebo poplatkov, ak sa ich táto zmena týka.</w:t>
      </w:r>
    </w:p>
    <w:p w14:paraId="58F25A75" w14:textId="77777777" w:rsidR="00BD372F" w:rsidRPr="00BD372F" w:rsidRDefault="00BD372F" w:rsidP="00BD372F">
      <w:pPr>
        <w:spacing w:after="0" w:line="240" w:lineRule="auto"/>
        <w:jc w:val="right"/>
        <w:rPr>
          <w:rFonts w:ascii="Times New Roman" w:hAnsi="Times New Roman"/>
          <w:sz w:val="20"/>
          <w:szCs w:val="20"/>
          <w:lang w:eastAsia="sk-SK"/>
        </w:rPr>
      </w:pPr>
      <w:r w:rsidRPr="00BD372F">
        <w:rPr>
          <w:rFonts w:ascii="Times New Roman" w:hAnsi="Times New Roman"/>
          <w:sz w:val="20"/>
          <w:szCs w:val="20"/>
          <w:lang w:eastAsia="sk-SK"/>
        </w:rPr>
        <w:t xml:space="preserve">Tabuľka č. 2 </w:t>
      </w:r>
    </w:p>
    <w:tbl>
      <w:tblPr>
        <w:tblW w:w="977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2"/>
        <w:gridCol w:w="733"/>
        <w:gridCol w:w="844"/>
        <w:gridCol w:w="851"/>
        <w:gridCol w:w="992"/>
        <w:gridCol w:w="850"/>
        <w:gridCol w:w="851"/>
        <w:gridCol w:w="850"/>
        <w:gridCol w:w="851"/>
        <w:gridCol w:w="850"/>
        <w:gridCol w:w="851"/>
      </w:tblGrid>
      <w:tr w:rsidR="00BD372F" w:rsidRPr="00BD372F" w14:paraId="64723736" w14:textId="77777777" w:rsidTr="00BD372F">
        <w:trPr>
          <w:cantSplit/>
          <w:trHeight w:val="70"/>
        </w:trPr>
        <w:tc>
          <w:tcPr>
            <w:tcW w:w="9775" w:type="dxa"/>
            <w:gridSpan w:val="11"/>
            <w:shd w:val="clear" w:color="auto" w:fill="BFBFBF"/>
          </w:tcPr>
          <w:p w14:paraId="64852F3E" w14:textId="77777777" w:rsidR="00BD372F" w:rsidRPr="00BD372F" w:rsidRDefault="00BD372F" w:rsidP="00BD372F">
            <w:pPr>
              <w:autoSpaceDE w:val="0"/>
              <w:autoSpaceDN w:val="0"/>
              <w:adjustRightInd w:val="0"/>
              <w:spacing w:after="0" w:line="240" w:lineRule="auto"/>
              <w:rPr>
                <w:rFonts w:ascii="Times New Roman" w:hAnsi="Times New Roman"/>
                <w:b/>
                <w:bCs/>
                <w:sz w:val="24"/>
                <w:szCs w:val="24"/>
                <w:lang w:eastAsia="sk-SK"/>
              </w:rPr>
            </w:pPr>
            <w:r w:rsidRPr="00BD372F">
              <w:rPr>
                <w:rFonts w:ascii="Times New Roman" w:hAnsi="Times New Roman"/>
                <w:b/>
                <w:bCs/>
                <w:sz w:val="24"/>
                <w:szCs w:val="24"/>
                <w:lang w:eastAsia="sk-SK"/>
              </w:rPr>
              <w:t>Odhadované výdavky v spojitosti so zabezpečením centrálnej evidencie poplatkov</w:t>
            </w:r>
          </w:p>
        </w:tc>
      </w:tr>
      <w:tr w:rsidR="00BD372F" w:rsidRPr="00BD372F" w14:paraId="17C83A09" w14:textId="77777777" w:rsidTr="00BD372F">
        <w:trPr>
          <w:cantSplit/>
          <w:trHeight w:val="70"/>
        </w:trPr>
        <w:tc>
          <w:tcPr>
            <w:tcW w:w="1252" w:type="dxa"/>
            <w:tcBorders>
              <w:bottom w:val="single" w:sz="4" w:space="0" w:color="auto"/>
            </w:tcBorders>
            <w:shd w:val="clear" w:color="auto" w:fill="BFBFBF"/>
          </w:tcPr>
          <w:p w14:paraId="0CBCFCB8" w14:textId="77777777" w:rsidR="00BD372F" w:rsidRPr="00BD372F" w:rsidRDefault="00BD372F" w:rsidP="00BD372F">
            <w:pPr>
              <w:autoSpaceDE w:val="0"/>
              <w:autoSpaceDN w:val="0"/>
              <w:adjustRightInd w:val="0"/>
              <w:spacing w:after="0" w:line="240" w:lineRule="auto"/>
              <w:jc w:val="center"/>
              <w:rPr>
                <w:rFonts w:ascii="Times New Roman" w:hAnsi="Times New Roman"/>
                <w:b/>
                <w:bCs/>
                <w:sz w:val="20"/>
                <w:szCs w:val="20"/>
                <w:lang w:eastAsia="sk-SK"/>
              </w:rPr>
            </w:pPr>
          </w:p>
        </w:tc>
        <w:tc>
          <w:tcPr>
            <w:tcW w:w="733" w:type="dxa"/>
            <w:tcBorders>
              <w:bottom w:val="single" w:sz="4" w:space="0" w:color="auto"/>
            </w:tcBorders>
            <w:shd w:val="clear" w:color="auto" w:fill="BFBFBF"/>
            <w:vAlign w:val="center"/>
          </w:tcPr>
          <w:p w14:paraId="4937DA1D" w14:textId="77777777" w:rsidR="00BD372F" w:rsidRPr="00BD372F" w:rsidRDefault="00BD372F" w:rsidP="00BD372F">
            <w:pPr>
              <w:autoSpaceDE w:val="0"/>
              <w:autoSpaceDN w:val="0"/>
              <w:adjustRightInd w:val="0"/>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2025</w:t>
            </w:r>
          </w:p>
        </w:tc>
        <w:tc>
          <w:tcPr>
            <w:tcW w:w="844" w:type="dxa"/>
            <w:tcBorders>
              <w:bottom w:val="single" w:sz="4" w:space="0" w:color="auto"/>
            </w:tcBorders>
            <w:shd w:val="clear" w:color="auto" w:fill="BFBFBF"/>
            <w:vAlign w:val="center"/>
          </w:tcPr>
          <w:p w14:paraId="7EB75802" w14:textId="77777777" w:rsidR="00BD372F" w:rsidRPr="00BD372F" w:rsidRDefault="00BD372F" w:rsidP="00BD372F">
            <w:pPr>
              <w:autoSpaceDE w:val="0"/>
              <w:autoSpaceDN w:val="0"/>
              <w:adjustRightInd w:val="0"/>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2026</w:t>
            </w:r>
          </w:p>
        </w:tc>
        <w:tc>
          <w:tcPr>
            <w:tcW w:w="851" w:type="dxa"/>
            <w:tcBorders>
              <w:bottom w:val="single" w:sz="4" w:space="0" w:color="auto"/>
            </w:tcBorders>
            <w:shd w:val="clear" w:color="auto" w:fill="BFBFBF"/>
            <w:vAlign w:val="center"/>
          </w:tcPr>
          <w:p w14:paraId="5AB83DE2" w14:textId="77777777" w:rsidR="00BD372F" w:rsidRPr="00BD372F" w:rsidRDefault="00BD372F" w:rsidP="00BD372F">
            <w:pPr>
              <w:autoSpaceDE w:val="0"/>
              <w:autoSpaceDN w:val="0"/>
              <w:adjustRightInd w:val="0"/>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2027</w:t>
            </w:r>
          </w:p>
        </w:tc>
        <w:tc>
          <w:tcPr>
            <w:tcW w:w="992" w:type="dxa"/>
            <w:tcBorders>
              <w:bottom w:val="single" w:sz="4" w:space="0" w:color="auto"/>
            </w:tcBorders>
            <w:shd w:val="clear" w:color="auto" w:fill="BFBFBF"/>
          </w:tcPr>
          <w:p w14:paraId="692AFC5D" w14:textId="77777777" w:rsidR="00BD372F" w:rsidRPr="00BD372F" w:rsidRDefault="00BD372F" w:rsidP="00BD372F">
            <w:pPr>
              <w:autoSpaceDE w:val="0"/>
              <w:autoSpaceDN w:val="0"/>
              <w:adjustRightInd w:val="0"/>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2028</w:t>
            </w:r>
          </w:p>
        </w:tc>
        <w:tc>
          <w:tcPr>
            <w:tcW w:w="850" w:type="dxa"/>
            <w:tcBorders>
              <w:bottom w:val="single" w:sz="4" w:space="0" w:color="auto"/>
            </w:tcBorders>
            <w:shd w:val="clear" w:color="auto" w:fill="BFBFBF"/>
          </w:tcPr>
          <w:p w14:paraId="31205FE4" w14:textId="77777777" w:rsidR="00BD372F" w:rsidRPr="00BD372F" w:rsidRDefault="00BD372F" w:rsidP="00BD372F">
            <w:pPr>
              <w:autoSpaceDE w:val="0"/>
              <w:autoSpaceDN w:val="0"/>
              <w:adjustRightInd w:val="0"/>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2029</w:t>
            </w:r>
          </w:p>
        </w:tc>
        <w:tc>
          <w:tcPr>
            <w:tcW w:w="851" w:type="dxa"/>
            <w:tcBorders>
              <w:bottom w:val="single" w:sz="4" w:space="0" w:color="auto"/>
            </w:tcBorders>
            <w:shd w:val="clear" w:color="auto" w:fill="BFBFBF"/>
          </w:tcPr>
          <w:p w14:paraId="420B7B14" w14:textId="77777777" w:rsidR="00BD372F" w:rsidRPr="00BD372F" w:rsidRDefault="00BD372F" w:rsidP="00BD372F">
            <w:pPr>
              <w:autoSpaceDE w:val="0"/>
              <w:autoSpaceDN w:val="0"/>
              <w:adjustRightInd w:val="0"/>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2030</w:t>
            </w:r>
          </w:p>
        </w:tc>
        <w:tc>
          <w:tcPr>
            <w:tcW w:w="850" w:type="dxa"/>
            <w:tcBorders>
              <w:bottom w:val="single" w:sz="4" w:space="0" w:color="auto"/>
            </w:tcBorders>
            <w:shd w:val="clear" w:color="auto" w:fill="BFBFBF"/>
          </w:tcPr>
          <w:p w14:paraId="4D7D9285" w14:textId="77777777" w:rsidR="00BD372F" w:rsidRPr="00BD372F" w:rsidRDefault="00BD372F" w:rsidP="00BD372F">
            <w:pPr>
              <w:autoSpaceDE w:val="0"/>
              <w:autoSpaceDN w:val="0"/>
              <w:adjustRightInd w:val="0"/>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2031</w:t>
            </w:r>
          </w:p>
        </w:tc>
        <w:tc>
          <w:tcPr>
            <w:tcW w:w="851" w:type="dxa"/>
            <w:tcBorders>
              <w:bottom w:val="single" w:sz="4" w:space="0" w:color="auto"/>
            </w:tcBorders>
            <w:shd w:val="clear" w:color="auto" w:fill="BFBFBF"/>
          </w:tcPr>
          <w:p w14:paraId="656AD381" w14:textId="77777777" w:rsidR="00BD372F" w:rsidRPr="00BD372F" w:rsidRDefault="00BD372F" w:rsidP="00BD372F">
            <w:pPr>
              <w:autoSpaceDE w:val="0"/>
              <w:autoSpaceDN w:val="0"/>
              <w:adjustRightInd w:val="0"/>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2032</w:t>
            </w:r>
          </w:p>
        </w:tc>
        <w:tc>
          <w:tcPr>
            <w:tcW w:w="850" w:type="dxa"/>
            <w:tcBorders>
              <w:bottom w:val="single" w:sz="4" w:space="0" w:color="auto"/>
            </w:tcBorders>
            <w:shd w:val="clear" w:color="auto" w:fill="BFBFBF"/>
          </w:tcPr>
          <w:p w14:paraId="4E40D7E0" w14:textId="77777777" w:rsidR="00BD372F" w:rsidRPr="00BD372F" w:rsidRDefault="00BD372F" w:rsidP="00BD372F">
            <w:pPr>
              <w:autoSpaceDE w:val="0"/>
              <w:autoSpaceDN w:val="0"/>
              <w:adjustRightInd w:val="0"/>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2033</w:t>
            </w:r>
          </w:p>
        </w:tc>
        <w:tc>
          <w:tcPr>
            <w:tcW w:w="851" w:type="dxa"/>
            <w:tcBorders>
              <w:bottom w:val="single" w:sz="4" w:space="0" w:color="auto"/>
            </w:tcBorders>
            <w:shd w:val="clear" w:color="auto" w:fill="BFBFBF"/>
          </w:tcPr>
          <w:p w14:paraId="28A68850" w14:textId="77777777" w:rsidR="00BD372F" w:rsidRPr="00BD372F" w:rsidRDefault="00BD372F" w:rsidP="00BD372F">
            <w:pPr>
              <w:autoSpaceDE w:val="0"/>
              <w:autoSpaceDN w:val="0"/>
              <w:adjustRightInd w:val="0"/>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2034</w:t>
            </w:r>
          </w:p>
        </w:tc>
      </w:tr>
      <w:tr w:rsidR="00BD372F" w:rsidRPr="00BD372F" w14:paraId="0651EB2B" w14:textId="77777777" w:rsidTr="00154BAB">
        <w:trPr>
          <w:cantSplit/>
          <w:trHeight w:val="70"/>
        </w:trPr>
        <w:tc>
          <w:tcPr>
            <w:tcW w:w="1252" w:type="dxa"/>
          </w:tcPr>
          <w:p w14:paraId="77671DFE" w14:textId="77777777" w:rsidR="00BD372F" w:rsidRPr="00BD372F" w:rsidRDefault="00BD372F" w:rsidP="00BD372F">
            <w:pPr>
              <w:spacing w:after="0" w:line="240" w:lineRule="auto"/>
              <w:jc w:val="center"/>
              <w:rPr>
                <w:bCs/>
                <w:sz w:val="14"/>
                <w:szCs w:val="14"/>
                <w:lang w:eastAsia="sk-SK"/>
              </w:rPr>
            </w:pPr>
            <w:r w:rsidRPr="00BD372F">
              <w:rPr>
                <w:bCs/>
                <w:sz w:val="14"/>
                <w:szCs w:val="14"/>
                <w:lang w:eastAsia="sk-SK"/>
              </w:rPr>
              <w:t>bežné</w:t>
            </w:r>
          </w:p>
          <w:p w14:paraId="49F6985A" w14:textId="77777777" w:rsidR="00BD372F" w:rsidRPr="00BD372F" w:rsidRDefault="00BD372F" w:rsidP="00BD372F">
            <w:pPr>
              <w:spacing w:after="0" w:line="240" w:lineRule="auto"/>
              <w:jc w:val="center"/>
              <w:rPr>
                <w:bCs/>
                <w:sz w:val="14"/>
                <w:szCs w:val="14"/>
                <w:lang w:eastAsia="sk-SK"/>
              </w:rPr>
            </w:pPr>
            <w:r w:rsidRPr="00BD372F">
              <w:rPr>
                <w:bCs/>
                <w:sz w:val="14"/>
                <w:szCs w:val="14"/>
                <w:lang w:eastAsia="sk-SK"/>
              </w:rPr>
              <w:t>výdavky ŠP</w:t>
            </w:r>
          </w:p>
        </w:tc>
        <w:tc>
          <w:tcPr>
            <w:tcW w:w="733" w:type="dxa"/>
            <w:vAlign w:val="center"/>
          </w:tcPr>
          <w:p w14:paraId="143F90EF" w14:textId="77777777" w:rsidR="00BD372F" w:rsidRPr="00BD372F" w:rsidRDefault="00BD372F" w:rsidP="00BD372F">
            <w:pPr>
              <w:spacing w:after="0" w:line="240" w:lineRule="auto"/>
              <w:jc w:val="right"/>
              <w:rPr>
                <w:bCs/>
                <w:sz w:val="14"/>
                <w:szCs w:val="14"/>
                <w:lang w:eastAsia="sk-SK"/>
              </w:rPr>
            </w:pPr>
          </w:p>
        </w:tc>
        <w:tc>
          <w:tcPr>
            <w:tcW w:w="844" w:type="dxa"/>
            <w:vAlign w:val="center"/>
          </w:tcPr>
          <w:p w14:paraId="65A7EB4D" w14:textId="77777777" w:rsidR="00BD372F" w:rsidRPr="00BD372F" w:rsidRDefault="00BD372F" w:rsidP="00BD372F">
            <w:pPr>
              <w:spacing w:after="0" w:line="240" w:lineRule="auto"/>
              <w:jc w:val="right"/>
              <w:rPr>
                <w:bCs/>
                <w:sz w:val="14"/>
                <w:szCs w:val="14"/>
                <w:lang w:eastAsia="sk-SK"/>
              </w:rPr>
            </w:pPr>
          </w:p>
        </w:tc>
        <w:tc>
          <w:tcPr>
            <w:tcW w:w="851" w:type="dxa"/>
            <w:vAlign w:val="center"/>
          </w:tcPr>
          <w:p w14:paraId="75FAD7F0" w14:textId="77777777" w:rsidR="00BD372F" w:rsidRPr="00BD372F" w:rsidRDefault="00BD372F" w:rsidP="00BD372F">
            <w:pPr>
              <w:spacing w:after="0" w:line="240" w:lineRule="auto"/>
              <w:jc w:val="right"/>
              <w:rPr>
                <w:bCs/>
                <w:sz w:val="14"/>
                <w:szCs w:val="14"/>
                <w:lang w:eastAsia="sk-SK"/>
              </w:rPr>
            </w:pPr>
          </w:p>
        </w:tc>
        <w:tc>
          <w:tcPr>
            <w:tcW w:w="992" w:type="dxa"/>
            <w:vAlign w:val="center"/>
          </w:tcPr>
          <w:p w14:paraId="333B12C4" w14:textId="77777777" w:rsidR="00BD372F" w:rsidRPr="00BD372F" w:rsidRDefault="00BD372F" w:rsidP="00BD372F">
            <w:pPr>
              <w:spacing w:after="0" w:line="240" w:lineRule="auto"/>
              <w:jc w:val="right"/>
              <w:rPr>
                <w:bCs/>
                <w:sz w:val="14"/>
                <w:szCs w:val="14"/>
                <w:lang w:eastAsia="sk-SK"/>
              </w:rPr>
            </w:pPr>
          </w:p>
        </w:tc>
        <w:tc>
          <w:tcPr>
            <w:tcW w:w="850" w:type="dxa"/>
            <w:vAlign w:val="center"/>
          </w:tcPr>
          <w:p w14:paraId="7C4BB75A" w14:textId="77777777" w:rsidR="00BD372F" w:rsidRPr="00BD372F" w:rsidRDefault="00BD372F" w:rsidP="00BD372F">
            <w:pPr>
              <w:spacing w:after="0" w:line="240" w:lineRule="auto"/>
              <w:jc w:val="right"/>
              <w:rPr>
                <w:bCs/>
                <w:sz w:val="14"/>
                <w:szCs w:val="14"/>
                <w:lang w:eastAsia="sk-SK"/>
              </w:rPr>
            </w:pPr>
            <w:r w:rsidRPr="00BD372F">
              <w:rPr>
                <w:bCs/>
                <w:sz w:val="14"/>
                <w:szCs w:val="14"/>
                <w:lang w:eastAsia="sk-SK"/>
              </w:rPr>
              <w:t>2 178 094</w:t>
            </w:r>
          </w:p>
        </w:tc>
        <w:tc>
          <w:tcPr>
            <w:tcW w:w="851" w:type="dxa"/>
            <w:vAlign w:val="center"/>
          </w:tcPr>
          <w:p w14:paraId="7FC5E2D7" w14:textId="77777777" w:rsidR="00BD372F" w:rsidRPr="00BD372F" w:rsidRDefault="00BD372F" w:rsidP="00BD372F">
            <w:pPr>
              <w:spacing w:after="0" w:line="240" w:lineRule="auto"/>
              <w:jc w:val="right"/>
              <w:rPr>
                <w:bCs/>
                <w:sz w:val="14"/>
                <w:szCs w:val="14"/>
                <w:lang w:eastAsia="sk-SK"/>
              </w:rPr>
            </w:pPr>
            <w:r w:rsidRPr="00BD372F">
              <w:rPr>
                <w:bCs/>
                <w:sz w:val="14"/>
                <w:szCs w:val="14"/>
                <w:lang w:eastAsia="sk-SK"/>
              </w:rPr>
              <w:t xml:space="preserve">4 083 554   </w:t>
            </w:r>
          </w:p>
        </w:tc>
        <w:tc>
          <w:tcPr>
            <w:tcW w:w="850" w:type="dxa"/>
            <w:vAlign w:val="center"/>
          </w:tcPr>
          <w:p w14:paraId="659C48B7" w14:textId="77777777" w:rsidR="00BD372F" w:rsidRPr="00BD372F" w:rsidRDefault="00BD372F" w:rsidP="00BD372F">
            <w:pPr>
              <w:spacing w:after="0" w:line="240" w:lineRule="auto"/>
              <w:jc w:val="right"/>
              <w:rPr>
                <w:bCs/>
                <w:sz w:val="14"/>
                <w:szCs w:val="14"/>
                <w:lang w:eastAsia="sk-SK"/>
              </w:rPr>
            </w:pPr>
            <w:r w:rsidRPr="00BD372F">
              <w:rPr>
                <w:bCs/>
                <w:sz w:val="14"/>
                <w:szCs w:val="14"/>
                <w:lang w:eastAsia="sk-SK"/>
              </w:rPr>
              <w:t xml:space="preserve">4 083 554   </w:t>
            </w:r>
          </w:p>
        </w:tc>
        <w:tc>
          <w:tcPr>
            <w:tcW w:w="851" w:type="dxa"/>
            <w:vAlign w:val="center"/>
          </w:tcPr>
          <w:p w14:paraId="379E8300" w14:textId="77777777" w:rsidR="00BD372F" w:rsidRPr="00BD372F" w:rsidRDefault="00BD372F" w:rsidP="00BD372F">
            <w:pPr>
              <w:spacing w:after="0" w:line="240" w:lineRule="auto"/>
              <w:jc w:val="right"/>
              <w:rPr>
                <w:bCs/>
                <w:sz w:val="14"/>
                <w:szCs w:val="14"/>
                <w:lang w:eastAsia="sk-SK"/>
              </w:rPr>
            </w:pPr>
            <w:r w:rsidRPr="00BD372F">
              <w:rPr>
                <w:bCs/>
                <w:sz w:val="14"/>
                <w:szCs w:val="14"/>
                <w:lang w:eastAsia="sk-SK"/>
              </w:rPr>
              <w:t xml:space="preserve">4 083 554   </w:t>
            </w:r>
          </w:p>
        </w:tc>
        <w:tc>
          <w:tcPr>
            <w:tcW w:w="850" w:type="dxa"/>
            <w:vAlign w:val="center"/>
          </w:tcPr>
          <w:p w14:paraId="57146DC4" w14:textId="77777777" w:rsidR="00BD372F" w:rsidRPr="00BD372F" w:rsidRDefault="00BD372F" w:rsidP="00BD372F">
            <w:pPr>
              <w:spacing w:after="0" w:line="240" w:lineRule="auto"/>
              <w:jc w:val="right"/>
              <w:rPr>
                <w:bCs/>
                <w:sz w:val="14"/>
                <w:szCs w:val="14"/>
                <w:lang w:eastAsia="sk-SK"/>
              </w:rPr>
            </w:pPr>
            <w:r w:rsidRPr="00BD372F">
              <w:rPr>
                <w:bCs/>
                <w:sz w:val="14"/>
                <w:szCs w:val="14"/>
                <w:lang w:eastAsia="sk-SK"/>
              </w:rPr>
              <w:t xml:space="preserve">4 083 554   </w:t>
            </w:r>
          </w:p>
        </w:tc>
        <w:tc>
          <w:tcPr>
            <w:tcW w:w="851" w:type="dxa"/>
            <w:vAlign w:val="center"/>
          </w:tcPr>
          <w:p w14:paraId="45C3DF14" w14:textId="77777777" w:rsidR="00BD372F" w:rsidRPr="00BD372F" w:rsidRDefault="00BD372F" w:rsidP="00BD372F">
            <w:pPr>
              <w:spacing w:after="0" w:line="240" w:lineRule="auto"/>
              <w:jc w:val="right"/>
              <w:rPr>
                <w:bCs/>
                <w:sz w:val="14"/>
                <w:szCs w:val="14"/>
                <w:lang w:eastAsia="sk-SK"/>
              </w:rPr>
            </w:pPr>
            <w:r w:rsidRPr="00BD372F">
              <w:rPr>
                <w:bCs/>
                <w:sz w:val="14"/>
                <w:szCs w:val="14"/>
                <w:lang w:eastAsia="sk-SK"/>
              </w:rPr>
              <w:t xml:space="preserve">4 083 554   </w:t>
            </w:r>
          </w:p>
        </w:tc>
      </w:tr>
      <w:tr w:rsidR="00BD372F" w:rsidRPr="00BD372F" w14:paraId="5E7D7E43" w14:textId="77777777" w:rsidTr="00154BAB">
        <w:trPr>
          <w:cantSplit/>
          <w:trHeight w:val="70"/>
        </w:trPr>
        <w:tc>
          <w:tcPr>
            <w:tcW w:w="1252" w:type="dxa"/>
          </w:tcPr>
          <w:p w14:paraId="0FB78F7D" w14:textId="77777777" w:rsidR="00BD372F" w:rsidRPr="00BD372F" w:rsidRDefault="00BD372F" w:rsidP="00BD372F">
            <w:pPr>
              <w:spacing w:after="0" w:line="240" w:lineRule="auto"/>
              <w:jc w:val="center"/>
              <w:rPr>
                <w:bCs/>
                <w:sz w:val="14"/>
                <w:szCs w:val="14"/>
                <w:lang w:eastAsia="sk-SK"/>
              </w:rPr>
            </w:pPr>
            <w:r w:rsidRPr="00BD372F">
              <w:rPr>
                <w:bCs/>
                <w:sz w:val="14"/>
                <w:szCs w:val="14"/>
                <w:lang w:eastAsia="sk-SK"/>
              </w:rPr>
              <w:t>kapitálové výdavky ŠP</w:t>
            </w:r>
          </w:p>
        </w:tc>
        <w:tc>
          <w:tcPr>
            <w:tcW w:w="733" w:type="dxa"/>
            <w:vAlign w:val="center"/>
          </w:tcPr>
          <w:p w14:paraId="10087119" w14:textId="77777777" w:rsidR="00BD372F" w:rsidRPr="00BD372F" w:rsidRDefault="00BD372F" w:rsidP="00BD372F">
            <w:pPr>
              <w:spacing w:after="0" w:line="240" w:lineRule="auto"/>
              <w:jc w:val="right"/>
              <w:rPr>
                <w:bCs/>
                <w:sz w:val="14"/>
                <w:szCs w:val="14"/>
                <w:lang w:eastAsia="sk-SK"/>
              </w:rPr>
            </w:pPr>
            <w:r w:rsidRPr="00BD372F">
              <w:rPr>
                <w:bCs/>
                <w:sz w:val="14"/>
                <w:szCs w:val="14"/>
                <w:lang w:eastAsia="sk-SK"/>
              </w:rPr>
              <w:t>473 788</w:t>
            </w:r>
          </w:p>
        </w:tc>
        <w:tc>
          <w:tcPr>
            <w:tcW w:w="844" w:type="dxa"/>
            <w:vAlign w:val="center"/>
          </w:tcPr>
          <w:p w14:paraId="2EE798E3" w14:textId="77777777" w:rsidR="00BD372F" w:rsidRPr="00BD372F" w:rsidRDefault="00BD372F" w:rsidP="00BD372F">
            <w:pPr>
              <w:spacing w:after="0" w:line="240" w:lineRule="auto"/>
              <w:jc w:val="right"/>
              <w:rPr>
                <w:bCs/>
                <w:sz w:val="14"/>
                <w:szCs w:val="14"/>
                <w:lang w:eastAsia="sk-SK"/>
              </w:rPr>
            </w:pPr>
            <w:r w:rsidRPr="00BD372F">
              <w:rPr>
                <w:bCs/>
                <w:sz w:val="14"/>
                <w:szCs w:val="14"/>
                <w:lang w:eastAsia="sk-SK"/>
              </w:rPr>
              <w:t>1 200 000</w:t>
            </w:r>
          </w:p>
        </w:tc>
        <w:tc>
          <w:tcPr>
            <w:tcW w:w="851" w:type="dxa"/>
            <w:vAlign w:val="center"/>
          </w:tcPr>
          <w:p w14:paraId="05E0F6EA" w14:textId="77777777" w:rsidR="00BD372F" w:rsidRPr="00BD372F" w:rsidRDefault="00BD372F" w:rsidP="00BD372F">
            <w:pPr>
              <w:spacing w:after="0" w:line="240" w:lineRule="auto"/>
              <w:jc w:val="right"/>
              <w:rPr>
                <w:bCs/>
                <w:sz w:val="14"/>
                <w:szCs w:val="14"/>
                <w:lang w:eastAsia="sk-SK"/>
              </w:rPr>
            </w:pPr>
            <w:r w:rsidRPr="00BD372F">
              <w:rPr>
                <w:bCs/>
                <w:sz w:val="14"/>
                <w:szCs w:val="14"/>
                <w:lang w:eastAsia="sk-SK"/>
              </w:rPr>
              <w:t>2 400 000</w:t>
            </w:r>
          </w:p>
        </w:tc>
        <w:tc>
          <w:tcPr>
            <w:tcW w:w="992" w:type="dxa"/>
            <w:vAlign w:val="center"/>
          </w:tcPr>
          <w:p w14:paraId="226D1633" w14:textId="77777777" w:rsidR="00BD372F" w:rsidRPr="00BD372F" w:rsidRDefault="00BD372F" w:rsidP="00BD372F">
            <w:pPr>
              <w:spacing w:after="0" w:line="240" w:lineRule="auto"/>
              <w:jc w:val="right"/>
              <w:rPr>
                <w:bCs/>
                <w:sz w:val="14"/>
                <w:szCs w:val="14"/>
                <w:lang w:eastAsia="sk-SK"/>
              </w:rPr>
            </w:pPr>
            <w:r w:rsidRPr="00BD372F">
              <w:rPr>
                <w:bCs/>
                <w:sz w:val="14"/>
                <w:szCs w:val="14"/>
                <w:lang w:eastAsia="sk-SK"/>
              </w:rPr>
              <w:t>2 400 000</w:t>
            </w:r>
          </w:p>
        </w:tc>
        <w:tc>
          <w:tcPr>
            <w:tcW w:w="850" w:type="dxa"/>
            <w:vAlign w:val="center"/>
          </w:tcPr>
          <w:p w14:paraId="4DF955ED" w14:textId="77777777" w:rsidR="00BD372F" w:rsidRPr="00BD372F" w:rsidRDefault="00BD372F" w:rsidP="00BD372F">
            <w:pPr>
              <w:spacing w:after="0" w:line="240" w:lineRule="auto"/>
              <w:jc w:val="right"/>
              <w:rPr>
                <w:bCs/>
                <w:sz w:val="14"/>
                <w:szCs w:val="14"/>
                <w:lang w:eastAsia="sk-SK"/>
              </w:rPr>
            </w:pPr>
            <w:r w:rsidRPr="00BD372F">
              <w:rPr>
                <w:bCs/>
                <w:sz w:val="14"/>
                <w:szCs w:val="14"/>
                <w:lang w:eastAsia="sk-SK"/>
              </w:rPr>
              <w:t>1 555 624</w:t>
            </w:r>
          </w:p>
        </w:tc>
        <w:tc>
          <w:tcPr>
            <w:tcW w:w="851" w:type="dxa"/>
            <w:vAlign w:val="center"/>
          </w:tcPr>
          <w:p w14:paraId="71625629" w14:textId="77777777" w:rsidR="00BD372F" w:rsidRPr="00BD372F" w:rsidRDefault="00BD372F" w:rsidP="00BD372F">
            <w:pPr>
              <w:spacing w:after="0" w:line="240" w:lineRule="auto"/>
              <w:jc w:val="right"/>
              <w:rPr>
                <w:bCs/>
                <w:sz w:val="14"/>
                <w:szCs w:val="14"/>
                <w:lang w:eastAsia="sk-SK"/>
              </w:rPr>
            </w:pPr>
            <w:r w:rsidRPr="00BD372F">
              <w:rPr>
                <w:bCs/>
                <w:sz w:val="14"/>
                <w:szCs w:val="14"/>
                <w:lang w:eastAsia="sk-SK"/>
              </w:rPr>
              <w:t>0</w:t>
            </w:r>
          </w:p>
        </w:tc>
        <w:tc>
          <w:tcPr>
            <w:tcW w:w="850" w:type="dxa"/>
            <w:vAlign w:val="center"/>
          </w:tcPr>
          <w:p w14:paraId="649066C4" w14:textId="77777777" w:rsidR="00BD372F" w:rsidRPr="00BD372F" w:rsidRDefault="00BD372F" w:rsidP="00BD372F">
            <w:pPr>
              <w:spacing w:after="0" w:line="240" w:lineRule="auto"/>
              <w:jc w:val="right"/>
              <w:rPr>
                <w:bCs/>
                <w:sz w:val="14"/>
                <w:szCs w:val="14"/>
                <w:lang w:eastAsia="sk-SK"/>
              </w:rPr>
            </w:pPr>
            <w:r w:rsidRPr="00BD372F">
              <w:rPr>
                <w:bCs/>
                <w:sz w:val="14"/>
                <w:szCs w:val="14"/>
                <w:lang w:eastAsia="sk-SK"/>
              </w:rPr>
              <w:t>0</w:t>
            </w:r>
          </w:p>
        </w:tc>
        <w:tc>
          <w:tcPr>
            <w:tcW w:w="851" w:type="dxa"/>
            <w:vAlign w:val="center"/>
          </w:tcPr>
          <w:p w14:paraId="12C3616C" w14:textId="77777777" w:rsidR="00BD372F" w:rsidRPr="00BD372F" w:rsidRDefault="00BD372F" w:rsidP="00BD372F">
            <w:pPr>
              <w:spacing w:after="0" w:line="240" w:lineRule="auto"/>
              <w:jc w:val="right"/>
              <w:rPr>
                <w:bCs/>
                <w:sz w:val="14"/>
                <w:szCs w:val="14"/>
                <w:lang w:eastAsia="sk-SK"/>
              </w:rPr>
            </w:pPr>
            <w:r w:rsidRPr="00BD372F">
              <w:rPr>
                <w:bCs/>
                <w:sz w:val="14"/>
                <w:szCs w:val="14"/>
                <w:lang w:eastAsia="sk-SK"/>
              </w:rPr>
              <w:t>0</w:t>
            </w:r>
          </w:p>
        </w:tc>
        <w:tc>
          <w:tcPr>
            <w:tcW w:w="850" w:type="dxa"/>
            <w:vAlign w:val="center"/>
          </w:tcPr>
          <w:p w14:paraId="6C7D1525" w14:textId="77777777" w:rsidR="00BD372F" w:rsidRPr="00BD372F" w:rsidRDefault="00BD372F" w:rsidP="00BD372F">
            <w:pPr>
              <w:spacing w:after="0" w:line="240" w:lineRule="auto"/>
              <w:jc w:val="right"/>
              <w:rPr>
                <w:bCs/>
                <w:sz w:val="14"/>
                <w:szCs w:val="14"/>
                <w:lang w:eastAsia="sk-SK"/>
              </w:rPr>
            </w:pPr>
            <w:r w:rsidRPr="00BD372F">
              <w:rPr>
                <w:bCs/>
                <w:sz w:val="14"/>
                <w:szCs w:val="14"/>
                <w:lang w:eastAsia="sk-SK"/>
              </w:rPr>
              <w:t>0</w:t>
            </w:r>
          </w:p>
        </w:tc>
        <w:tc>
          <w:tcPr>
            <w:tcW w:w="851" w:type="dxa"/>
            <w:vAlign w:val="center"/>
          </w:tcPr>
          <w:p w14:paraId="15A10D07" w14:textId="77777777" w:rsidR="00BD372F" w:rsidRPr="00BD372F" w:rsidRDefault="00BD372F" w:rsidP="00BD372F">
            <w:pPr>
              <w:spacing w:after="0" w:line="240" w:lineRule="auto"/>
              <w:jc w:val="right"/>
              <w:rPr>
                <w:bCs/>
                <w:sz w:val="14"/>
                <w:szCs w:val="14"/>
                <w:lang w:eastAsia="sk-SK"/>
              </w:rPr>
            </w:pPr>
            <w:r w:rsidRPr="00BD372F">
              <w:rPr>
                <w:bCs/>
                <w:sz w:val="14"/>
                <w:szCs w:val="14"/>
                <w:lang w:eastAsia="sk-SK"/>
              </w:rPr>
              <w:t>0</w:t>
            </w:r>
          </w:p>
        </w:tc>
      </w:tr>
      <w:tr w:rsidR="00BD372F" w:rsidRPr="00BD372F" w14:paraId="4001D88A" w14:textId="77777777" w:rsidTr="00154BAB">
        <w:trPr>
          <w:trHeight w:val="70"/>
        </w:trPr>
        <w:tc>
          <w:tcPr>
            <w:tcW w:w="1252" w:type="dxa"/>
          </w:tcPr>
          <w:p w14:paraId="0F61BD70" w14:textId="77777777" w:rsidR="00BD372F" w:rsidRPr="00BD372F" w:rsidRDefault="00BD372F" w:rsidP="00BD372F">
            <w:pPr>
              <w:spacing w:after="0" w:line="240" w:lineRule="auto"/>
              <w:jc w:val="center"/>
              <w:rPr>
                <w:b/>
                <w:bCs/>
                <w:sz w:val="14"/>
                <w:szCs w:val="14"/>
                <w:lang w:eastAsia="sk-SK"/>
              </w:rPr>
            </w:pPr>
            <w:r w:rsidRPr="00BD372F">
              <w:rPr>
                <w:b/>
                <w:bCs/>
                <w:sz w:val="14"/>
                <w:szCs w:val="14"/>
                <w:lang w:eastAsia="sk-SK"/>
              </w:rPr>
              <w:t>spolu (ŠP)</w:t>
            </w:r>
          </w:p>
        </w:tc>
        <w:tc>
          <w:tcPr>
            <w:tcW w:w="733" w:type="dxa"/>
            <w:vAlign w:val="center"/>
          </w:tcPr>
          <w:p w14:paraId="33AD3726" w14:textId="77777777" w:rsidR="00BD372F" w:rsidRPr="00BD372F" w:rsidRDefault="00BD372F" w:rsidP="00BD372F">
            <w:pPr>
              <w:spacing w:after="0" w:line="240" w:lineRule="auto"/>
              <w:jc w:val="right"/>
              <w:rPr>
                <w:b/>
                <w:bCs/>
                <w:sz w:val="14"/>
                <w:szCs w:val="14"/>
                <w:lang w:eastAsia="sk-SK"/>
              </w:rPr>
            </w:pPr>
            <w:r w:rsidRPr="00BD372F">
              <w:rPr>
                <w:b/>
                <w:bCs/>
                <w:sz w:val="14"/>
                <w:szCs w:val="14"/>
                <w:lang w:eastAsia="sk-SK"/>
              </w:rPr>
              <w:t>473 788</w:t>
            </w:r>
          </w:p>
        </w:tc>
        <w:tc>
          <w:tcPr>
            <w:tcW w:w="844" w:type="dxa"/>
            <w:vAlign w:val="center"/>
          </w:tcPr>
          <w:p w14:paraId="17296EE5" w14:textId="77777777" w:rsidR="00BD372F" w:rsidRPr="00BD372F" w:rsidRDefault="00BD372F" w:rsidP="00BD372F">
            <w:pPr>
              <w:spacing w:after="0" w:line="240" w:lineRule="auto"/>
              <w:jc w:val="right"/>
              <w:rPr>
                <w:b/>
                <w:bCs/>
                <w:sz w:val="14"/>
                <w:szCs w:val="14"/>
                <w:lang w:eastAsia="sk-SK"/>
              </w:rPr>
            </w:pPr>
            <w:r w:rsidRPr="00BD372F">
              <w:rPr>
                <w:b/>
                <w:bCs/>
                <w:sz w:val="14"/>
                <w:szCs w:val="14"/>
                <w:lang w:eastAsia="sk-SK"/>
              </w:rPr>
              <w:t xml:space="preserve">      1 200 000   </w:t>
            </w:r>
          </w:p>
        </w:tc>
        <w:tc>
          <w:tcPr>
            <w:tcW w:w="851" w:type="dxa"/>
            <w:vAlign w:val="center"/>
          </w:tcPr>
          <w:p w14:paraId="2B90029C" w14:textId="77777777" w:rsidR="00BD372F" w:rsidRPr="00BD372F" w:rsidRDefault="00BD372F" w:rsidP="00BD372F">
            <w:pPr>
              <w:spacing w:after="0" w:line="240" w:lineRule="auto"/>
              <w:jc w:val="right"/>
              <w:rPr>
                <w:b/>
                <w:bCs/>
                <w:sz w:val="14"/>
                <w:szCs w:val="14"/>
                <w:lang w:eastAsia="sk-SK"/>
              </w:rPr>
            </w:pPr>
            <w:r w:rsidRPr="00BD372F">
              <w:rPr>
                <w:b/>
                <w:bCs/>
                <w:sz w:val="14"/>
                <w:szCs w:val="14"/>
                <w:lang w:eastAsia="sk-SK"/>
              </w:rPr>
              <w:t xml:space="preserve">  2 400 000   </w:t>
            </w:r>
          </w:p>
        </w:tc>
        <w:tc>
          <w:tcPr>
            <w:tcW w:w="992" w:type="dxa"/>
            <w:vAlign w:val="center"/>
          </w:tcPr>
          <w:p w14:paraId="4EC0F615" w14:textId="77777777" w:rsidR="00BD372F" w:rsidRPr="00BD372F" w:rsidRDefault="00BD372F" w:rsidP="00BD372F">
            <w:pPr>
              <w:spacing w:after="0" w:line="240" w:lineRule="auto"/>
              <w:jc w:val="right"/>
              <w:rPr>
                <w:b/>
                <w:bCs/>
                <w:sz w:val="14"/>
                <w:szCs w:val="14"/>
                <w:lang w:eastAsia="sk-SK"/>
              </w:rPr>
            </w:pPr>
            <w:r w:rsidRPr="00BD372F">
              <w:rPr>
                <w:b/>
                <w:bCs/>
                <w:sz w:val="14"/>
                <w:szCs w:val="14"/>
                <w:lang w:eastAsia="sk-SK"/>
              </w:rPr>
              <w:t xml:space="preserve"> 2 400 000   </w:t>
            </w:r>
          </w:p>
        </w:tc>
        <w:tc>
          <w:tcPr>
            <w:tcW w:w="850" w:type="dxa"/>
            <w:vAlign w:val="center"/>
          </w:tcPr>
          <w:p w14:paraId="5BAD748B" w14:textId="77777777" w:rsidR="00BD372F" w:rsidRPr="00BD372F" w:rsidRDefault="00BD372F" w:rsidP="00BD372F">
            <w:pPr>
              <w:spacing w:after="0" w:line="240" w:lineRule="auto"/>
              <w:jc w:val="right"/>
              <w:rPr>
                <w:b/>
                <w:bCs/>
                <w:sz w:val="14"/>
                <w:szCs w:val="14"/>
                <w:lang w:eastAsia="sk-SK"/>
              </w:rPr>
            </w:pPr>
            <w:r w:rsidRPr="00BD372F">
              <w:rPr>
                <w:b/>
                <w:bCs/>
                <w:sz w:val="14"/>
                <w:szCs w:val="14"/>
                <w:lang w:eastAsia="sk-SK"/>
              </w:rPr>
              <w:t xml:space="preserve"> 3 733 718   </w:t>
            </w:r>
          </w:p>
        </w:tc>
        <w:tc>
          <w:tcPr>
            <w:tcW w:w="851" w:type="dxa"/>
            <w:vAlign w:val="center"/>
          </w:tcPr>
          <w:p w14:paraId="285CEE6F" w14:textId="77777777" w:rsidR="00BD372F" w:rsidRPr="00BD372F" w:rsidRDefault="00BD372F" w:rsidP="00BD372F">
            <w:pPr>
              <w:spacing w:after="0" w:line="240" w:lineRule="auto"/>
              <w:jc w:val="right"/>
              <w:rPr>
                <w:b/>
                <w:bCs/>
                <w:sz w:val="14"/>
                <w:szCs w:val="14"/>
                <w:lang w:eastAsia="sk-SK"/>
              </w:rPr>
            </w:pPr>
            <w:r w:rsidRPr="00BD372F">
              <w:rPr>
                <w:b/>
                <w:bCs/>
                <w:sz w:val="14"/>
                <w:szCs w:val="14"/>
                <w:lang w:eastAsia="sk-SK"/>
              </w:rPr>
              <w:t xml:space="preserve"> 4 083 554   </w:t>
            </w:r>
          </w:p>
        </w:tc>
        <w:tc>
          <w:tcPr>
            <w:tcW w:w="850" w:type="dxa"/>
            <w:vAlign w:val="center"/>
          </w:tcPr>
          <w:p w14:paraId="1033EE6C" w14:textId="77777777" w:rsidR="00BD372F" w:rsidRPr="00BD372F" w:rsidRDefault="00BD372F" w:rsidP="00BD372F">
            <w:pPr>
              <w:spacing w:after="0" w:line="240" w:lineRule="auto"/>
              <w:jc w:val="right"/>
              <w:rPr>
                <w:b/>
                <w:bCs/>
                <w:sz w:val="14"/>
                <w:szCs w:val="14"/>
                <w:lang w:eastAsia="sk-SK"/>
              </w:rPr>
            </w:pPr>
            <w:r w:rsidRPr="00BD372F">
              <w:rPr>
                <w:b/>
                <w:bCs/>
                <w:sz w:val="14"/>
                <w:szCs w:val="14"/>
                <w:lang w:eastAsia="sk-SK"/>
              </w:rPr>
              <w:t xml:space="preserve"> 4 083 554   </w:t>
            </w:r>
          </w:p>
        </w:tc>
        <w:tc>
          <w:tcPr>
            <w:tcW w:w="851" w:type="dxa"/>
            <w:vAlign w:val="center"/>
          </w:tcPr>
          <w:p w14:paraId="334E4D66" w14:textId="77777777" w:rsidR="00BD372F" w:rsidRPr="00BD372F" w:rsidRDefault="00BD372F" w:rsidP="00BD372F">
            <w:pPr>
              <w:spacing w:after="0" w:line="240" w:lineRule="auto"/>
              <w:jc w:val="right"/>
              <w:rPr>
                <w:b/>
                <w:bCs/>
                <w:sz w:val="14"/>
                <w:szCs w:val="14"/>
                <w:lang w:eastAsia="sk-SK"/>
              </w:rPr>
            </w:pPr>
            <w:r w:rsidRPr="00BD372F">
              <w:rPr>
                <w:b/>
                <w:bCs/>
                <w:sz w:val="14"/>
                <w:szCs w:val="14"/>
                <w:lang w:eastAsia="sk-SK"/>
              </w:rPr>
              <w:t xml:space="preserve"> 4 083 554   </w:t>
            </w:r>
          </w:p>
        </w:tc>
        <w:tc>
          <w:tcPr>
            <w:tcW w:w="850" w:type="dxa"/>
            <w:vAlign w:val="center"/>
          </w:tcPr>
          <w:p w14:paraId="5DFC0351" w14:textId="77777777" w:rsidR="00BD372F" w:rsidRPr="00BD372F" w:rsidRDefault="00BD372F" w:rsidP="00BD372F">
            <w:pPr>
              <w:spacing w:after="0" w:line="240" w:lineRule="auto"/>
              <w:jc w:val="right"/>
              <w:rPr>
                <w:b/>
                <w:bCs/>
                <w:sz w:val="14"/>
                <w:szCs w:val="14"/>
                <w:lang w:eastAsia="sk-SK"/>
              </w:rPr>
            </w:pPr>
            <w:r w:rsidRPr="00BD372F">
              <w:rPr>
                <w:b/>
                <w:bCs/>
                <w:sz w:val="14"/>
                <w:szCs w:val="14"/>
                <w:lang w:eastAsia="sk-SK"/>
              </w:rPr>
              <w:t xml:space="preserve">4 083 554   </w:t>
            </w:r>
          </w:p>
        </w:tc>
        <w:tc>
          <w:tcPr>
            <w:tcW w:w="851" w:type="dxa"/>
            <w:vAlign w:val="center"/>
          </w:tcPr>
          <w:p w14:paraId="28181C49" w14:textId="77777777" w:rsidR="00BD372F" w:rsidRPr="00BD372F" w:rsidRDefault="00BD372F" w:rsidP="00BD372F">
            <w:pPr>
              <w:spacing w:after="0" w:line="240" w:lineRule="auto"/>
              <w:jc w:val="right"/>
              <w:rPr>
                <w:b/>
                <w:bCs/>
                <w:sz w:val="14"/>
                <w:szCs w:val="14"/>
                <w:lang w:eastAsia="sk-SK"/>
              </w:rPr>
            </w:pPr>
            <w:r w:rsidRPr="00BD372F">
              <w:rPr>
                <w:b/>
                <w:bCs/>
                <w:sz w:val="14"/>
                <w:szCs w:val="14"/>
                <w:lang w:eastAsia="sk-SK"/>
              </w:rPr>
              <w:t xml:space="preserve">4 083 554   </w:t>
            </w:r>
          </w:p>
        </w:tc>
      </w:tr>
      <w:tr w:rsidR="00BD372F" w:rsidRPr="00BD372F" w14:paraId="48F1B72F" w14:textId="77777777" w:rsidTr="00154BAB">
        <w:trPr>
          <w:trHeight w:val="70"/>
        </w:trPr>
        <w:tc>
          <w:tcPr>
            <w:tcW w:w="1252" w:type="dxa"/>
          </w:tcPr>
          <w:p w14:paraId="21DCEC91" w14:textId="77777777" w:rsidR="00BD372F" w:rsidRPr="00BD372F" w:rsidRDefault="00BD372F" w:rsidP="00BD372F">
            <w:pPr>
              <w:spacing w:after="0" w:line="240" w:lineRule="auto"/>
              <w:jc w:val="center"/>
              <w:rPr>
                <w:bCs/>
                <w:sz w:val="14"/>
                <w:szCs w:val="14"/>
                <w:lang w:eastAsia="sk-SK"/>
              </w:rPr>
            </w:pPr>
            <w:r w:rsidRPr="00BD372F">
              <w:rPr>
                <w:bCs/>
                <w:sz w:val="14"/>
                <w:szCs w:val="14"/>
                <w:lang w:eastAsia="sk-SK"/>
              </w:rPr>
              <w:t>prevádzkovateľ systému + NASES (bežné výdavky)</w:t>
            </w:r>
          </w:p>
        </w:tc>
        <w:tc>
          <w:tcPr>
            <w:tcW w:w="733" w:type="dxa"/>
            <w:vAlign w:val="center"/>
          </w:tcPr>
          <w:p w14:paraId="336C46A0" w14:textId="77777777" w:rsidR="00BD372F" w:rsidRPr="00BD372F" w:rsidRDefault="00BD372F" w:rsidP="00BD372F">
            <w:pPr>
              <w:spacing w:after="0" w:line="240" w:lineRule="auto"/>
              <w:jc w:val="right"/>
              <w:rPr>
                <w:bCs/>
                <w:sz w:val="14"/>
                <w:szCs w:val="14"/>
                <w:lang w:eastAsia="sk-SK"/>
              </w:rPr>
            </w:pPr>
            <w:r w:rsidRPr="00BD372F">
              <w:rPr>
                <w:bCs/>
                <w:sz w:val="14"/>
                <w:szCs w:val="14"/>
                <w:lang w:eastAsia="sk-SK"/>
              </w:rPr>
              <w:t>12 827 165</w:t>
            </w:r>
          </w:p>
        </w:tc>
        <w:tc>
          <w:tcPr>
            <w:tcW w:w="844" w:type="dxa"/>
            <w:vAlign w:val="center"/>
          </w:tcPr>
          <w:p w14:paraId="5BDE3AB2" w14:textId="77777777" w:rsidR="00BD372F" w:rsidRPr="00BD372F" w:rsidRDefault="00BD372F" w:rsidP="00BD372F">
            <w:pPr>
              <w:spacing w:after="0" w:line="240" w:lineRule="auto"/>
              <w:jc w:val="right"/>
              <w:rPr>
                <w:bCs/>
                <w:sz w:val="14"/>
                <w:szCs w:val="14"/>
                <w:lang w:eastAsia="sk-SK"/>
              </w:rPr>
            </w:pPr>
            <w:r w:rsidRPr="00BD372F">
              <w:rPr>
                <w:bCs/>
                <w:sz w:val="14"/>
                <w:szCs w:val="14"/>
                <w:lang w:eastAsia="sk-SK"/>
              </w:rPr>
              <w:t>11 490 472</w:t>
            </w:r>
          </w:p>
        </w:tc>
        <w:tc>
          <w:tcPr>
            <w:tcW w:w="851" w:type="dxa"/>
            <w:vAlign w:val="center"/>
          </w:tcPr>
          <w:p w14:paraId="777E9EF2" w14:textId="77777777" w:rsidR="00BD372F" w:rsidRPr="00BD372F" w:rsidRDefault="00BD372F" w:rsidP="00BD372F">
            <w:pPr>
              <w:spacing w:after="0" w:line="240" w:lineRule="auto"/>
              <w:jc w:val="right"/>
              <w:rPr>
                <w:bCs/>
                <w:sz w:val="14"/>
                <w:szCs w:val="14"/>
                <w:lang w:eastAsia="sk-SK"/>
              </w:rPr>
            </w:pPr>
            <w:r w:rsidRPr="00BD372F">
              <w:rPr>
                <w:bCs/>
                <w:sz w:val="14"/>
                <w:szCs w:val="14"/>
                <w:lang w:eastAsia="sk-SK"/>
              </w:rPr>
              <w:t>11 431 056</w:t>
            </w:r>
          </w:p>
        </w:tc>
        <w:tc>
          <w:tcPr>
            <w:tcW w:w="992" w:type="dxa"/>
            <w:vAlign w:val="center"/>
          </w:tcPr>
          <w:p w14:paraId="4FA4936A" w14:textId="77777777" w:rsidR="00BD372F" w:rsidRPr="00BD372F" w:rsidRDefault="00BD372F" w:rsidP="00BD372F">
            <w:pPr>
              <w:spacing w:after="0" w:line="240" w:lineRule="auto"/>
              <w:jc w:val="right"/>
              <w:rPr>
                <w:bCs/>
                <w:sz w:val="14"/>
                <w:szCs w:val="14"/>
                <w:lang w:eastAsia="sk-SK"/>
              </w:rPr>
            </w:pPr>
            <w:r w:rsidRPr="00BD372F">
              <w:rPr>
                <w:bCs/>
                <w:sz w:val="14"/>
                <w:szCs w:val="14"/>
                <w:lang w:eastAsia="sk-SK"/>
              </w:rPr>
              <w:t>11 470 768</w:t>
            </w:r>
          </w:p>
        </w:tc>
        <w:tc>
          <w:tcPr>
            <w:tcW w:w="850" w:type="dxa"/>
            <w:vAlign w:val="center"/>
          </w:tcPr>
          <w:p w14:paraId="77B819C1" w14:textId="77777777" w:rsidR="00BD372F" w:rsidRPr="00BD372F" w:rsidRDefault="00BD372F" w:rsidP="00BD372F">
            <w:pPr>
              <w:spacing w:after="0" w:line="240" w:lineRule="auto"/>
              <w:jc w:val="right"/>
              <w:rPr>
                <w:bCs/>
                <w:sz w:val="14"/>
                <w:szCs w:val="14"/>
                <w:lang w:eastAsia="sk-SK"/>
              </w:rPr>
            </w:pPr>
            <w:r w:rsidRPr="00BD372F">
              <w:rPr>
                <w:bCs/>
                <w:sz w:val="14"/>
                <w:szCs w:val="14"/>
                <w:lang w:eastAsia="sk-SK"/>
              </w:rPr>
              <w:t>6 635 411</w:t>
            </w:r>
          </w:p>
        </w:tc>
        <w:tc>
          <w:tcPr>
            <w:tcW w:w="851" w:type="dxa"/>
            <w:vAlign w:val="center"/>
          </w:tcPr>
          <w:p w14:paraId="6CC0EF8E" w14:textId="77777777" w:rsidR="00BD372F" w:rsidRPr="00BD372F" w:rsidRDefault="00BD372F" w:rsidP="00BD372F">
            <w:pPr>
              <w:spacing w:after="0" w:line="240" w:lineRule="auto"/>
              <w:jc w:val="right"/>
              <w:rPr>
                <w:bCs/>
                <w:sz w:val="14"/>
                <w:szCs w:val="14"/>
                <w:lang w:eastAsia="sk-SK"/>
              </w:rPr>
            </w:pPr>
            <w:r w:rsidRPr="00BD372F">
              <w:rPr>
                <w:bCs/>
                <w:sz w:val="14"/>
                <w:szCs w:val="14"/>
                <w:lang w:eastAsia="sk-SK"/>
              </w:rPr>
              <w:t>1 678 638</w:t>
            </w:r>
          </w:p>
        </w:tc>
        <w:tc>
          <w:tcPr>
            <w:tcW w:w="850" w:type="dxa"/>
            <w:vAlign w:val="center"/>
          </w:tcPr>
          <w:p w14:paraId="40B310E6" w14:textId="77777777" w:rsidR="00BD372F" w:rsidRPr="00BD372F" w:rsidRDefault="00BD372F" w:rsidP="00BD372F">
            <w:pPr>
              <w:spacing w:after="0" w:line="240" w:lineRule="auto"/>
              <w:jc w:val="right"/>
              <w:rPr>
                <w:bCs/>
                <w:sz w:val="14"/>
                <w:szCs w:val="14"/>
                <w:lang w:eastAsia="sk-SK"/>
              </w:rPr>
            </w:pPr>
            <w:r w:rsidRPr="00BD372F">
              <w:rPr>
                <w:bCs/>
                <w:sz w:val="14"/>
                <w:szCs w:val="14"/>
                <w:lang w:eastAsia="sk-SK"/>
              </w:rPr>
              <w:t>841 483</w:t>
            </w:r>
          </w:p>
        </w:tc>
        <w:tc>
          <w:tcPr>
            <w:tcW w:w="851" w:type="dxa"/>
            <w:vAlign w:val="center"/>
          </w:tcPr>
          <w:p w14:paraId="309C1A34" w14:textId="77777777" w:rsidR="00BD372F" w:rsidRPr="00BD372F" w:rsidRDefault="00BD372F" w:rsidP="00BD372F">
            <w:pPr>
              <w:spacing w:after="0" w:line="240" w:lineRule="auto"/>
              <w:jc w:val="right"/>
              <w:rPr>
                <w:bCs/>
                <w:sz w:val="14"/>
                <w:szCs w:val="14"/>
                <w:lang w:eastAsia="sk-SK"/>
              </w:rPr>
            </w:pPr>
            <w:r w:rsidRPr="00BD372F">
              <w:rPr>
                <w:bCs/>
                <w:sz w:val="14"/>
                <w:szCs w:val="14"/>
                <w:lang w:eastAsia="sk-SK"/>
              </w:rPr>
              <w:t>799 996</w:t>
            </w:r>
          </w:p>
        </w:tc>
        <w:tc>
          <w:tcPr>
            <w:tcW w:w="850" w:type="dxa"/>
            <w:vAlign w:val="center"/>
          </w:tcPr>
          <w:p w14:paraId="6FA5FDC7" w14:textId="77777777" w:rsidR="00BD372F" w:rsidRPr="00BD372F" w:rsidRDefault="00BD372F" w:rsidP="00BD372F">
            <w:pPr>
              <w:spacing w:after="0" w:line="240" w:lineRule="auto"/>
              <w:jc w:val="right"/>
              <w:rPr>
                <w:bCs/>
                <w:sz w:val="14"/>
                <w:szCs w:val="14"/>
                <w:lang w:eastAsia="sk-SK"/>
              </w:rPr>
            </w:pPr>
            <w:r w:rsidRPr="00BD372F">
              <w:rPr>
                <w:bCs/>
                <w:sz w:val="14"/>
                <w:szCs w:val="14"/>
                <w:lang w:eastAsia="sk-SK"/>
              </w:rPr>
              <w:t>758 510</w:t>
            </w:r>
          </w:p>
        </w:tc>
        <w:tc>
          <w:tcPr>
            <w:tcW w:w="851" w:type="dxa"/>
            <w:vAlign w:val="center"/>
          </w:tcPr>
          <w:p w14:paraId="4E05A0AC" w14:textId="77777777" w:rsidR="00BD372F" w:rsidRPr="00BD372F" w:rsidRDefault="00BD372F" w:rsidP="00BD372F">
            <w:pPr>
              <w:spacing w:after="0" w:line="240" w:lineRule="auto"/>
              <w:jc w:val="right"/>
              <w:rPr>
                <w:bCs/>
                <w:sz w:val="14"/>
                <w:szCs w:val="14"/>
                <w:lang w:eastAsia="sk-SK"/>
              </w:rPr>
            </w:pPr>
            <w:r w:rsidRPr="00BD372F">
              <w:rPr>
                <w:bCs/>
                <w:sz w:val="14"/>
                <w:szCs w:val="14"/>
                <w:lang w:eastAsia="sk-SK"/>
              </w:rPr>
              <w:t>469 937</w:t>
            </w:r>
          </w:p>
        </w:tc>
      </w:tr>
      <w:tr w:rsidR="00BD372F" w:rsidRPr="00BD372F" w14:paraId="315A2554" w14:textId="77777777" w:rsidTr="00154BAB">
        <w:trPr>
          <w:trHeight w:val="70"/>
        </w:trPr>
        <w:tc>
          <w:tcPr>
            <w:tcW w:w="1252" w:type="dxa"/>
          </w:tcPr>
          <w:p w14:paraId="7C0D5199" w14:textId="77777777" w:rsidR="00BD372F" w:rsidRPr="00BD372F" w:rsidRDefault="00BD372F" w:rsidP="00BD372F">
            <w:pPr>
              <w:spacing w:after="0" w:line="240" w:lineRule="auto"/>
              <w:jc w:val="center"/>
              <w:rPr>
                <w:bCs/>
                <w:sz w:val="14"/>
                <w:szCs w:val="14"/>
                <w:lang w:eastAsia="sk-SK"/>
              </w:rPr>
            </w:pPr>
            <w:r w:rsidRPr="00BD372F">
              <w:rPr>
                <w:bCs/>
                <w:sz w:val="14"/>
                <w:szCs w:val="14"/>
                <w:lang w:eastAsia="sk-SK"/>
              </w:rPr>
              <w:t>spolu</w:t>
            </w:r>
          </w:p>
        </w:tc>
        <w:tc>
          <w:tcPr>
            <w:tcW w:w="733" w:type="dxa"/>
            <w:vAlign w:val="center"/>
          </w:tcPr>
          <w:p w14:paraId="26005E62" w14:textId="77777777" w:rsidR="00BD372F" w:rsidRPr="00BD372F" w:rsidRDefault="00BD372F" w:rsidP="00BD372F">
            <w:pPr>
              <w:spacing w:after="0" w:line="240" w:lineRule="auto"/>
              <w:jc w:val="right"/>
              <w:rPr>
                <w:bCs/>
                <w:sz w:val="14"/>
                <w:szCs w:val="14"/>
                <w:lang w:eastAsia="sk-SK"/>
              </w:rPr>
            </w:pPr>
            <w:r w:rsidRPr="00BD372F">
              <w:rPr>
                <w:bCs/>
                <w:sz w:val="14"/>
                <w:szCs w:val="14"/>
                <w:lang w:eastAsia="sk-SK"/>
              </w:rPr>
              <w:t>13 300 953</w:t>
            </w:r>
          </w:p>
        </w:tc>
        <w:tc>
          <w:tcPr>
            <w:tcW w:w="844" w:type="dxa"/>
          </w:tcPr>
          <w:p w14:paraId="77319C8E" w14:textId="77777777" w:rsidR="00BD372F" w:rsidRPr="00BD372F" w:rsidRDefault="00BD372F" w:rsidP="00BD372F">
            <w:pPr>
              <w:spacing w:after="0" w:line="240" w:lineRule="auto"/>
              <w:jc w:val="right"/>
              <w:rPr>
                <w:bCs/>
                <w:sz w:val="14"/>
                <w:szCs w:val="14"/>
                <w:lang w:eastAsia="sk-SK"/>
              </w:rPr>
            </w:pPr>
            <w:r w:rsidRPr="00BD372F">
              <w:rPr>
                <w:bCs/>
                <w:sz w:val="14"/>
                <w:szCs w:val="14"/>
                <w:lang w:eastAsia="sk-SK"/>
              </w:rPr>
              <w:t>12 690 472</w:t>
            </w:r>
          </w:p>
        </w:tc>
        <w:tc>
          <w:tcPr>
            <w:tcW w:w="851" w:type="dxa"/>
            <w:vAlign w:val="center"/>
          </w:tcPr>
          <w:p w14:paraId="454FF450" w14:textId="77777777" w:rsidR="00BD372F" w:rsidRPr="00BD372F" w:rsidRDefault="00BD372F" w:rsidP="00BD372F">
            <w:pPr>
              <w:spacing w:after="0" w:line="240" w:lineRule="auto"/>
              <w:jc w:val="right"/>
              <w:rPr>
                <w:bCs/>
                <w:sz w:val="14"/>
                <w:szCs w:val="14"/>
                <w:lang w:eastAsia="sk-SK"/>
              </w:rPr>
            </w:pPr>
            <w:r w:rsidRPr="00BD372F">
              <w:rPr>
                <w:bCs/>
                <w:sz w:val="14"/>
                <w:szCs w:val="14"/>
                <w:lang w:eastAsia="sk-SK"/>
              </w:rPr>
              <w:t>13 831 056</w:t>
            </w:r>
          </w:p>
        </w:tc>
        <w:tc>
          <w:tcPr>
            <w:tcW w:w="992" w:type="dxa"/>
            <w:vAlign w:val="center"/>
          </w:tcPr>
          <w:p w14:paraId="275C7D4D" w14:textId="77777777" w:rsidR="00BD372F" w:rsidRPr="00BD372F" w:rsidRDefault="00BD372F" w:rsidP="00BD372F">
            <w:pPr>
              <w:spacing w:after="0" w:line="240" w:lineRule="auto"/>
              <w:jc w:val="right"/>
              <w:rPr>
                <w:bCs/>
                <w:sz w:val="14"/>
                <w:szCs w:val="14"/>
                <w:lang w:eastAsia="sk-SK"/>
              </w:rPr>
            </w:pPr>
            <w:r w:rsidRPr="00BD372F">
              <w:rPr>
                <w:bCs/>
                <w:sz w:val="14"/>
                <w:szCs w:val="14"/>
                <w:lang w:eastAsia="sk-SK"/>
              </w:rPr>
              <w:t>13 870 768</w:t>
            </w:r>
          </w:p>
        </w:tc>
        <w:tc>
          <w:tcPr>
            <w:tcW w:w="850" w:type="dxa"/>
            <w:vAlign w:val="center"/>
          </w:tcPr>
          <w:p w14:paraId="223FBD74" w14:textId="77777777" w:rsidR="00BD372F" w:rsidRPr="00BD372F" w:rsidRDefault="00BD372F" w:rsidP="00BD372F">
            <w:pPr>
              <w:spacing w:after="0" w:line="240" w:lineRule="auto"/>
              <w:jc w:val="right"/>
              <w:rPr>
                <w:bCs/>
                <w:sz w:val="14"/>
                <w:szCs w:val="14"/>
                <w:lang w:eastAsia="sk-SK"/>
              </w:rPr>
            </w:pPr>
            <w:r w:rsidRPr="00BD372F">
              <w:rPr>
                <w:bCs/>
                <w:sz w:val="14"/>
                <w:szCs w:val="14"/>
                <w:lang w:eastAsia="sk-SK"/>
              </w:rPr>
              <w:t>10 369 129</w:t>
            </w:r>
          </w:p>
        </w:tc>
        <w:tc>
          <w:tcPr>
            <w:tcW w:w="851" w:type="dxa"/>
            <w:vAlign w:val="center"/>
          </w:tcPr>
          <w:p w14:paraId="0253D3C0" w14:textId="77777777" w:rsidR="00BD372F" w:rsidRPr="00BD372F" w:rsidRDefault="00BD372F" w:rsidP="00BD372F">
            <w:pPr>
              <w:spacing w:after="0" w:line="240" w:lineRule="auto"/>
              <w:jc w:val="right"/>
              <w:rPr>
                <w:bCs/>
                <w:sz w:val="14"/>
                <w:szCs w:val="14"/>
                <w:lang w:eastAsia="sk-SK"/>
              </w:rPr>
            </w:pPr>
            <w:r w:rsidRPr="00BD372F">
              <w:rPr>
                <w:bCs/>
                <w:sz w:val="14"/>
                <w:szCs w:val="14"/>
                <w:lang w:eastAsia="sk-SK"/>
              </w:rPr>
              <w:t>5 762 192</w:t>
            </w:r>
          </w:p>
        </w:tc>
        <w:tc>
          <w:tcPr>
            <w:tcW w:w="850" w:type="dxa"/>
            <w:vAlign w:val="center"/>
          </w:tcPr>
          <w:p w14:paraId="64EF2099" w14:textId="77777777" w:rsidR="00BD372F" w:rsidRPr="00BD372F" w:rsidRDefault="00BD372F" w:rsidP="00BD372F">
            <w:pPr>
              <w:spacing w:after="0" w:line="240" w:lineRule="auto"/>
              <w:jc w:val="right"/>
              <w:rPr>
                <w:bCs/>
                <w:sz w:val="14"/>
                <w:szCs w:val="14"/>
                <w:lang w:eastAsia="sk-SK"/>
              </w:rPr>
            </w:pPr>
            <w:r w:rsidRPr="00BD372F">
              <w:rPr>
                <w:bCs/>
                <w:sz w:val="14"/>
                <w:szCs w:val="14"/>
                <w:lang w:eastAsia="sk-SK"/>
              </w:rPr>
              <w:t>4 925 037</w:t>
            </w:r>
          </w:p>
        </w:tc>
        <w:tc>
          <w:tcPr>
            <w:tcW w:w="851" w:type="dxa"/>
            <w:vAlign w:val="center"/>
          </w:tcPr>
          <w:p w14:paraId="44C28219" w14:textId="77777777" w:rsidR="00BD372F" w:rsidRPr="00BD372F" w:rsidRDefault="00BD372F" w:rsidP="00BD372F">
            <w:pPr>
              <w:spacing w:after="0" w:line="240" w:lineRule="auto"/>
              <w:jc w:val="right"/>
              <w:rPr>
                <w:bCs/>
                <w:sz w:val="14"/>
                <w:szCs w:val="14"/>
                <w:lang w:eastAsia="sk-SK"/>
              </w:rPr>
            </w:pPr>
            <w:r w:rsidRPr="00BD372F">
              <w:rPr>
                <w:bCs/>
                <w:sz w:val="14"/>
                <w:szCs w:val="14"/>
                <w:lang w:eastAsia="sk-SK"/>
              </w:rPr>
              <w:t>4 883 550</w:t>
            </w:r>
          </w:p>
        </w:tc>
        <w:tc>
          <w:tcPr>
            <w:tcW w:w="850" w:type="dxa"/>
            <w:vAlign w:val="center"/>
          </w:tcPr>
          <w:p w14:paraId="7505D4DE" w14:textId="77777777" w:rsidR="00BD372F" w:rsidRPr="00BD372F" w:rsidRDefault="00BD372F" w:rsidP="00BD372F">
            <w:pPr>
              <w:spacing w:after="0" w:line="240" w:lineRule="auto"/>
              <w:jc w:val="right"/>
              <w:rPr>
                <w:bCs/>
                <w:sz w:val="14"/>
                <w:szCs w:val="14"/>
                <w:lang w:eastAsia="sk-SK"/>
              </w:rPr>
            </w:pPr>
            <w:r w:rsidRPr="00BD372F">
              <w:rPr>
                <w:bCs/>
                <w:sz w:val="14"/>
                <w:szCs w:val="14"/>
                <w:lang w:eastAsia="sk-SK"/>
              </w:rPr>
              <w:t>4 842 064</w:t>
            </w:r>
          </w:p>
        </w:tc>
        <w:tc>
          <w:tcPr>
            <w:tcW w:w="851" w:type="dxa"/>
            <w:vAlign w:val="center"/>
          </w:tcPr>
          <w:p w14:paraId="7BC4360A" w14:textId="77777777" w:rsidR="00BD372F" w:rsidRPr="00BD372F" w:rsidRDefault="00BD372F" w:rsidP="00BD372F">
            <w:pPr>
              <w:spacing w:after="0" w:line="240" w:lineRule="auto"/>
              <w:jc w:val="right"/>
              <w:rPr>
                <w:bCs/>
                <w:sz w:val="14"/>
                <w:szCs w:val="14"/>
                <w:lang w:eastAsia="sk-SK"/>
              </w:rPr>
            </w:pPr>
            <w:r w:rsidRPr="00BD372F">
              <w:rPr>
                <w:bCs/>
                <w:sz w:val="14"/>
                <w:szCs w:val="14"/>
                <w:lang w:eastAsia="sk-SK"/>
              </w:rPr>
              <w:t>4 553 491</w:t>
            </w:r>
          </w:p>
        </w:tc>
      </w:tr>
    </w:tbl>
    <w:p w14:paraId="6A56DF8E" w14:textId="77777777" w:rsidR="00BD372F" w:rsidRPr="00BD372F" w:rsidRDefault="00BD372F" w:rsidP="00BD372F">
      <w:pPr>
        <w:spacing w:after="0" w:line="240" w:lineRule="auto"/>
        <w:rPr>
          <w:rFonts w:ascii="Times New Roman" w:hAnsi="Times New Roman"/>
          <w:sz w:val="24"/>
          <w:szCs w:val="24"/>
          <w:lang w:eastAsia="sk-SK"/>
        </w:rPr>
      </w:pPr>
    </w:p>
    <w:p w14:paraId="21CB34D6" w14:textId="77777777" w:rsidR="00BD372F" w:rsidRPr="00BD372F" w:rsidRDefault="00BD372F" w:rsidP="00BD372F">
      <w:pPr>
        <w:spacing w:after="0" w:line="240" w:lineRule="auto"/>
        <w:rPr>
          <w:rFonts w:ascii="Times New Roman" w:hAnsi="Times New Roman"/>
          <w:sz w:val="24"/>
          <w:szCs w:val="24"/>
          <w:lang w:eastAsia="sk-SK"/>
        </w:rPr>
      </w:pPr>
    </w:p>
    <w:p w14:paraId="0BB6BEF3" w14:textId="77777777" w:rsidR="00BD372F" w:rsidRPr="00BD372F" w:rsidRDefault="00BD372F" w:rsidP="00BD372F">
      <w:pPr>
        <w:spacing w:after="0" w:line="240" w:lineRule="auto"/>
        <w:rPr>
          <w:rFonts w:ascii="Times New Roman" w:hAnsi="Times New Roman"/>
          <w:b/>
          <w:bCs/>
          <w:sz w:val="24"/>
          <w:szCs w:val="24"/>
          <w:lang w:eastAsia="sk-SK"/>
        </w:rPr>
      </w:pPr>
      <w:r w:rsidRPr="00BD372F">
        <w:rPr>
          <w:rFonts w:ascii="Times New Roman" w:hAnsi="Times New Roman"/>
          <w:b/>
          <w:bCs/>
          <w:sz w:val="24"/>
          <w:szCs w:val="24"/>
          <w:lang w:eastAsia="sk-SK"/>
        </w:rPr>
        <w:t>2.2.4. Výpočty vplyvov na verejné financie</w:t>
      </w:r>
    </w:p>
    <w:p w14:paraId="7CC83582" w14:textId="77777777" w:rsidR="00BD372F" w:rsidRPr="00BD372F" w:rsidRDefault="00BD372F" w:rsidP="00BD372F">
      <w:pPr>
        <w:spacing w:after="0" w:line="240" w:lineRule="auto"/>
        <w:jc w:val="both"/>
        <w:rPr>
          <w:rFonts w:ascii="Times New Roman" w:hAnsi="Times New Roman"/>
          <w:bCs/>
          <w:sz w:val="24"/>
          <w:szCs w:val="24"/>
          <w:lang w:eastAsia="sk-SK"/>
        </w:rPr>
      </w:pPr>
    </w:p>
    <w:p w14:paraId="27B9B623" w14:textId="77777777" w:rsidR="00BD372F" w:rsidRPr="00BD372F" w:rsidRDefault="00BD372F" w:rsidP="00BD372F">
      <w:pPr>
        <w:spacing w:after="0" w:line="240" w:lineRule="auto"/>
        <w:jc w:val="both"/>
        <w:rPr>
          <w:rFonts w:ascii="Times New Roman" w:hAnsi="Times New Roman"/>
          <w:bCs/>
          <w:sz w:val="24"/>
          <w:szCs w:val="24"/>
          <w:lang w:eastAsia="sk-SK"/>
        </w:rPr>
      </w:pPr>
      <w:r w:rsidRPr="00BD372F">
        <w:rPr>
          <w:rFonts w:ascii="Times New Roman" w:hAnsi="Times New Roman"/>
          <w:bCs/>
          <w:sz w:val="24"/>
          <w:szCs w:val="24"/>
          <w:lang w:eastAsia="sk-SK"/>
        </w:rPr>
        <w:t>Na stanovenie budúcich výdavkov na výber správnych a súdnych poplatkov a zabezpečenie centrálnej evidencie poplatkov bol použitý nákladový model stanovujúci predpokladané množstvo aktivít, investícií, odpisov a jednotkové ceny technického vybavenia s prepočtom na ekonomicky oprávnené náklady a primeraný zisk prevádzkovateľa systému vrátane prevádzkových nákladov na IT riešenie so zabezpečením dohodnutej SLA. Investície ŠP boli navrhnuté s ohľadom na záväzné limity výdavkov kapitoly MF SR určených na výber správnych a súdnych poplatkov a predpokladané investície stanovené v Štúdii realizovateľnosti eKolok na roky 2024 – 2034.</w:t>
      </w:r>
    </w:p>
    <w:p w14:paraId="1A8D2493" w14:textId="77777777" w:rsidR="00BD372F" w:rsidRPr="00BD372F" w:rsidRDefault="00BD372F" w:rsidP="00BD372F">
      <w:pPr>
        <w:spacing w:after="0" w:line="240" w:lineRule="auto"/>
        <w:jc w:val="both"/>
        <w:rPr>
          <w:rFonts w:ascii="Times New Roman" w:hAnsi="Times New Roman"/>
          <w:bCs/>
          <w:sz w:val="24"/>
          <w:szCs w:val="24"/>
          <w:lang w:eastAsia="sk-SK"/>
        </w:rPr>
      </w:pPr>
    </w:p>
    <w:p w14:paraId="33C0D64C" w14:textId="77777777" w:rsidR="00BD372F" w:rsidRPr="00BD372F" w:rsidRDefault="00BD372F" w:rsidP="00BD372F">
      <w:pPr>
        <w:spacing w:after="0" w:line="240" w:lineRule="auto"/>
        <w:jc w:val="both"/>
        <w:rPr>
          <w:rFonts w:ascii="Times New Roman" w:hAnsi="Times New Roman"/>
          <w:bCs/>
          <w:sz w:val="24"/>
          <w:szCs w:val="20"/>
          <w:lang w:eastAsia="sk-SK"/>
        </w:rPr>
      </w:pPr>
    </w:p>
    <w:p w14:paraId="07E9F29C" w14:textId="77777777" w:rsidR="00BD372F" w:rsidRPr="00BD372F" w:rsidRDefault="00BD372F" w:rsidP="00BD372F">
      <w:pPr>
        <w:spacing w:after="0" w:line="240" w:lineRule="auto"/>
        <w:jc w:val="both"/>
        <w:rPr>
          <w:rFonts w:ascii="Times New Roman" w:hAnsi="Times New Roman"/>
          <w:bCs/>
          <w:sz w:val="24"/>
          <w:szCs w:val="20"/>
          <w:lang w:eastAsia="sk-SK"/>
        </w:rPr>
        <w:sectPr w:rsidR="00BD372F" w:rsidRPr="00BD372F" w:rsidSect="00BD372F">
          <w:headerReference w:type="even" r:id="rId13"/>
          <w:headerReference w:type="default" r:id="rId14"/>
          <w:footerReference w:type="even" r:id="rId15"/>
          <w:footerReference w:type="default" r:id="rId16"/>
          <w:headerReference w:type="first" r:id="rId17"/>
          <w:footerReference w:type="first" r:id="rId18"/>
          <w:pgSz w:w="11906" w:h="16838"/>
          <w:pgMar w:top="993" w:right="1417" w:bottom="993" w:left="1417" w:header="708" w:footer="708" w:gutter="0"/>
          <w:pgNumType w:start="1"/>
          <w:cols w:space="708"/>
          <w:docGrid w:linePitch="360"/>
        </w:sectPr>
      </w:pPr>
    </w:p>
    <w:p w14:paraId="350D0BB6" w14:textId="77777777" w:rsidR="00BD372F" w:rsidRPr="00BD372F" w:rsidRDefault="00BD372F" w:rsidP="00BD372F">
      <w:pPr>
        <w:spacing w:after="0" w:line="240" w:lineRule="auto"/>
        <w:jc w:val="center"/>
        <w:rPr>
          <w:rFonts w:ascii="Times New Roman" w:hAnsi="Times New Roman"/>
          <w:bCs/>
          <w:sz w:val="20"/>
          <w:szCs w:val="20"/>
          <w:lang w:eastAsia="sk-SK"/>
        </w:rPr>
      </w:pPr>
      <w:r w:rsidRPr="00BD372F">
        <w:rPr>
          <w:rFonts w:ascii="Times New Roman" w:hAnsi="Times New Roman"/>
          <w:bCs/>
          <w:sz w:val="20"/>
          <w:szCs w:val="20"/>
          <w:lang w:eastAsia="sk-SK"/>
        </w:rPr>
        <w:lastRenderedPageBreak/>
        <w:t xml:space="preserve">                                                                                                                                                                                                                                                       Tabuľka č. 3</w:t>
      </w:r>
    </w:p>
    <w:tbl>
      <w:tblPr>
        <w:tblpPr w:leftFromText="141" w:rightFromText="141" w:vertAnchor="page" w:horzAnchor="margin" w:tblpXSpec="center" w:tblpY="1711"/>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BD372F" w:rsidRPr="00BD372F" w14:paraId="41A95B82" w14:textId="77777777" w:rsidTr="00BD372F">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50871211"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cPr>
          <w:p w14:paraId="68CD04EB"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1C42970C"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poznámka</w:t>
            </w:r>
          </w:p>
        </w:tc>
      </w:tr>
      <w:tr w:rsidR="00BD372F" w:rsidRPr="00BD372F" w14:paraId="546C9F23" w14:textId="77777777" w:rsidTr="00BD372F">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19287441" w14:textId="77777777" w:rsidR="00BD372F" w:rsidRPr="00BD372F" w:rsidRDefault="00BD372F" w:rsidP="00BD372F">
            <w:pPr>
              <w:spacing w:after="0" w:line="240" w:lineRule="auto"/>
              <w:rPr>
                <w:rFonts w:ascii="Times New Roman" w:hAnsi="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cPr>
          <w:p w14:paraId="400095EA"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2025</w:t>
            </w:r>
          </w:p>
        </w:tc>
        <w:tc>
          <w:tcPr>
            <w:tcW w:w="1500" w:type="dxa"/>
            <w:tcBorders>
              <w:top w:val="nil"/>
              <w:left w:val="nil"/>
              <w:bottom w:val="single" w:sz="4" w:space="0" w:color="auto"/>
              <w:right w:val="single" w:sz="4" w:space="0" w:color="auto"/>
            </w:tcBorders>
            <w:shd w:val="clear" w:color="auto" w:fill="BFBFBF"/>
          </w:tcPr>
          <w:p w14:paraId="7184039A"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2026</w:t>
            </w:r>
          </w:p>
        </w:tc>
        <w:tc>
          <w:tcPr>
            <w:tcW w:w="1500" w:type="dxa"/>
            <w:tcBorders>
              <w:top w:val="nil"/>
              <w:left w:val="nil"/>
              <w:bottom w:val="single" w:sz="4" w:space="0" w:color="auto"/>
              <w:right w:val="single" w:sz="4" w:space="0" w:color="auto"/>
            </w:tcBorders>
            <w:shd w:val="clear" w:color="auto" w:fill="BFBFBF"/>
          </w:tcPr>
          <w:p w14:paraId="708B23BA"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2027</w:t>
            </w:r>
          </w:p>
        </w:tc>
        <w:tc>
          <w:tcPr>
            <w:tcW w:w="1500" w:type="dxa"/>
            <w:tcBorders>
              <w:top w:val="nil"/>
              <w:left w:val="nil"/>
              <w:bottom w:val="single" w:sz="4" w:space="0" w:color="auto"/>
              <w:right w:val="single" w:sz="4" w:space="0" w:color="auto"/>
            </w:tcBorders>
            <w:shd w:val="clear" w:color="auto" w:fill="BFBFBF"/>
          </w:tcPr>
          <w:p w14:paraId="24E68F48"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2028</w:t>
            </w:r>
          </w:p>
        </w:tc>
        <w:tc>
          <w:tcPr>
            <w:tcW w:w="3000" w:type="dxa"/>
            <w:vMerge/>
            <w:tcBorders>
              <w:top w:val="single" w:sz="4" w:space="0" w:color="auto"/>
              <w:left w:val="single" w:sz="4" w:space="0" w:color="auto"/>
              <w:bottom w:val="single" w:sz="4" w:space="0" w:color="auto"/>
              <w:right w:val="single" w:sz="4" w:space="0" w:color="auto"/>
            </w:tcBorders>
            <w:vAlign w:val="center"/>
          </w:tcPr>
          <w:p w14:paraId="3C13889C" w14:textId="77777777" w:rsidR="00BD372F" w:rsidRPr="00BD372F" w:rsidRDefault="00BD372F" w:rsidP="00BD372F">
            <w:pPr>
              <w:spacing w:after="0" w:line="240" w:lineRule="auto"/>
              <w:rPr>
                <w:rFonts w:ascii="Times New Roman" w:hAnsi="Times New Roman"/>
                <w:b/>
                <w:bCs/>
                <w:color w:val="FFFFFF"/>
                <w:sz w:val="24"/>
                <w:szCs w:val="24"/>
                <w:lang w:eastAsia="sk-SK"/>
              </w:rPr>
            </w:pPr>
          </w:p>
        </w:tc>
      </w:tr>
      <w:tr w:rsidR="00BD372F" w:rsidRPr="00BD372F" w14:paraId="57C1697B" w14:textId="77777777" w:rsidTr="00154BAB">
        <w:trPr>
          <w:trHeight w:val="255"/>
        </w:trPr>
        <w:tc>
          <w:tcPr>
            <w:tcW w:w="4950" w:type="dxa"/>
            <w:tcBorders>
              <w:top w:val="nil"/>
              <w:left w:val="single" w:sz="4" w:space="0" w:color="auto"/>
              <w:bottom w:val="single" w:sz="4" w:space="0" w:color="auto"/>
              <w:right w:val="single" w:sz="4" w:space="0" w:color="auto"/>
            </w:tcBorders>
          </w:tcPr>
          <w:p w14:paraId="6621F314" w14:textId="77777777" w:rsidR="00BD372F" w:rsidRPr="00BD372F" w:rsidRDefault="00BD372F" w:rsidP="00BD372F">
            <w:pPr>
              <w:spacing w:after="0" w:line="240" w:lineRule="auto"/>
              <w:rPr>
                <w:rFonts w:ascii="Times New Roman" w:hAnsi="Times New Roman"/>
                <w:b/>
                <w:bCs/>
                <w:sz w:val="24"/>
                <w:szCs w:val="24"/>
                <w:vertAlign w:val="superscript"/>
                <w:lang w:eastAsia="sk-SK"/>
              </w:rPr>
            </w:pPr>
            <w:r w:rsidRPr="00BD372F">
              <w:rPr>
                <w:rFonts w:ascii="Times New Roman" w:hAnsi="Times New Roman"/>
                <w:b/>
                <w:bCs/>
                <w:sz w:val="24"/>
                <w:szCs w:val="24"/>
                <w:lang w:eastAsia="sk-SK"/>
              </w:rPr>
              <w:t>Daňové príjmy (100)</w:t>
            </w:r>
            <w:r w:rsidRPr="00BD372F">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3F773FA6" w14:textId="77777777" w:rsidR="00BD372F" w:rsidRPr="00BD372F" w:rsidRDefault="00BD372F" w:rsidP="00BD372F">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14:paraId="5CD1A708" w14:textId="77777777" w:rsidR="00BD372F" w:rsidRPr="00BD372F" w:rsidRDefault="00BD372F" w:rsidP="00BD372F">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14:paraId="7201D50A" w14:textId="77777777" w:rsidR="00BD372F" w:rsidRPr="00BD372F" w:rsidRDefault="00BD372F" w:rsidP="00BD372F">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14:paraId="4B56D97E" w14:textId="77777777" w:rsidR="00BD372F" w:rsidRPr="00BD372F" w:rsidRDefault="00BD372F" w:rsidP="00BD372F">
            <w:pPr>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5DE29029" w14:textId="77777777"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sz w:val="24"/>
                <w:szCs w:val="24"/>
                <w:lang w:eastAsia="sk-SK"/>
              </w:rPr>
              <w:t> </w:t>
            </w:r>
          </w:p>
        </w:tc>
      </w:tr>
      <w:tr w:rsidR="00BD372F" w:rsidRPr="00BD372F" w14:paraId="5AF3CC60" w14:textId="77777777" w:rsidTr="00154BAB">
        <w:trPr>
          <w:trHeight w:val="255"/>
        </w:trPr>
        <w:tc>
          <w:tcPr>
            <w:tcW w:w="4950" w:type="dxa"/>
            <w:tcBorders>
              <w:top w:val="nil"/>
              <w:left w:val="single" w:sz="4" w:space="0" w:color="auto"/>
              <w:bottom w:val="single" w:sz="4" w:space="0" w:color="auto"/>
              <w:right w:val="single" w:sz="4" w:space="0" w:color="auto"/>
            </w:tcBorders>
          </w:tcPr>
          <w:p w14:paraId="31F885CD" w14:textId="77777777" w:rsidR="00BD372F" w:rsidRPr="00BD372F" w:rsidRDefault="00BD372F" w:rsidP="00BD372F">
            <w:pPr>
              <w:spacing w:after="0" w:line="240" w:lineRule="auto"/>
              <w:rPr>
                <w:rFonts w:ascii="Times New Roman" w:hAnsi="Times New Roman"/>
                <w:b/>
                <w:bCs/>
                <w:sz w:val="24"/>
                <w:szCs w:val="24"/>
                <w:lang w:eastAsia="sk-SK"/>
              </w:rPr>
            </w:pPr>
            <w:r w:rsidRPr="00BD372F">
              <w:rPr>
                <w:rFonts w:ascii="Times New Roman" w:hAnsi="Times New Roman"/>
                <w:b/>
                <w:bCs/>
                <w:sz w:val="24"/>
                <w:szCs w:val="24"/>
                <w:lang w:eastAsia="sk-SK"/>
              </w:rPr>
              <w:t>Nedaňové príjmy (200)</w:t>
            </w:r>
            <w:r w:rsidRPr="00BD372F">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2631D574" w14:textId="77777777" w:rsidR="00BD372F" w:rsidRPr="00BD372F" w:rsidRDefault="00BD372F" w:rsidP="00BD372F">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14:paraId="60D67DA8" w14:textId="77777777" w:rsidR="00BD372F" w:rsidRPr="00BD372F" w:rsidRDefault="00BD372F" w:rsidP="00BD372F">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14:paraId="1F9F90EA" w14:textId="77777777" w:rsidR="00BD372F" w:rsidRPr="00BD372F" w:rsidRDefault="00BD372F" w:rsidP="00BD372F">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14:paraId="478736A7" w14:textId="77777777" w:rsidR="00BD372F" w:rsidRPr="00BD372F" w:rsidRDefault="00BD372F" w:rsidP="00BD372F">
            <w:pPr>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29486FBF" w14:textId="77777777"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sz w:val="24"/>
                <w:szCs w:val="24"/>
                <w:lang w:eastAsia="sk-SK"/>
              </w:rPr>
              <w:t> </w:t>
            </w:r>
          </w:p>
        </w:tc>
      </w:tr>
      <w:tr w:rsidR="00BD372F" w:rsidRPr="00BD372F" w14:paraId="09152E03" w14:textId="77777777" w:rsidTr="00154BAB">
        <w:trPr>
          <w:trHeight w:val="255"/>
        </w:trPr>
        <w:tc>
          <w:tcPr>
            <w:tcW w:w="4950" w:type="dxa"/>
            <w:tcBorders>
              <w:top w:val="nil"/>
              <w:left w:val="single" w:sz="4" w:space="0" w:color="auto"/>
              <w:bottom w:val="single" w:sz="4" w:space="0" w:color="auto"/>
              <w:right w:val="single" w:sz="4" w:space="0" w:color="auto"/>
            </w:tcBorders>
          </w:tcPr>
          <w:p w14:paraId="55F45E7C" w14:textId="77777777" w:rsidR="00BD372F" w:rsidRPr="00BD372F" w:rsidRDefault="00BD372F" w:rsidP="00BD372F">
            <w:pPr>
              <w:spacing w:after="0" w:line="240" w:lineRule="auto"/>
              <w:rPr>
                <w:rFonts w:ascii="Times New Roman" w:hAnsi="Times New Roman"/>
                <w:b/>
                <w:bCs/>
                <w:sz w:val="24"/>
                <w:szCs w:val="24"/>
                <w:lang w:eastAsia="sk-SK"/>
              </w:rPr>
            </w:pPr>
            <w:r w:rsidRPr="00BD372F">
              <w:rPr>
                <w:rFonts w:ascii="Times New Roman" w:hAnsi="Times New Roman"/>
                <w:b/>
                <w:bCs/>
                <w:sz w:val="24"/>
                <w:szCs w:val="24"/>
                <w:lang w:eastAsia="sk-SK"/>
              </w:rPr>
              <w:t>Granty a transfery (300)</w:t>
            </w:r>
            <w:r w:rsidRPr="00BD372F">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1AD98C32" w14:textId="77777777" w:rsidR="00BD372F" w:rsidRPr="00BD372F" w:rsidRDefault="00BD372F" w:rsidP="00BD372F">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14:paraId="26E42924" w14:textId="77777777" w:rsidR="00BD372F" w:rsidRPr="00BD372F" w:rsidRDefault="00BD372F" w:rsidP="00BD372F">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14:paraId="1A0B0ECA" w14:textId="77777777" w:rsidR="00BD372F" w:rsidRPr="00BD372F" w:rsidRDefault="00BD372F" w:rsidP="00BD372F">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14:paraId="35432484" w14:textId="77777777" w:rsidR="00BD372F" w:rsidRPr="00BD372F" w:rsidRDefault="00BD372F" w:rsidP="00BD372F">
            <w:pPr>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6BDC9A37" w14:textId="77777777"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sz w:val="24"/>
                <w:szCs w:val="24"/>
                <w:lang w:eastAsia="sk-SK"/>
              </w:rPr>
              <w:t> </w:t>
            </w:r>
          </w:p>
        </w:tc>
      </w:tr>
      <w:tr w:rsidR="00BD372F" w:rsidRPr="00BD372F" w14:paraId="280145E5" w14:textId="77777777" w:rsidTr="00154BAB">
        <w:trPr>
          <w:trHeight w:val="255"/>
        </w:trPr>
        <w:tc>
          <w:tcPr>
            <w:tcW w:w="4950" w:type="dxa"/>
            <w:tcBorders>
              <w:top w:val="nil"/>
              <w:left w:val="single" w:sz="4" w:space="0" w:color="auto"/>
              <w:bottom w:val="single" w:sz="4" w:space="0" w:color="auto"/>
              <w:right w:val="single" w:sz="4" w:space="0" w:color="auto"/>
            </w:tcBorders>
          </w:tcPr>
          <w:p w14:paraId="0C92F0A6" w14:textId="77777777" w:rsidR="00BD372F" w:rsidRPr="00BD372F" w:rsidRDefault="00BD372F" w:rsidP="00BD372F">
            <w:pPr>
              <w:spacing w:after="0" w:line="240" w:lineRule="auto"/>
              <w:rPr>
                <w:rFonts w:ascii="Times New Roman" w:hAnsi="Times New Roman"/>
                <w:b/>
                <w:bCs/>
                <w:sz w:val="24"/>
                <w:szCs w:val="24"/>
                <w:lang w:eastAsia="sk-SK"/>
              </w:rPr>
            </w:pPr>
            <w:r w:rsidRPr="00BD372F">
              <w:rPr>
                <w:rFonts w:ascii="Times New Roman" w:hAnsi="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tcPr>
          <w:p w14:paraId="7C26D5AF"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tcPr>
          <w:p w14:paraId="78E0A26B"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tcPr>
          <w:p w14:paraId="5CC3C8D9"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tcPr>
          <w:p w14:paraId="5DFD0EE9"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5031F7EE" w14:textId="77777777"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sz w:val="24"/>
                <w:szCs w:val="24"/>
                <w:lang w:eastAsia="sk-SK"/>
              </w:rPr>
              <w:t> </w:t>
            </w:r>
          </w:p>
        </w:tc>
      </w:tr>
      <w:tr w:rsidR="00BD372F" w:rsidRPr="00BD372F" w14:paraId="50E90B40" w14:textId="77777777" w:rsidTr="00154BAB">
        <w:trPr>
          <w:trHeight w:val="255"/>
        </w:trPr>
        <w:tc>
          <w:tcPr>
            <w:tcW w:w="4950" w:type="dxa"/>
            <w:tcBorders>
              <w:top w:val="nil"/>
              <w:left w:val="single" w:sz="4" w:space="0" w:color="auto"/>
              <w:bottom w:val="single" w:sz="4" w:space="0" w:color="auto"/>
              <w:right w:val="single" w:sz="4" w:space="0" w:color="auto"/>
            </w:tcBorders>
          </w:tcPr>
          <w:p w14:paraId="53E33343" w14:textId="77777777" w:rsidR="00BD372F" w:rsidRPr="00BD372F" w:rsidRDefault="00BD372F" w:rsidP="00BD372F">
            <w:pPr>
              <w:spacing w:after="0" w:line="240" w:lineRule="auto"/>
              <w:rPr>
                <w:rFonts w:ascii="Times New Roman" w:hAnsi="Times New Roman"/>
                <w:b/>
                <w:bCs/>
                <w:sz w:val="24"/>
                <w:szCs w:val="24"/>
                <w:lang w:eastAsia="sk-SK"/>
              </w:rPr>
            </w:pPr>
            <w:r w:rsidRPr="00BD372F">
              <w:rPr>
                <w:rFonts w:ascii="Times New Roman" w:hAnsi="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tcPr>
          <w:p w14:paraId="4E327FB5"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tcPr>
          <w:p w14:paraId="025A31F4"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tcPr>
          <w:p w14:paraId="593B0008"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tcPr>
          <w:p w14:paraId="477D1B0F"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2583EB5D" w14:textId="77777777"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sz w:val="24"/>
                <w:szCs w:val="24"/>
                <w:lang w:eastAsia="sk-SK"/>
              </w:rPr>
              <w:t> </w:t>
            </w:r>
          </w:p>
        </w:tc>
      </w:tr>
      <w:tr w:rsidR="00BD372F" w:rsidRPr="00BD372F" w14:paraId="7250E4E2" w14:textId="77777777" w:rsidTr="00BD372F">
        <w:trPr>
          <w:trHeight w:val="255"/>
        </w:trPr>
        <w:tc>
          <w:tcPr>
            <w:tcW w:w="4950" w:type="dxa"/>
            <w:tcBorders>
              <w:top w:val="nil"/>
              <w:left w:val="single" w:sz="4" w:space="0" w:color="auto"/>
              <w:bottom w:val="single" w:sz="4" w:space="0" w:color="auto"/>
              <w:right w:val="single" w:sz="4" w:space="0" w:color="auto"/>
            </w:tcBorders>
            <w:shd w:val="clear" w:color="auto" w:fill="BFBFBF"/>
          </w:tcPr>
          <w:p w14:paraId="1761867F" w14:textId="77777777" w:rsidR="00BD372F" w:rsidRPr="00BD372F" w:rsidRDefault="00BD372F" w:rsidP="00BD372F">
            <w:pPr>
              <w:spacing w:after="0" w:line="240" w:lineRule="auto"/>
              <w:rPr>
                <w:rFonts w:ascii="Times New Roman" w:hAnsi="Times New Roman"/>
                <w:b/>
                <w:bCs/>
                <w:sz w:val="24"/>
                <w:szCs w:val="24"/>
                <w:lang w:eastAsia="sk-SK"/>
              </w:rPr>
            </w:pPr>
            <w:r w:rsidRPr="00BD372F">
              <w:rPr>
                <w:rFonts w:ascii="Times New Roman" w:hAnsi="Times New Roman"/>
                <w:b/>
                <w:bCs/>
                <w:sz w:val="24"/>
                <w:szCs w:val="24"/>
                <w:lang w:eastAsia="sk-SK"/>
              </w:rPr>
              <w:t>Vplyv na príjmy verejnej správy celkom</w:t>
            </w:r>
          </w:p>
        </w:tc>
        <w:tc>
          <w:tcPr>
            <w:tcW w:w="1500" w:type="dxa"/>
            <w:tcBorders>
              <w:top w:val="nil"/>
              <w:left w:val="nil"/>
              <w:bottom w:val="single" w:sz="4" w:space="0" w:color="auto"/>
              <w:right w:val="single" w:sz="4" w:space="0" w:color="auto"/>
            </w:tcBorders>
            <w:shd w:val="clear" w:color="auto" w:fill="BFBFBF"/>
          </w:tcPr>
          <w:p w14:paraId="13716D5D"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cPr>
          <w:p w14:paraId="017D373F"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cPr>
          <w:p w14:paraId="3BBD10AD"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cPr>
          <w:p w14:paraId="5F359DCE"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noWrap/>
            <w:vAlign w:val="bottom"/>
          </w:tcPr>
          <w:p w14:paraId="26F3CECA" w14:textId="77777777"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sz w:val="24"/>
                <w:szCs w:val="24"/>
                <w:lang w:eastAsia="sk-SK"/>
              </w:rPr>
              <w:t> </w:t>
            </w:r>
          </w:p>
        </w:tc>
      </w:tr>
    </w:tbl>
    <w:p w14:paraId="2469B993" w14:textId="77777777" w:rsidR="00BD372F" w:rsidRPr="00BD372F" w:rsidRDefault="00BD372F" w:rsidP="00BD372F">
      <w:pPr>
        <w:spacing w:after="0" w:line="240" w:lineRule="auto"/>
        <w:jc w:val="both"/>
        <w:rPr>
          <w:rFonts w:ascii="Times New Roman" w:hAnsi="Times New Roman"/>
          <w:bCs/>
          <w:sz w:val="20"/>
          <w:szCs w:val="20"/>
          <w:lang w:eastAsia="sk-SK"/>
        </w:rPr>
      </w:pPr>
      <w:r w:rsidRPr="00BD372F">
        <w:rPr>
          <w:rFonts w:ascii="Times New Roman" w:hAnsi="Times New Roman"/>
          <w:bCs/>
          <w:sz w:val="20"/>
          <w:szCs w:val="20"/>
          <w:lang w:eastAsia="sk-SK"/>
        </w:rPr>
        <w:t>1 –  príjmy rozpísať až do položiek platnej ekonomickej klasifikácie</w:t>
      </w:r>
    </w:p>
    <w:p w14:paraId="0700FF78" w14:textId="77777777" w:rsidR="00BD372F" w:rsidRPr="00BD372F" w:rsidRDefault="00BD372F" w:rsidP="00BD372F">
      <w:pPr>
        <w:spacing w:after="0" w:line="240" w:lineRule="auto"/>
        <w:jc w:val="both"/>
        <w:rPr>
          <w:rFonts w:ascii="Times New Roman" w:hAnsi="Times New Roman"/>
          <w:bCs/>
          <w:sz w:val="24"/>
          <w:szCs w:val="20"/>
          <w:lang w:eastAsia="sk-SK"/>
        </w:rPr>
      </w:pPr>
    </w:p>
    <w:p w14:paraId="4C554183" w14:textId="77777777" w:rsidR="00BD372F" w:rsidRPr="00BD372F" w:rsidRDefault="00BD372F" w:rsidP="00BD372F">
      <w:pPr>
        <w:spacing w:after="0" w:line="240" w:lineRule="auto"/>
        <w:jc w:val="both"/>
        <w:rPr>
          <w:rFonts w:ascii="Times New Roman" w:hAnsi="Times New Roman"/>
          <w:b/>
          <w:bCs/>
          <w:sz w:val="24"/>
          <w:szCs w:val="20"/>
          <w:lang w:eastAsia="sk-SK"/>
        </w:rPr>
      </w:pPr>
      <w:r w:rsidRPr="00BD372F">
        <w:rPr>
          <w:rFonts w:ascii="Times New Roman" w:hAnsi="Times New Roman"/>
          <w:b/>
          <w:bCs/>
          <w:sz w:val="24"/>
          <w:szCs w:val="20"/>
          <w:lang w:eastAsia="sk-SK"/>
        </w:rPr>
        <w:t>Poznámka:</w:t>
      </w:r>
    </w:p>
    <w:p w14:paraId="7DBF0ACA" w14:textId="77777777" w:rsidR="00BD372F" w:rsidRPr="00BD372F" w:rsidRDefault="00BD372F" w:rsidP="00BD372F">
      <w:pPr>
        <w:spacing w:after="0" w:line="240" w:lineRule="auto"/>
        <w:jc w:val="both"/>
        <w:rPr>
          <w:rFonts w:ascii="Times New Roman" w:hAnsi="Times New Roman"/>
          <w:bCs/>
          <w:sz w:val="24"/>
          <w:szCs w:val="20"/>
          <w:lang w:eastAsia="sk-SK"/>
        </w:rPr>
      </w:pPr>
      <w:r w:rsidRPr="00BD372F">
        <w:rPr>
          <w:rFonts w:ascii="Times New Roman" w:hAnsi="Times New Roman"/>
          <w:bCs/>
          <w:sz w:val="24"/>
          <w:szCs w:val="20"/>
          <w:lang w:eastAsia="sk-SK"/>
        </w:rPr>
        <w:t>Ak sa vplyv týka viacerých subjektov verejnej správy, vypĺňa sa samostatná tabuľka za každý subjekt.</w:t>
      </w:r>
    </w:p>
    <w:p w14:paraId="250DDD2C" w14:textId="77777777" w:rsidR="00BD372F" w:rsidRPr="00BD372F" w:rsidRDefault="00BD372F" w:rsidP="00BD372F">
      <w:pPr>
        <w:spacing w:after="0" w:line="240" w:lineRule="auto"/>
        <w:ind w:right="-578"/>
        <w:jc w:val="right"/>
        <w:rPr>
          <w:rFonts w:ascii="Times New Roman" w:hAnsi="Times New Roman"/>
          <w:bCs/>
          <w:sz w:val="24"/>
          <w:szCs w:val="24"/>
          <w:lang w:eastAsia="sk-SK"/>
        </w:rPr>
      </w:pPr>
      <w:r w:rsidRPr="00BD372F">
        <w:rPr>
          <w:rFonts w:ascii="Times New Roman" w:hAnsi="Times New Roman"/>
          <w:bCs/>
          <w:sz w:val="24"/>
          <w:szCs w:val="24"/>
          <w:lang w:eastAsia="sk-SK"/>
        </w:rPr>
        <w:t xml:space="preserve"> </w:t>
      </w:r>
    </w:p>
    <w:p w14:paraId="1FEAA925" w14:textId="77777777" w:rsidR="00BD372F" w:rsidRPr="00BD372F" w:rsidRDefault="00BD372F" w:rsidP="00BD372F">
      <w:pPr>
        <w:spacing w:after="0" w:line="240" w:lineRule="auto"/>
        <w:ind w:right="-578"/>
        <w:jc w:val="right"/>
        <w:rPr>
          <w:rFonts w:ascii="Times New Roman" w:hAnsi="Times New Roman"/>
          <w:bCs/>
          <w:sz w:val="24"/>
          <w:szCs w:val="24"/>
          <w:lang w:eastAsia="sk-SK"/>
        </w:rPr>
      </w:pPr>
    </w:p>
    <w:p w14:paraId="0867A0D9" w14:textId="77777777" w:rsidR="00BD372F" w:rsidRPr="00BD372F" w:rsidRDefault="00BD372F" w:rsidP="00BD372F">
      <w:pPr>
        <w:spacing w:after="0" w:line="240" w:lineRule="auto"/>
        <w:ind w:right="-578"/>
        <w:jc w:val="right"/>
        <w:rPr>
          <w:rFonts w:ascii="Times New Roman" w:hAnsi="Times New Roman"/>
          <w:bCs/>
          <w:sz w:val="24"/>
          <w:szCs w:val="24"/>
          <w:lang w:eastAsia="sk-SK"/>
        </w:rPr>
      </w:pPr>
    </w:p>
    <w:p w14:paraId="0A926559" w14:textId="77777777" w:rsidR="00BD372F" w:rsidRPr="00BD372F" w:rsidRDefault="00BD372F" w:rsidP="00BD372F">
      <w:pPr>
        <w:spacing w:after="0" w:line="240" w:lineRule="auto"/>
        <w:ind w:right="-578"/>
        <w:jc w:val="right"/>
        <w:rPr>
          <w:rFonts w:ascii="Times New Roman" w:hAnsi="Times New Roman"/>
          <w:bCs/>
          <w:sz w:val="24"/>
          <w:szCs w:val="24"/>
          <w:lang w:eastAsia="sk-SK"/>
        </w:rPr>
      </w:pPr>
    </w:p>
    <w:p w14:paraId="2D46C9DF" w14:textId="77777777" w:rsidR="00BD372F" w:rsidRPr="00BD372F" w:rsidRDefault="00BD372F" w:rsidP="00BD372F">
      <w:pPr>
        <w:spacing w:after="0" w:line="240" w:lineRule="auto"/>
        <w:ind w:right="-578"/>
        <w:jc w:val="right"/>
        <w:rPr>
          <w:rFonts w:ascii="Times New Roman" w:hAnsi="Times New Roman"/>
          <w:bCs/>
          <w:sz w:val="24"/>
          <w:szCs w:val="24"/>
          <w:lang w:eastAsia="sk-SK"/>
        </w:rPr>
      </w:pPr>
    </w:p>
    <w:p w14:paraId="0FBB2EE1" w14:textId="77777777" w:rsidR="00BD372F" w:rsidRPr="00BD372F" w:rsidRDefault="00BD372F" w:rsidP="00BD372F">
      <w:pPr>
        <w:spacing w:after="0" w:line="240" w:lineRule="auto"/>
        <w:ind w:right="-578"/>
        <w:jc w:val="right"/>
        <w:rPr>
          <w:rFonts w:ascii="Times New Roman" w:hAnsi="Times New Roman"/>
          <w:bCs/>
          <w:sz w:val="24"/>
          <w:szCs w:val="24"/>
          <w:lang w:eastAsia="sk-SK"/>
        </w:rPr>
      </w:pPr>
    </w:p>
    <w:p w14:paraId="1B02306D" w14:textId="77777777" w:rsidR="00BD372F" w:rsidRPr="00BD372F" w:rsidRDefault="00BD372F" w:rsidP="00BD372F">
      <w:pPr>
        <w:spacing w:after="0" w:line="240" w:lineRule="auto"/>
        <w:ind w:right="-578"/>
        <w:jc w:val="right"/>
        <w:rPr>
          <w:rFonts w:ascii="Times New Roman" w:hAnsi="Times New Roman"/>
          <w:bCs/>
          <w:sz w:val="24"/>
          <w:szCs w:val="24"/>
          <w:lang w:eastAsia="sk-SK"/>
        </w:rPr>
      </w:pPr>
    </w:p>
    <w:p w14:paraId="3E089266" w14:textId="77777777" w:rsidR="00BD372F" w:rsidRPr="00BD372F" w:rsidRDefault="00BD372F" w:rsidP="00BD372F">
      <w:pPr>
        <w:spacing w:after="0" w:line="240" w:lineRule="auto"/>
        <w:ind w:right="-578"/>
        <w:jc w:val="right"/>
        <w:rPr>
          <w:rFonts w:ascii="Times New Roman" w:hAnsi="Times New Roman"/>
          <w:bCs/>
          <w:sz w:val="24"/>
          <w:szCs w:val="24"/>
          <w:lang w:eastAsia="sk-SK"/>
        </w:rPr>
      </w:pPr>
    </w:p>
    <w:p w14:paraId="69E533DC" w14:textId="77777777" w:rsidR="00BD372F" w:rsidRPr="00BD372F" w:rsidRDefault="00BD372F" w:rsidP="00BD372F">
      <w:pPr>
        <w:spacing w:after="0" w:line="240" w:lineRule="auto"/>
        <w:ind w:right="-578"/>
        <w:jc w:val="right"/>
        <w:rPr>
          <w:rFonts w:ascii="Times New Roman" w:hAnsi="Times New Roman"/>
          <w:bCs/>
          <w:sz w:val="24"/>
          <w:szCs w:val="24"/>
          <w:lang w:eastAsia="sk-SK"/>
        </w:rPr>
      </w:pPr>
    </w:p>
    <w:p w14:paraId="190372D7" w14:textId="77777777" w:rsidR="00BD372F" w:rsidRPr="00BD372F" w:rsidRDefault="00BD372F" w:rsidP="00BD372F">
      <w:pPr>
        <w:spacing w:after="0" w:line="240" w:lineRule="auto"/>
        <w:ind w:right="-578"/>
        <w:jc w:val="right"/>
        <w:rPr>
          <w:rFonts w:ascii="Times New Roman" w:hAnsi="Times New Roman"/>
          <w:bCs/>
          <w:sz w:val="24"/>
          <w:szCs w:val="24"/>
          <w:lang w:eastAsia="sk-SK"/>
        </w:rPr>
      </w:pPr>
    </w:p>
    <w:p w14:paraId="34595582" w14:textId="77777777" w:rsidR="00BD372F" w:rsidRPr="00BD372F" w:rsidRDefault="00BD372F" w:rsidP="00BD372F">
      <w:pPr>
        <w:spacing w:after="0" w:line="240" w:lineRule="auto"/>
        <w:ind w:right="-578"/>
        <w:jc w:val="right"/>
        <w:rPr>
          <w:rFonts w:ascii="Times New Roman" w:hAnsi="Times New Roman"/>
          <w:bCs/>
          <w:sz w:val="24"/>
          <w:szCs w:val="24"/>
          <w:lang w:eastAsia="sk-SK"/>
        </w:rPr>
      </w:pPr>
    </w:p>
    <w:p w14:paraId="623226EE" w14:textId="77777777" w:rsidR="00BD372F" w:rsidRPr="00BD372F" w:rsidRDefault="00BD372F" w:rsidP="00BD372F">
      <w:pPr>
        <w:spacing w:after="0" w:line="240" w:lineRule="auto"/>
        <w:ind w:right="-578"/>
        <w:jc w:val="right"/>
        <w:rPr>
          <w:rFonts w:ascii="Times New Roman" w:hAnsi="Times New Roman"/>
          <w:bCs/>
          <w:sz w:val="24"/>
          <w:szCs w:val="24"/>
          <w:lang w:eastAsia="sk-SK"/>
        </w:rPr>
      </w:pPr>
    </w:p>
    <w:p w14:paraId="390C55F9" w14:textId="77777777" w:rsidR="00BD372F" w:rsidRPr="00BD372F" w:rsidRDefault="00BD372F" w:rsidP="00BD372F">
      <w:pPr>
        <w:spacing w:after="0" w:line="240" w:lineRule="auto"/>
        <w:ind w:right="-578"/>
        <w:jc w:val="right"/>
        <w:rPr>
          <w:rFonts w:ascii="Times New Roman" w:hAnsi="Times New Roman"/>
          <w:bCs/>
          <w:sz w:val="24"/>
          <w:szCs w:val="24"/>
          <w:lang w:eastAsia="sk-SK"/>
        </w:rPr>
      </w:pPr>
    </w:p>
    <w:p w14:paraId="294AFF4F" w14:textId="77777777" w:rsidR="00BD372F" w:rsidRPr="00BD372F" w:rsidRDefault="00BD372F" w:rsidP="00BD372F">
      <w:pPr>
        <w:spacing w:after="0" w:line="240" w:lineRule="auto"/>
        <w:ind w:right="-578"/>
        <w:jc w:val="right"/>
        <w:rPr>
          <w:rFonts w:ascii="Times New Roman" w:hAnsi="Times New Roman"/>
          <w:bCs/>
          <w:sz w:val="24"/>
          <w:szCs w:val="24"/>
          <w:lang w:eastAsia="sk-SK"/>
        </w:rPr>
      </w:pPr>
    </w:p>
    <w:p w14:paraId="3D3148F9" w14:textId="77777777" w:rsidR="00BD372F" w:rsidRPr="00BD372F" w:rsidRDefault="00BD372F" w:rsidP="00BD372F">
      <w:pPr>
        <w:spacing w:after="0" w:line="240" w:lineRule="auto"/>
        <w:ind w:right="-578"/>
        <w:jc w:val="right"/>
        <w:rPr>
          <w:rFonts w:ascii="Times New Roman" w:hAnsi="Times New Roman"/>
          <w:bCs/>
          <w:sz w:val="24"/>
          <w:szCs w:val="24"/>
          <w:lang w:eastAsia="sk-SK"/>
        </w:rPr>
      </w:pPr>
    </w:p>
    <w:p w14:paraId="26C9590B" w14:textId="77777777" w:rsidR="00BD372F" w:rsidRPr="00BD372F" w:rsidRDefault="00BD372F" w:rsidP="00BD372F">
      <w:pPr>
        <w:spacing w:after="0" w:line="240" w:lineRule="auto"/>
        <w:ind w:right="-578"/>
        <w:jc w:val="right"/>
        <w:rPr>
          <w:rFonts w:ascii="Times New Roman" w:hAnsi="Times New Roman"/>
          <w:bCs/>
          <w:sz w:val="24"/>
          <w:szCs w:val="24"/>
          <w:lang w:eastAsia="sk-SK"/>
        </w:rPr>
      </w:pPr>
    </w:p>
    <w:p w14:paraId="1569B3A5" w14:textId="77777777" w:rsidR="00BD372F" w:rsidRPr="00BD372F" w:rsidRDefault="00BD372F" w:rsidP="00BD372F">
      <w:pPr>
        <w:spacing w:after="0" w:line="240" w:lineRule="auto"/>
        <w:ind w:right="-578"/>
        <w:jc w:val="right"/>
        <w:rPr>
          <w:rFonts w:ascii="Times New Roman" w:hAnsi="Times New Roman"/>
          <w:bCs/>
          <w:sz w:val="24"/>
          <w:szCs w:val="24"/>
          <w:lang w:eastAsia="sk-SK"/>
        </w:rPr>
      </w:pPr>
    </w:p>
    <w:p w14:paraId="131D80B5" w14:textId="77777777" w:rsidR="00BD372F" w:rsidRPr="00BD372F" w:rsidRDefault="00BD372F" w:rsidP="00BD372F">
      <w:pPr>
        <w:spacing w:after="0" w:line="240" w:lineRule="auto"/>
        <w:jc w:val="both"/>
        <w:rPr>
          <w:rFonts w:ascii="Times New Roman" w:hAnsi="Times New Roman"/>
          <w:bCs/>
          <w:sz w:val="20"/>
          <w:szCs w:val="20"/>
          <w:lang w:eastAsia="sk-SK"/>
        </w:rPr>
      </w:pPr>
      <w:r w:rsidRPr="00BD372F">
        <w:rPr>
          <w:rFonts w:ascii="Times New Roman" w:hAnsi="Times New Roman"/>
          <w:bCs/>
          <w:sz w:val="20"/>
          <w:szCs w:val="20"/>
          <w:lang w:eastAsia="sk-SK"/>
        </w:rPr>
        <w:t xml:space="preserve">                                                                                                                                                                                                                                                            Tabuľka č. 4/A</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BD372F" w:rsidRPr="00BD372F" w14:paraId="4CA2969C" w14:textId="77777777" w:rsidTr="00BD372F">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14:paraId="6DDF6955"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Výdavky (v eurách)</w:t>
            </w:r>
          </w:p>
          <w:p w14:paraId="2ED8C9F5"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Štátna pokladnica</w:t>
            </w:r>
          </w:p>
        </w:tc>
        <w:tc>
          <w:tcPr>
            <w:tcW w:w="6160" w:type="dxa"/>
            <w:gridSpan w:val="4"/>
            <w:tcBorders>
              <w:top w:val="single" w:sz="4" w:space="0" w:color="auto"/>
              <w:left w:val="nil"/>
              <w:bottom w:val="single" w:sz="4" w:space="0" w:color="auto"/>
              <w:right w:val="single" w:sz="4" w:space="0" w:color="auto"/>
            </w:tcBorders>
            <w:shd w:val="clear" w:color="auto" w:fill="BFBFBF"/>
          </w:tcPr>
          <w:p w14:paraId="4DC87B05"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1F243F71"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poznámka</w:t>
            </w:r>
          </w:p>
        </w:tc>
      </w:tr>
      <w:tr w:rsidR="00BD372F" w:rsidRPr="00BD372F" w14:paraId="06EFCCF4" w14:textId="77777777" w:rsidTr="00BD372F">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1478C03B" w14:textId="77777777" w:rsidR="00BD372F" w:rsidRPr="00BD372F" w:rsidRDefault="00BD372F" w:rsidP="00BD372F">
            <w:pPr>
              <w:spacing w:after="0" w:line="240" w:lineRule="auto"/>
              <w:rPr>
                <w:rFonts w:ascii="Times New Roman" w:hAnsi="Times New Roman"/>
                <w:b/>
                <w:bCs/>
                <w:color w:val="FFFFFF"/>
                <w:sz w:val="20"/>
                <w:szCs w:val="20"/>
                <w:lang w:eastAsia="sk-SK"/>
              </w:rPr>
            </w:pPr>
          </w:p>
        </w:tc>
        <w:tc>
          <w:tcPr>
            <w:tcW w:w="1430" w:type="dxa"/>
            <w:tcBorders>
              <w:top w:val="nil"/>
              <w:left w:val="nil"/>
              <w:bottom w:val="single" w:sz="4" w:space="0" w:color="auto"/>
              <w:right w:val="single" w:sz="4" w:space="0" w:color="auto"/>
            </w:tcBorders>
            <w:shd w:val="clear" w:color="auto" w:fill="BFBFBF"/>
          </w:tcPr>
          <w:p w14:paraId="77735DF0"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2025</w:t>
            </w:r>
          </w:p>
        </w:tc>
        <w:tc>
          <w:tcPr>
            <w:tcW w:w="1650" w:type="dxa"/>
            <w:tcBorders>
              <w:top w:val="nil"/>
              <w:left w:val="nil"/>
              <w:bottom w:val="single" w:sz="4" w:space="0" w:color="auto"/>
              <w:right w:val="single" w:sz="4" w:space="0" w:color="auto"/>
            </w:tcBorders>
            <w:shd w:val="clear" w:color="auto" w:fill="BFBFBF"/>
          </w:tcPr>
          <w:p w14:paraId="1FE7BD78"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2026</w:t>
            </w:r>
          </w:p>
        </w:tc>
        <w:tc>
          <w:tcPr>
            <w:tcW w:w="1540" w:type="dxa"/>
            <w:tcBorders>
              <w:top w:val="nil"/>
              <w:left w:val="nil"/>
              <w:bottom w:val="single" w:sz="4" w:space="0" w:color="auto"/>
              <w:right w:val="single" w:sz="4" w:space="0" w:color="auto"/>
            </w:tcBorders>
            <w:shd w:val="clear" w:color="auto" w:fill="BFBFBF"/>
          </w:tcPr>
          <w:p w14:paraId="185C730C"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2027</w:t>
            </w:r>
          </w:p>
        </w:tc>
        <w:tc>
          <w:tcPr>
            <w:tcW w:w="1540" w:type="dxa"/>
            <w:tcBorders>
              <w:top w:val="nil"/>
              <w:left w:val="nil"/>
              <w:bottom w:val="single" w:sz="4" w:space="0" w:color="auto"/>
              <w:right w:val="single" w:sz="4" w:space="0" w:color="auto"/>
            </w:tcBorders>
            <w:shd w:val="clear" w:color="auto" w:fill="BFBFBF"/>
          </w:tcPr>
          <w:p w14:paraId="2DB64DA8"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0"/>
                <w:szCs w:val="20"/>
                <w:lang w:eastAsia="sk-SK"/>
              </w:rPr>
              <w:t>2028</w:t>
            </w:r>
          </w:p>
        </w:tc>
        <w:tc>
          <w:tcPr>
            <w:tcW w:w="1649" w:type="dxa"/>
            <w:vMerge/>
            <w:tcBorders>
              <w:top w:val="single" w:sz="4" w:space="0" w:color="auto"/>
              <w:left w:val="single" w:sz="4" w:space="0" w:color="auto"/>
              <w:bottom w:val="single" w:sz="4" w:space="0" w:color="auto"/>
              <w:right w:val="single" w:sz="4" w:space="0" w:color="auto"/>
            </w:tcBorders>
            <w:vAlign w:val="center"/>
          </w:tcPr>
          <w:p w14:paraId="45CDE5A5" w14:textId="77777777" w:rsidR="00BD372F" w:rsidRPr="00BD372F" w:rsidRDefault="00BD372F" w:rsidP="00BD372F">
            <w:pPr>
              <w:spacing w:after="0" w:line="240" w:lineRule="auto"/>
              <w:rPr>
                <w:rFonts w:ascii="Times New Roman" w:hAnsi="Times New Roman"/>
                <w:b/>
                <w:bCs/>
                <w:color w:val="FFFFFF"/>
                <w:sz w:val="24"/>
                <w:szCs w:val="24"/>
                <w:lang w:eastAsia="sk-SK"/>
              </w:rPr>
            </w:pPr>
          </w:p>
        </w:tc>
      </w:tr>
      <w:tr w:rsidR="00BD372F" w:rsidRPr="00BD372F" w14:paraId="4E4DFAA2" w14:textId="77777777" w:rsidTr="00154BAB">
        <w:trPr>
          <w:trHeight w:val="255"/>
        </w:trPr>
        <w:tc>
          <w:tcPr>
            <w:tcW w:w="7070" w:type="dxa"/>
            <w:tcBorders>
              <w:top w:val="nil"/>
              <w:left w:val="single" w:sz="4" w:space="0" w:color="auto"/>
              <w:bottom w:val="single" w:sz="4" w:space="0" w:color="auto"/>
              <w:right w:val="single" w:sz="4" w:space="0" w:color="auto"/>
            </w:tcBorders>
          </w:tcPr>
          <w:p w14:paraId="3896503B" w14:textId="77777777" w:rsidR="00BD372F" w:rsidRPr="00BD372F" w:rsidRDefault="00BD372F" w:rsidP="00BD372F">
            <w:pPr>
              <w:spacing w:after="0" w:line="240" w:lineRule="auto"/>
              <w:rPr>
                <w:rFonts w:ascii="Times New Roman" w:hAnsi="Times New Roman"/>
                <w:b/>
                <w:bCs/>
                <w:sz w:val="20"/>
                <w:szCs w:val="20"/>
                <w:lang w:eastAsia="sk-SK"/>
              </w:rPr>
            </w:pPr>
            <w:r w:rsidRPr="00BD372F">
              <w:rPr>
                <w:rFonts w:ascii="Times New Roman" w:hAnsi="Times New Roman"/>
                <w:b/>
                <w:bCs/>
                <w:sz w:val="20"/>
                <w:szCs w:val="20"/>
                <w:lang w:eastAsia="sk-SK"/>
              </w:rPr>
              <w:t>Bežné výdavky (600)</w:t>
            </w:r>
          </w:p>
        </w:tc>
        <w:tc>
          <w:tcPr>
            <w:tcW w:w="1430" w:type="dxa"/>
            <w:tcBorders>
              <w:top w:val="nil"/>
              <w:left w:val="nil"/>
              <w:bottom w:val="single" w:sz="4" w:space="0" w:color="auto"/>
              <w:right w:val="single" w:sz="4" w:space="0" w:color="auto"/>
            </w:tcBorders>
          </w:tcPr>
          <w:p w14:paraId="7990CBFC" w14:textId="77777777" w:rsidR="00BD372F" w:rsidRPr="00BD372F" w:rsidRDefault="00BD372F" w:rsidP="00BD372F">
            <w:pPr>
              <w:spacing w:after="0" w:line="240" w:lineRule="auto"/>
              <w:jc w:val="center"/>
              <w:rPr>
                <w:rFonts w:ascii="Times New Roman" w:hAnsi="Times New Roman"/>
                <w:b/>
                <w:bCs/>
                <w:sz w:val="20"/>
                <w:szCs w:val="20"/>
                <w:lang w:eastAsia="sk-SK"/>
              </w:rPr>
            </w:pPr>
          </w:p>
        </w:tc>
        <w:tc>
          <w:tcPr>
            <w:tcW w:w="1650" w:type="dxa"/>
            <w:tcBorders>
              <w:top w:val="nil"/>
              <w:left w:val="nil"/>
              <w:bottom w:val="single" w:sz="4" w:space="0" w:color="auto"/>
              <w:right w:val="single" w:sz="4" w:space="0" w:color="auto"/>
            </w:tcBorders>
          </w:tcPr>
          <w:p w14:paraId="42EE799C" w14:textId="77777777" w:rsidR="00BD372F" w:rsidRPr="00BD372F" w:rsidRDefault="00BD372F" w:rsidP="00BD372F">
            <w:pPr>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14:paraId="51BC2146" w14:textId="77777777" w:rsidR="00BD372F" w:rsidRPr="00BD372F" w:rsidRDefault="00BD372F" w:rsidP="00BD372F">
            <w:pPr>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14:paraId="39555ED6" w14:textId="77777777" w:rsidR="00BD372F" w:rsidRPr="00BD372F" w:rsidRDefault="00BD372F" w:rsidP="00BD372F">
            <w:pPr>
              <w:spacing w:after="0" w:line="240" w:lineRule="auto"/>
              <w:jc w:val="center"/>
              <w:rPr>
                <w:rFonts w:ascii="Times New Roman" w:hAnsi="Times New Roman"/>
                <w:b/>
                <w:bCs/>
                <w:sz w:val="20"/>
                <w:szCs w:val="20"/>
                <w:lang w:eastAsia="sk-SK"/>
              </w:rPr>
            </w:pPr>
          </w:p>
        </w:tc>
        <w:tc>
          <w:tcPr>
            <w:tcW w:w="1649" w:type="dxa"/>
            <w:tcBorders>
              <w:top w:val="nil"/>
              <w:left w:val="nil"/>
              <w:bottom w:val="single" w:sz="4" w:space="0" w:color="auto"/>
              <w:right w:val="single" w:sz="4" w:space="0" w:color="auto"/>
            </w:tcBorders>
            <w:noWrap/>
            <w:vAlign w:val="bottom"/>
          </w:tcPr>
          <w:p w14:paraId="1B23FA82" w14:textId="77777777"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sz w:val="24"/>
                <w:szCs w:val="24"/>
                <w:lang w:eastAsia="sk-SK"/>
              </w:rPr>
              <w:t> </w:t>
            </w:r>
          </w:p>
        </w:tc>
      </w:tr>
      <w:tr w:rsidR="00BD372F" w:rsidRPr="00BD372F" w14:paraId="46981166" w14:textId="77777777" w:rsidTr="00154BAB">
        <w:trPr>
          <w:trHeight w:val="255"/>
        </w:trPr>
        <w:tc>
          <w:tcPr>
            <w:tcW w:w="7070" w:type="dxa"/>
            <w:tcBorders>
              <w:top w:val="nil"/>
              <w:left w:val="single" w:sz="4" w:space="0" w:color="auto"/>
              <w:bottom w:val="single" w:sz="4" w:space="0" w:color="auto"/>
              <w:right w:val="single" w:sz="4" w:space="0" w:color="auto"/>
            </w:tcBorders>
          </w:tcPr>
          <w:p w14:paraId="2094F58A" w14:textId="77777777" w:rsidR="00BD372F" w:rsidRPr="00BD372F" w:rsidRDefault="00BD372F" w:rsidP="00BD372F">
            <w:pPr>
              <w:spacing w:after="0" w:line="240" w:lineRule="auto"/>
              <w:rPr>
                <w:rFonts w:ascii="Times New Roman" w:hAnsi="Times New Roman"/>
                <w:sz w:val="20"/>
                <w:szCs w:val="20"/>
                <w:lang w:eastAsia="sk-SK"/>
              </w:rPr>
            </w:pPr>
            <w:r w:rsidRPr="00BD372F">
              <w:rPr>
                <w:rFonts w:ascii="Times New Roman" w:hAnsi="Times New Roman"/>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14:paraId="0D9C7D10"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1650" w:type="dxa"/>
            <w:tcBorders>
              <w:top w:val="nil"/>
              <w:left w:val="nil"/>
              <w:bottom w:val="single" w:sz="4" w:space="0" w:color="auto"/>
              <w:right w:val="single" w:sz="4" w:space="0" w:color="auto"/>
            </w:tcBorders>
          </w:tcPr>
          <w:p w14:paraId="47767EB1"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14:paraId="27E728C4"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14:paraId="6A13A039"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1649" w:type="dxa"/>
            <w:tcBorders>
              <w:top w:val="nil"/>
              <w:left w:val="nil"/>
              <w:bottom w:val="single" w:sz="4" w:space="0" w:color="auto"/>
              <w:right w:val="single" w:sz="4" w:space="0" w:color="auto"/>
            </w:tcBorders>
            <w:noWrap/>
            <w:vAlign w:val="bottom"/>
          </w:tcPr>
          <w:p w14:paraId="0DF68D51" w14:textId="77777777"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sz w:val="24"/>
                <w:szCs w:val="24"/>
                <w:lang w:eastAsia="sk-SK"/>
              </w:rPr>
              <w:t> </w:t>
            </w:r>
          </w:p>
        </w:tc>
      </w:tr>
      <w:tr w:rsidR="00BD372F" w:rsidRPr="00BD372F" w14:paraId="610B46D1" w14:textId="77777777" w:rsidTr="00154BAB">
        <w:trPr>
          <w:trHeight w:val="255"/>
        </w:trPr>
        <w:tc>
          <w:tcPr>
            <w:tcW w:w="7070" w:type="dxa"/>
            <w:tcBorders>
              <w:top w:val="nil"/>
              <w:left w:val="single" w:sz="4" w:space="0" w:color="auto"/>
              <w:bottom w:val="single" w:sz="4" w:space="0" w:color="auto"/>
              <w:right w:val="single" w:sz="4" w:space="0" w:color="auto"/>
            </w:tcBorders>
          </w:tcPr>
          <w:p w14:paraId="52E06001" w14:textId="77777777" w:rsidR="00BD372F" w:rsidRPr="00BD372F" w:rsidRDefault="00BD372F" w:rsidP="00BD372F">
            <w:pPr>
              <w:spacing w:after="0" w:line="240" w:lineRule="auto"/>
              <w:rPr>
                <w:rFonts w:ascii="Times New Roman" w:hAnsi="Times New Roman"/>
                <w:sz w:val="20"/>
                <w:szCs w:val="20"/>
                <w:vertAlign w:val="superscript"/>
                <w:lang w:eastAsia="sk-SK"/>
              </w:rPr>
            </w:pPr>
            <w:r w:rsidRPr="00BD372F">
              <w:rPr>
                <w:rFonts w:ascii="Times New Roman" w:hAnsi="Times New Roman"/>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14:paraId="04CFDA10"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1650" w:type="dxa"/>
            <w:tcBorders>
              <w:top w:val="nil"/>
              <w:left w:val="nil"/>
              <w:bottom w:val="single" w:sz="4" w:space="0" w:color="auto"/>
              <w:right w:val="single" w:sz="4" w:space="0" w:color="auto"/>
            </w:tcBorders>
          </w:tcPr>
          <w:p w14:paraId="34ED472B"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14:paraId="0DD00EAC"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14:paraId="01CF8BFE"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1649" w:type="dxa"/>
            <w:tcBorders>
              <w:top w:val="nil"/>
              <w:left w:val="nil"/>
              <w:bottom w:val="single" w:sz="4" w:space="0" w:color="auto"/>
              <w:right w:val="single" w:sz="4" w:space="0" w:color="auto"/>
            </w:tcBorders>
            <w:noWrap/>
            <w:vAlign w:val="bottom"/>
          </w:tcPr>
          <w:p w14:paraId="123A48E5" w14:textId="77777777"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sz w:val="24"/>
                <w:szCs w:val="24"/>
                <w:lang w:eastAsia="sk-SK"/>
              </w:rPr>
              <w:t> </w:t>
            </w:r>
          </w:p>
        </w:tc>
      </w:tr>
      <w:tr w:rsidR="00BD372F" w:rsidRPr="00BD372F" w14:paraId="6964CA03" w14:textId="77777777" w:rsidTr="00154BAB">
        <w:trPr>
          <w:trHeight w:val="255"/>
        </w:trPr>
        <w:tc>
          <w:tcPr>
            <w:tcW w:w="7070" w:type="dxa"/>
            <w:tcBorders>
              <w:top w:val="nil"/>
              <w:left w:val="single" w:sz="4" w:space="0" w:color="auto"/>
              <w:bottom w:val="single" w:sz="4" w:space="0" w:color="auto"/>
              <w:right w:val="single" w:sz="4" w:space="0" w:color="auto"/>
            </w:tcBorders>
          </w:tcPr>
          <w:p w14:paraId="08A8B7AA" w14:textId="77777777" w:rsidR="00BD372F" w:rsidRPr="00BD372F" w:rsidRDefault="00BD372F" w:rsidP="00BD372F">
            <w:pPr>
              <w:spacing w:after="0" w:line="240" w:lineRule="auto"/>
              <w:rPr>
                <w:rFonts w:ascii="Times New Roman" w:hAnsi="Times New Roman"/>
                <w:sz w:val="20"/>
                <w:szCs w:val="20"/>
                <w:vertAlign w:val="superscript"/>
                <w:lang w:eastAsia="sk-SK"/>
              </w:rPr>
            </w:pPr>
            <w:r w:rsidRPr="00BD372F">
              <w:rPr>
                <w:rFonts w:ascii="Times New Roman" w:hAnsi="Times New Roman"/>
                <w:sz w:val="20"/>
                <w:szCs w:val="20"/>
                <w:lang w:eastAsia="sk-SK"/>
              </w:rPr>
              <w:t xml:space="preserve">  Tovary a služby (630)</w:t>
            </w:r>
            <w:r w:rsidRPr="00BD372F">
              <w:rPr>
                <w:rFonts w:ascii="Times New Roman" w:hAnsi="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4B9AB246"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1650" w:type="dxa"/>
            <w:tcBorders>
              <w:top w:val="nil"/>
              <w:left w:val="nil"/>
              <w:bottom w:val="single" w:sz="4" w:space="0" w:color="auto"/>
              <w:right w:val="single" w:sz="4" w:space="0" w:color="auto"/>
            </w:tcBorders>
          </w:tcPr>
          <w:p w14:paraId="08B60625"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14:paraId="4A165D55"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14:paraId="57075FF1"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1649" w:type="dxa"/>
            <w:tcBorders>
              <w:top w:val="nil"/>
              <w:left w:val="nil"/>
              <w:bottom w:val="single" w:sz="4" w:space="0" w:color="auto"/>
              <w:right w:val="single" w:sz="4" w:space="0" w:color="auto"/>
            </w:tcBorders>
            <w:noWrap/>
            <w:vAlign w:val="bottom"/>
          </w:tcPr>
          <w:p w14:paraId="50F88720" w14:textId="77777777"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sz w:val="24"/>
                <w:szCs w:val="24"/>
                <w:lang w:eastAsia="sk-SK"/>
              </w:rPr>
              <w:t> </w:t>
            </w:r>
          </w:p>
        </w:tc>
      </w:tr>
      <w:tr w:rsidR="00BD372F" w:rsidRPr="00BD372F" w14:paraId="580B96E4" w14:textId="77777777" w:rsidTr="00154BAB">
        <w:trPr>
          <w:trHeight w:val="255"/>
        </w:trPr>
        <w:tc>
          <w:tcPr>
            <w:tcW w:w="7070" w:type="dxa"/>
            <w:tcBorders>
              <w:top w:val="nil"/>
              <w:left w:val="single" w:sz="4" w:space="0" w:color="auto"/>
              <w:bottom w:val="single" w:sz="4" w:space="0" w:color="auto"/>
              <w:right w:val="single" w:sz="4" w:space="0" w:color="auto"/>
            </w:tcBorders>
          </w:tcPr>
          <w:p w14:paraId="5AA6CACD" w14:textId="77777777" w:rsidR="00BD372F" w:rsidRPr="00BD372F" w:rsidRDefault="00BD372F" w:rsidP="00BD372F">
            <w:pPr>
              <w:spacing w:after="0" w:line="240" w:lineRule="auto"/>
              <w:rPr>
                <w:rFonts w:ascii="Times New Roman" w:hAnsi="Times New Roman"/>
                <w:sz w:val="20"/>
                <w:szCs w:val="20"/>
                <w:lang w:eastAsia="sk-SK"/>
              </w:rPr>
            </w:pPr>
            <w:r w:rsidRPr="00BD372F">
              <w:rPr>
                <w:rFonts w:ascii="Times New Roman" w:hAnsi="Times New Roman"/>
                <w:sz w:val="20"/>
                <w:szCs w:val="20"/>
                <w:lang w:eastAsia="sk-SK"/>
              </w:rPr>
              <w:t xml:space="preserve">  Bežné transfery (640)</w:t>
            </w:r>
            <w:r w:rsidRPr="00BD372F">
              <w:rPr>
                <w:rFonts w:ascii="Times New Roman" w:hAnsi="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4BBF0206"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1650" w:type="dxa"/>
            <w:tcBorders>
              <w:top w:val="nil"/>
              <w:left w:val="nil"/>
              <w:bottom w:val="single" w:sz="4" w:space="0" w:color="auto"/>
              <w:right w:val="single" w:sz="4" w:space="0" w:color="auto"/>
            </w:tcBorders>
          </w:tcPr>
          <w:p w14:paraId="79BD7B11"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14:paraId="752721AD"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14:paraId="7943D644"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1649" w:type="dxa"/>
            <w:tcBorders>
              <w:top w:val="nil"/>
              <w:left w:val="nil"/>
              <w:bottom w:val="single" w:sz="4" w:space="0" w:color="auto"/>
              <w:right w:val="single" w:sz="4" w:space="0" w:color="auto"/>
            </w:tcBorders>
            <w:noWrap/>
            <w:vAlign w:val="bottom"/>
          </w:tcPr>
          <w:p w14:paraId="3A7FE89D" w14:textId="77777777"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sz w:val="24"/>
                <w:szCs w:val="24"/>
                <w:lang w:eastAsia="sk-SK"/>
              </w:rPr>
              <w:t> </w:t>
            </w:r>
          </w:p>
        </w:tc>
      </w:tr>
      <w:tr w:rsidR="00BD372F" w:rsidRPr="00BD372F" w14:paraId="1D500A3D" w14:textId="77777777" w:rsidTr="00154BAB">
        <w:trPr>
          <w:trHeight w:val="255"/>
        </w:trPr>
        <w:tc>
          <w:tcPr>
            <w:tcW w:w="7070" w:type="dxa"/>
            <w:tcBorders>
              <w:top w:val="nil"/>
              <w:left w:val="single" w:sz="4" w:space="0" w:color="auto"/>
              <w:bottom w:val="single" w:sz="4" w:space="0" w:color="auto"/>
              <w:right w:val="single" w:sz="4" w:space="0" w:color="auto"/>
            </w:tcBorders>
            <w:vAlign w:val="center"/>
          </w:tcPr>
          <w:p w14:paraId="4FA88A16" w14:textId="77777777" w:rsidR="00BD372F" w:rsidRPr="00BD372F" w:rsidRDefault="00BD372F" w:rsidP="00BD372F">
            <w:pPr>
              <w:spacing w:after="0" w:line="240" w:lineRule="auto"/>
              <w:rPr>
                <w:rFonts w:ascii="Times New Roman" w:hAnsi="Times New Roman"/>
                <w:sz w:val="20"/>
                <w:szCs w:val="20"/>
                <w:lang w:eastAsia="sk-SK"/>
              </w:rPr>
            </w:pPr>
            <w:r w:rsidRPr="00BD372F">
              <w:rPr>
                <w:rFonts w:ascii="Times New Roman" w:hAnsi="Times New Roman"/>
                <w:sz w:val="20"/>
                <w:szCs w:val="20"/>
                <w:lang w:eastAsia="sk-SK"/>
              </w:rPr>
              <w:t xml:space="preserve">  Splácanie úrokov a ostatné platby súvisiace s </w:t>
            </w:r>
            <w:r w:rsidRPr="00BD372F">
              <w:rPr>
                <w:rFonts w:ascii="Calibri" w:eastAsia="Calibri" w:hAnsi="Calibri"/>
                <w:szCs w:val="22"/>
              </w:rPr>
              <w:t xml:space="preserve"> </w:t>
            </w:r>
            <w:r w:rsidRPr="00BD372F">
              <w:rPr>
                <w:rFonts w:ascii="Times New Roman" w:hAnsi="Times New Roman"/>
                <w:sz w:val="20"/>
                <w:szCs w:val="20"/>
                <w:lang w:eastAsia="sk-SK"/>
              </w:rPr>
              <w:t>úverom, pôžičkou, návratnou finančnou výpomocou a finančným prenájmom (650)</w:t>
            </w:r>
            <w:r w:rsidRPr="00BD372F">
              <w:rPr>
                <w:rFonts w:ascii="Times New Roman" w:hAnsi="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0FC63EFE"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1650" w:type="dxa"/>
            <w:tcBorders>
              <w:top w:val="nil"/>
              <w:left w:val="nil"/>
              <w:bottom w:val="single" w:sz="4" w:space="0" w:color="auto"/>
              <w:right w:val="single" w:sz="4" w:space="0" w:color="auto"/>
            </w:tcBorders>
          </w:tcPr>
          <w:p w14:paraId="436B5750"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14:paraId="08016505"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14:paraId="388D12D6"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1649" w:type="dxa"/>
            <w:tcBorders>
              <w:top w:val="nil"/>
              <w:left w:val="nil"/>
              <w:bottom w:val="single" w:sz="4" w:space="0" w:color="auto"/>
              <w:right w:val="single" w:sz="4" w:space="0" w:color="auto"/>
            </w:tcBorders>
            <w:noWrap/>
            <w:vAlign w:val="bottom"/>
          </w:tcPr>
          <w:p w14:paraId="1718610E" w14:textId="77777777" w:rsidR="00BD372F" w:rsidRPr="00BD372F" w:rsidRDefault="00BD372F" w:rsidP="00BD372F">
            <w:pPr>
              <w:spacing w:after="0" w:line="240" w:lineRule="auto"/>
              <w:rPr>
                <w:rFonts w:ascii="Times New Roman" w:hAnsi="Times New Roman"/>
                <w:sz w:val="24"/>
                <w:szCs w:val="24"/>
                <w:lang w:eastAsia="sk-SK"/>
              </w:rPr>
            </w:pPr>
          </w:p>
        </w:tc>
      </w:tr>
      <w:tr w:rsidR="00BD372F" w:rsidRPr="00BD372F" w14:paraId="70045A65" w14:textId="77777777" w:rsidTr="00154BAB">
        <w:trPr>
          <w:trHeight w:val="255"/>
        </w:trPr>
        <w:tc>
          <w:tcPr>
            <w:tcW w:w="7070" w:type="dxa"/>
            <w:tcBorders>
              <w:top w:val="nil"/>
              <w:left w:val="single" w:sz="4" w:space="0" w:color="auto"/>
              <w:bottom w:val="single" w:sz="4" w:space="0" w:color="auto"/>
              <w:right w:val="single" w:sz="4" w:space="0" w:color="auto"/>
            </w:tcBorders>
          </w:tcPr>
          <w:p w14:paraId="22A589D3" w14:textId="77777777" w:rsidR="00BD372F" w:rsidRPr="00BD372F" w:rsidRDefault="00BD372F" w:rsidP="00BD372F">
            <w:pPr>
              <w:spacing w:after="0" w:line="240" w:lineRule="auto"/>
              <w:rPr>
                <w:rFonts w:ascii="Times New Roman" w:hAnsi="Times New Roman"/>
                <w:b/>
                <w:bCs/>
                <w:sz w:val="20"/>
                <w:szCs w:val="20"/>
                <w:lang w:eastAsia="sk-SK"/>
              </w:rPr>
            </w:pPr>
            <w:r w:rsidRPr="00BD372F">
              <w:rPr>
                <w:rFonts w:ascii="Times New Roman" w:hAnsi="Times New Roman"/>
                <w:b/>
                <w:bCs/>
                <w:sz w:val="20"/>
                <w:szCs w:val="20"/>
                <w:lang w:eastAsia="sk-SK"/>
              </w:rPr>
              <w:t>Kapitálové výdavky (700)</w:t>
            </w:r>
          </w:p>
        </w:tc>
        <w:tc>
          <w:tcPr>
            <w:tcW w:w="1430" w:type="dxa"/>
            <w:tcBorders>
              <w:top w:val="nil"/>
              <w:left w:val="nil"/>
              <w:bottom w:val="single" w:sz="4" w:space="0" w:color="auto"/>
              <w:right w:val="single" w:sz="4" w:space="0" w:color="auto"/>
            </w:tcBorders>
          </w:tcPr>
          <w:p w14:paraId="43A517F4"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eastAsia="Calibri" w:hAnsi="Times New Roman"/>
                <w:b/>
                <w:bCs/>
                <w:sz w:val="20"/>
                <w:szCs w:val="20"/>
              </w:rPr>
              <w:t>473 788</w:t>
            </w:r>
          </w:p>
        </w:tc>
        <w:tc>
          <w:tcPr>
            <w:tcW w:w="1650" w:type="dxa"/>
            <w:tcBorders>
              <w:top w:val="nil"/>
              <w:left w:val="nil"/>
              <w:bottom w:val="single" w:sz="4" w:space="0" w:color="auto"/>
              <w:right w:val="single" w:sz="4" w:space="0" w:color="auto"/>
            </w:tcBorders>
          </w:tcPr>
          <w:p w14:paraId="2F94BD3D"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eastAsia="Calibri" w:hAnsi="Times New Roman"/>
                <w:b/>
                <w:bCs/>
                <w:sz w:val="20"/>
                <w:szCs w:val="20"/>
              </w:rPr>
              <w:t>1 200 000</w:t>
            </w:r>
          </w:p>
        </w:tc>
        <w:tc>
          <w:tcPr>
            <w:tcW w:w="1540" w:type="dxa"/>
            <w:tcBorders>
              <w:top w:val="nil"/>
              <w:left w:val="nil"/>
              <w:bottom w:val="single" w:sz="4" w:space="0" w:color="auto"/>
              <w:right w:val="single" w:sz="4" w:space="0" w:color="auto"/>
            </w:tcBorders>
          </w:tcPr>
          <w:p w14:paraId="782C9F94"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eastAsia="Calibri" w:hAnsi="Times New Roman"/>
                <w:b/>
                <w:bCs/>
                <w:sz w:val="20"/>
                <w:szCs w:val="20"/>
              </w:rPr>
              <w:t>2 400 000</w:t>
            </w:r>
          </w:p>
        </w:tc>
        <w:tc>
          <w:tcPr>
            <w:tcW w:w="1540" w:type="dxa"/>
            <w:tcBorders>
              <w:top w:val="nil"/>
              <w:left w:val="nil"/>
              <w:bottom w:val="single" w:sz="4" w:space="0" w:color="auto"/>
              <w:right w:val="single" w:sz="4" w:space="0" w:color="auto"/>
            </w:tcBorders>
          </w:tcPr>
          <w:p w14:paraId="62F2E979"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eastAsia="Calibri" w:hAnsi="Times New Roman"/>
                <w:b/>
                <w:bCs/>
                <w:sz w:val="20"/>
                <w:szCs w:val="20"/>
              </w:rPr>
              <w:t>2 400 000</w:t>
            </w:r>
          </w:p>
        </w:tc>
        <w:tc>
          <w:tcPr>
            <w:tcW w:w="1649" w:type="dxa"/>
            <w:tcBorders>
              <w:top w:val="nil"/>
              <w:left w:val="nil"/>
              <w:bottom w:val="single" w:sz="4" w:space="0" w:color="auto"/>
              <w:right w:val="single" w:sz="4" w:space="0" w:color="auto"/>
            </w:tcBorders>
            <w:noWrap/>
            <w:vAlign w:val="bottom"/>
          </w:tcPr>
          <w:p w14:paraId="1BF3B8C7" w14:textId="77777777"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sz w:val="24"/>
                <w:szCs w:val="24"/>
                <w:lang w:eastAsia="sk-SK"/>
              </w:rPr>
              <w:t> </w:t>
            </w:r>
          </w:p>
        </w:tc>
      </w:tr>
      <w:tr w:rsidR="00BD372F" w:rsidRPr="00BD372F" w14:paraId="734DAE80" w14:textId="77777777" w:rsidTr="00154BAB">
        <w:trPr>
          <w:trHeight w:val="255"/>
        </w:trPr>
        <w:tc>
          <w:tcPr>
            <w:tcW w:w="7070" w:type="dxa"/>
            <w:tcBorders>
              <w:top w:val="nil"/>
              <w:left w:val="single" w:sz="4" w:space="0" w:color="auto"/>
              <w:bottom w:val="single" w:sz="4" w:space="0" w:color="auto"/>
              <w:right w:val="single" w:sz="4" w:space="0" w:color="auto"/>
            </w:tcBorders>
          </w:tcPr>
          <w:p w14:paraId="720CC60E" w14:textId="77777777" w:rsidR="00BD372F" w:rsidRPr="00BD372F" w:rsidRDefault="00BD372F" w:rsidP="00BD372F">
            <w:pPr>
              <w:spacing w:after="0" w:line="240" w:lineRule="auto"/>
              <w:rPr>
                <w:rFonts w:ascii="Times New Roman" w:hAnsi="Times New Roman"/>
                <w:sz w:val="20"/>
                <w:szCs w:val="20"/>
                <w:lang w:eastAsia="sk-SK"/>
              </w:rPr>
            </w:pPr>
            <w:r w:rsidRPr="00BD372F">
              <w:rPr>
                <w:rFonts w:ascii="Times New Roman" w:hAnsi="Times New Roman"/>
                <w:sz w:val="20"/>
                <w:szCs w:val="20"/>
                <w:lang w:eastAsia="sk-SK"/>
              </w:rPr>
              <w:t xml:space="preserve">  Obstarávanie kapitálových aktív (710)</w:t>
            </w:r>
            <w:r w:rsidRPr="00BD372F">
              <w:rPr>
                <w:rFonts w:ascii="Times New Roman" w:hAnsi="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6F17008B"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Times New Roman" w:eastAsia="Calibri" w:hAnsi="Times New Roman"/>
                <w:sz w:val="20"/>
                <w:szCs w:val="20"/>
              </w:rPr>
              <w:t>473 788</w:t>
            </w:r>
          </w:p>
        </w:tc>
        <w:tc>
          <w:tcPr>
            <w:tcW w:w="1650" w:type="dxa"/>
            <w:tcBorders>
              <w:top w:val="nil"/>
              <w:left w:val="nil"/>
              <w:bottom w:val="single" w:sz="4" w:space="0" w:color="auto"/>
              <w:right w:val="single" w:sz="4" w:space="0" w:color="auto"/>
            </w:tcBorders>
          </w:tcPr>
          <w:p w14:paraId="607CBF44"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Times New Roman" w:eastAsia="Calibri" w:hAnsi="Times New Roman"/>
                <w:sz w:val="20"/>
                <w:szCs w:val="20"/>
              </w:rPr>
              <w:t>1 200 000</w:t>
            </w:r>
          </w:p>
        </w:tc>
        <w:tc>
          <w:tcPr>
            <w:tcW w:w="1540" w:type="dxa"/>
            <w:tcBorders>
              <w:top w:val="nil"/>
              <w:left w:val="nil"/>
              <w:bottom w:val="single" w:sz="4" w:space="0" w:color="auto"/>
              <w:right w:val="single" w:sz="4" w:space="0" w:color="auto"/>
            </w:tcBorders>
          </w:tcPr>
          <w:p w14:paraId="2CC28DC3"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Times New Roman" w:eastAsia="Calibri" w:hAnsi="Times New Roman"/>
                <w:sz w:val="20"/>
                <w:szCs w:val="20"/>
              </w:rPr>
              <w:t>2 400 000</w:t>
            </w:r>
          </w:p>
        </w:tc>
        <w:tc>
          <w:tcPr>
            <w:tcW w:w="1540" w:type="dxa"/>
            <w:tcBorders>
              <w:top w:val="nil"/>
              <w:left w:val="nil"/>
              <w:bottom w:val="single" w:sz="4" w:space="0" w:color="auto"/>
              <w:right w:val="single" w:sz="4" w:space="0" w:color="auto"/>
            </w:tcBorders>
          </w:tcPr>
          <w:p w14:paraId="3EC5478F"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Times New Roman" w:eastAsia="Calibri" w:hAnsi="Times New Roman"/>
                <w:sz w:val="20"/>
                <w:szCs w:val="20"/>
              </w:rPr>
              <w:t>2 400 000</w:t>
            </w:r>
          </w:p>
        </w:tc>
        <w:tc>
          <w:tcPr>
            <w:tcW w:w="1649" w:type="dxa"/>
            <w:tcBorders>
              <w:top w:val="nil"/>
              <w:left w:val="nil"/>
              <w:bottom w:val="single" w:sz="4" w:space="0" w:color="auto"/>
              <w:right w:val="single" w:sz="4" w:space="0" w:color="auto"/>
            </w:tcBorders>
            <w:noWrap/>
            <w:vAlign w:val="bottom"/>
          </w:tcPr>
          <w:p w14:paraId="31570AFF" w14:textId="77777777"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sz w:val="24"/>
                <w:szCs w:val="24"/>
                <w:lang w:eastAsia="sk-SK"/>
              </w:rPr>
              <w:t> </w:t>
            </w:r>
          </w:p>
        </w:tc>
      </w:tr>
      <w:tr w:rsidR="00BD372F" w:rsidRPr="00BD372F" w14:paraId="3CD15770" w14:textId="77777777" w:rsidTr="00154BAB">
        <w:trPr>
          <w:trHeight w:val="255"/>
        </w:trPr>
        <w:tc>
          <w:tcPr>
            <w:tcW w:w="7070" w:type="dxa"/>
            <w:tcBorders>
              <w:top w:val="nil"/>
              <w:left w:val="single" w:sz="4" w:space="0" w:color="auto"/>
              <w:bottom w:val="single" w:sz="4" w:space="0" w:color="auto"/>
              <w:right w:val="single" w:sz="4" w:space="0" w:color="auto"/>
            </w:tcBorders>
          </w:tcPr>
          <w:p w14:paraId="062C6ADA" w14:textId="77777777" w:rsidR="00BD372F" w:rsidRPr="00BD372F" w:rsidRDefault="00BD372F" w:rsidP="00BD372F">
            <w:pPr>
              <w:spacing w:after="0" w:line="240" w:lineRule="auto"/>
              <w:rPr>
                <w:rFonts w:ascii="Times New Roman" w:hAnsi="Times New Roman"/>
                <w:sz w:val="20"/>
                <w:szCs w:val="20"/>
                <w:lang w:eastAsia="sk-SK"/>
              </w:rPr>
            </w:pPr>
            <w:r w:rsidRPr="00BD372F">
              <w:rPr>
                <w:rFonts w:ascii="Times New Roman" w:hAnsi="Times New Roman"/>
                <w:sz w:val="20"/>
                <w:szCs w:val="20"/>
                <w:lang w:eastAsia="sk-SK"/>
              </w:rPr>
              <w:t xml:space="preserve">      v tom: (718 006)  rekonštrukcia a modernizácia softvéru – funkčné rozšírenie IS  pre systém Štátnej pokladnice, 0EK 0D IT financované zo ŠR</w:t>
            </w:r>
          </w:p>
        </w:tc>
        <w:tc>
          <w:tcPr>
            <w:tcW w:w="1430" w:type="dxa"/>
            <w:tcBorders>
              <w:top w:val="nil"/>
              <w:left w:val="nil"/>
              <w:bottom w:val="single" w:sz="4" w:space="0" w:color="auto"/>
              <w:right w:val="single" w:sz="4" w:space="0" w:color="auto"/>
            </w:tcBorders>
          </w:tcPr>
          <w:p w14:paraId="710BD488"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Times New Roman" w:eastAsia="Calibri" w:hAnsi="Times New Roman"/>
                <w:sz w:val="20"/>
                <w:szCs w:val="20"/>
              </w:rPr>
              <w:t>473 788</w:t>
            </w:r>
          </w:p>
        </w:tc>
        <w:tc>
          <w:tcPr>
            <w:tcW w:w="1650" w:type="dxa"/>
            <w:tcBorders>
              <w:top w:val="nil"/>
              <w:left w:val="nil"/>
              <w:bottom w:val="single" w:sz="4" w:space="0" w:color="auto"/>
              <w:right w:val="single" w:sz="4" w:space="0" w:color="auto"/>
            </w:tcBorders>
          </w:tcPr>
          <w:p w14:paraId="6DE54D1B"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Times New Roman" w:eastAsia="Calibri" w:hAnsi="Times New Roman"/>
                <w:sz w:val="20"/>
                <w:szCs w:val="20"/>
              </w:rPr>
              <w:t>1 200 000</w:t>
            </w:r>
          </w:p>
        </w:tc>
        <w:tc>
          <w:tcPr>
            <w:tcW w:w="1540" w:type="dxa"/>
            <w:tcBorders>
              <w:top w:val="nil"/>
              <w:left w:val="nil"/>
              <w:bottom w:val="single" w:sz="4" w:space="0" w:color="auto"/>
              <w:right w:val="single" w:sz="4" w:space="0" w:color="auto"/>
            </w:tcBorders>
          </w:tcPr>
          <w:p w14:paraId="10CBEDA3"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Times New Roman" w:eastAsia="Calibri" w:hAnsi="Times New Roman"/>
                <w:sz w:val="20"/>
                <w:szCs w:val="20"/>
              </w:rPr>
              <w:t>2 400 000</w:t>
            </w:r>
          </w:p>
        </w:tc>
        <w:tc>
          <w:tcPr>
            <w:tcW w:w="1540" w:type="dxa"/>
            <w:tcBorders>
              <w:top w:val="nil"/>
              <w:left w:val="nil"/>
              <w:bottom w:val="single" w:sz="4" w:space="0" w:color="auto"/>
              <w:right w:val="single" w:sz="4" w:space="0" w:color="auto"/>
            </w:tcBorders>
          </w:tcPr>
          <w:p w14:paraId="7A683E2F"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Times New Roman" w:eastAsia="Calibri" w:hAnsi="Times New Roman"/>
                <w:sz w:val="20"/>
                <w:szCs w:val="20"/>
              </w:rPr>
              <w:t>2 400 000</w:t>
            </w:r>
          </w:p>
        </w:tc>
        <w:tc>
          <w:tcPr>
            <w:tcW w:w="1649" w:type="dxa"/>
            <w:tcBorders>
              <w:top w:val="nil"/>
              <w:left w:val="nil"/>
              <w:bottom w:val="single" w:sz="4" w:space="0" w:color="auto"/>
              <w:right w:val="single" w:sz="4" w:space="0" w:color="auto"/>
            </w:tcBorders>
            <w:noWrap/>
            <w:vAlign w:val="bottom"/>
          </w:tcPr>
          <w:p w14:paraId="0C268537" w14:textId="77777777" w:rsidR="00BD372F" w:rsidRPr="00BD372F" w:rsidRDefault="00BD372F" w:rsidP="00BD372F">
            <w:pPr>
              <w:spacing w:after="0" w:line="240" w:lineRule="auto"/>
              <w:rPr>
                <w:rFonts w:ascii="Times New Roman" w:hAnsi="Times New Roman"/>
                <w:sz w:val="24"/>
                <w:szCs w:val="24"/>
                <w:lang w:eastAsia="sk-SK"/>
              </w:rPr>
            </w:pPr>
          </w:p>
        </w:tc>
      </w:tr>
      <w:tr w:rsidR="00BD372F" w:rsidRPr="00BD372F" w14:paraId="7B41DE78" w14:textId="77777777" w:rsidTr="00154BAB">
        <w:trPr>
          <w:trHeight w:val="255"/>
        </w:trPr>
        <w:tc>
          <w:tcPr>
            <w:tcW w:w="7070" w:type="dxa"/>
            <w:tcBorders>
              <w:top w:val="nil"/>
              <w:left w:val="single" w:sz="4" w:space="0" w:color="auto"/>
              <w:bottom w:val="single" w:sz="4" w:space="0" w:color="auto"/>
              <w:right w:val="single" w:sz="4" w:space="0" w:color="auto"/>
            </w:tcBorders>
          </w:tcPr>
          <w:p w14:paraId="46142FF7" w14:textId="77777777" w:rsidR="00BD372F" w:rsidRPr="00BD372F" w:rsidRDefault="00BD372F" w:rsidP="00BD372F">
            <w:pPr>
              <w:spacing w:after="0" w:line="240" w:lineRule="auto"/>
              <w:rPr>
                <w:rFonts w:ascii="Times New Roman" w:hAnsi="Times New Roman"/>
                <w:sz w:val="20"/>
                <w:szCs w:val="20"/>
                <w:lang w:eastAsia="sk-SK"/>
              </w:rPr>
            </w:pPr>
            <w:r w:rsidRPr="00BD372F">
              <w:rPr>
                <w:rFonts w:ascii="Times New Roman" w:hAnsi="Times New Roman"/>
                <w:sz w:val="20"/>
                <w:szCs w:val="20"/>
                <w:lang w:eastAsia="sk-SK"/>
              </w:rPr>
              <w:t xml:space="preserve">  Kapitálové transfery (720)</w:t>
            </w:r>
            <w:r w:rsidRPr="00BD372F">
              <w:rPr>
                <w:rFonts w:ascii="Times New Roman" w:hAnsi="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0F80ED20"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1650" w:type="dxa"/>
            <w:tcBorders>
              <w:top w:val="nil"/>
              <w:left w:val="nil"/>
              <w:bottom w:val="single" w:sz="4" w:space="0" w:color="auto"/>
              <w:right w:val="single" w:sz="4" w:space="0" w:color="auto"/>
            </w:tcBorders>
          </w:tcPr>
          <w:p w14:paraId="6015A8A9"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14:paraId="39F43289"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14:paraId="6843951F"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1649" w:type="dxa"/>
            <w:tcBorders>
              <w:top w:val="nil"/>
              <w:left w:val="nil"/>
              <w:bottom w:val="single" w:sz="4" w:space="0" w:color="auto"/>
              <w:right w:val="single" w:sz="4" w:space="0" w:color="auto"/>
            </w:tcBorders>
            <w:noWrap/>
            <w:vAlign w:val="bottom"/>
          </w:tcPr>
          <w:p w14:paraId="03BCC0EC" w14:textId="77777777"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sz w:val="24"/>
                <w:szCs w:val="24"/>
                <w:lang w:eastAsia="sk-SK"/>
              </w:rPr>
              <w:t> </w:t>
            </w:r>
          </w:p>
        </w:tc>
      </w:tr>
      <w:tr w:rsidR="00BD372F" w:rsidRPr="00BD372F" w14:paraId="3522D322" w14:textId="77777777" w:rsidTr="00154BAB">
        <w:trPr>
          <w:trHeight w:val="255"/>
        </w:trPr>
        <w:tc>
          <w:tcPr>
            <w:tcW w:w="7070" w:type="dxa"/>
            <w:tcBorders>
              <w:top w:val="nil"/>
              <w:left w:val="single" w:sz="4" w:space="0" w:color="auto"/>
              <w:bottom w:val="single" w:sz="4" w:space="0" w:color="auto"/>
              <w:right w:val="single" w:sz="4" w:space="0" w:color="auto"/>
            </w:tcBorders>
          </w:tcPr>
          <w:p w14:paraId="29009F66" w14:textId="77777777" w:rsidR="00BD372F" w:rsidRPr="00BD372F" w:rsidRDefault="00BD372F" w:rsidP="00BD372F">
            <w:pPr>
              <w:spacing w:after="0" w:line="240" w:lineRule="auto"/>
              <w:rPr>
                <w:rFonts w:ascii="Times New Roman" w:hAnsi="Times New Roman"/>
                <w:b/>
                <w:bCs/>
                <w:sz w:val="20"/>
                <w:szCs w:val="20"/>
                <w:lang w:eastAsia="sk-SK"/>
              </w:rPr>
            </w:pPr>
            <w:r w:rsidRPr="00BD372F">
              <w:rPr>
                <w:rFonts w:ascii="Times New Roman" w:hAnsi="Times New Roman"/>
                <w:b/>
                <w:bCs/>
                <w:sz w:val="20"/>
                <w:szCs w:val="20"/>
                <w:lang w:eastAsia="sk-SK"/>
              </w:rPr>
              <w:t>Výdavky z transakcií s finančnými aktívami a finančnými pasívami (800)</w:t>
            </w:r>
          </w:p>
        </w:tc>
        <w:tc>
          <w:tcPr>
            <w:tcW w:w="1430" w:type="dxa"/>
            <w:tcBorders>
              <w:top w:val="nil"/>
              <w:left w:val="nil"/>
              <w:bottom w:val="single" w:sz="4" w:space="0" w:color="auto"/>
              <w:right w:val="single" w:sz="4" w:space="0" w:color="auto"/>
            </w:tcBorders>
          </w:tcPr>
          <w:p w14:paraId="17EFE4FF"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 </w:t>
            </w:r>
          </w:p>
        </w:tc>
        <w:tc>
          <w:tcPr>
            <w:tcW w:w="1650" w:type="dxa"/>
            <w:tcBorders>
              <w:top w:val="nil"/>
              <w:left w:val="nil"/>
              <w:bottom w:val="single" w:sz="4" w:space="0" w:color="auto"/>
              <w:right w:val="single" w:sz="4" w:space="0" w:color="auto"/>
            </w:tcBorders>
          </w:tcPr>
          <w:p w14:paraId="6930D56A"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tcPr>
          <w:p w14:paraId="117827FD"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tcPr>
          <w:p w14:paraId="49A2DEA4"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 </w:t>
            </w:r>
          </w:p>
        </w:tc>
        <w:tc>
          <w:tcPr>
            <w:tcW w:w="1649" w:type="dxa"/>
            <w:tcBorders>
              <w:top w:val="nil"/>
              <w:left w:val="nil"/>
              <w:bottom w:val="single" w:sz="4" w:space="0" w:color="auto"/>
              <w:right w:val="single" w:sz="4" w:space="0" w:color="auto"/>
            </w:tcBorders>
            <w:noWrap/>
            <w:vAlign w:val="bottom"/>
          </w:tcPr>
          <w:p w14:paraId="0844093B" w14:textId="77777777"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sz w:val="24"/>
                <w:szCs w:val="24"/>
                <w:lang w:eastAsia="sk-SK"/>
              </w:rPr>
              <w:t> </w:t>
            </w:r>
          </w:p>
        </w:tc>
      </w:tr>
      <w:tr w:rsidR="00BD372F" w:rsidRPr="00BD372F" w14:paraId="58627E6A" w14:textId="77777777" w:rsidTr="00BD372F">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cPr>
          <w:p w14:paraId="140A89C2" w14:textId="77777777" w:rsidR="00BD372F" w:rsidRPr="00BD372F" w:rsidRDefault="00BD372F" w:rsidP="00BD372F">
            <w:pPr>
              <w:spacing w:after="0" w:line="240" w:lineRule="auto"/>
              <w:rPr>
                <w:rFonts w:ascii="Times New Roman" w:hAnsi="Times New Roman"/>
                <w:b/>
                <w:bCs/>
                <w:sz w:val="20"/>
                <w:szCs w:val="20"/>
                <w:lang w:eastAsia="sk-SK"/>
              </w:rPr>
            </w:pPr>
            <w:r w:rsidRPr="00BD372F">
              <w:rPr>
                <w:rFonts w:ascii="Times New Roman" w:hAnsi="Times New Roman"/>
                <w:b/>
                <w:bCs/>
                <w:sz w:val="20"/>
                <w:szCs w:val="20"/>
                <w:lang w:eastAsia="sk-SK"/>
              </w:rPr>
              <w:t>Vplyv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cPr>
          <w:p w14:paraId="7353991C"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eastAsia="Calibri" w:hAnsi="Times New Roman"/>
                <w:b/>
                <w:sz w:val="20"/>
                <w:szCs w:val="20"/>
              </w:rPr>
              <w:t>473 788</w:t>
            </w:r>
          </w:p>
        </w:tc>
        <w:tc>
          <w:tcPr>
            <w:tcW w:w="1650" w:type="dxa"/>
            <w:tcBorders>
              <w:top w:val="single" w:sz="4" w:space="0" w:color="auto"/>
              <w:left w:val="nil"/>
              <w:bottom w:val="single" w:sz="4" w:space="0" w:color="auto"/>
              <w:right w:val="single" w:sz="4" w:space="0" w:color="auto"/>
            </w:tcBorders>
            <w:shd w:val="clear" w:color="auto" w:fill="BFBFBF"/>
          </w:tcPr>
          <w:p w14:paraId="6925CBDE"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eastAsia="Calibri" w:hAnsi="Times New Roman"/>
                <w:b/>
                <w:sz w:val="20"/>
                <w:szCs w:val="20"/>
              </w:rPr>
              <w:t>1 200 000</w:t>
            </w:r>
          </w:p>
        </w:tc>
        <w:tc>
          <w:tcPr>
            <w:tcW w:w="1540" w:type="dxa"/>
            <w:tcBorders>
              <w:top w:val="single" w:sz="4" w:space="0" w:color="auto"/>
              <w:left w:val="nil"/>
              <w:bottom w:val="single" w:sz="4" w:space="0" w:color="auto"/>
              <w:right w:val="single" w:sz="4" w:space="0" w:color="auto"/>
            </w:tcBorders>
            <w:shd w:val="clear" w:color="auto" w:fill="BFBFBF"/>
          </w:tcPr>
          <w:p w14:paraId="6A0AF7DC"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eastAsia="Calibri" w:hAnsi="Times New Roman"/>
                <w:b/>
                <w:sz w:val="20"/>
                <w:szCs w:val="20"/>
              </w:rPr>
              <w:t>2 400 000</w:t>
            </w:r>
          </w:p>
        </w:tc>
        <w:tc>
          <w:tcPr>
            <w:tcW w:w="1540" w:type="dxa"/>
            <w:tcBorders>
              <w:top w:val="single" w:sz="4" w:space="0" w:color="auto"/>
              <w:left w:val="nil"/>
              <w:bottom w:val="single" w:sz="4" w:space="0" w:color="auto"/>
              <w:right w:val="single" w:sz="4" w:space="0" w:color="auto"/>
            </w:tcBorders>
            <w:shd w:val="clear" w:color="auto" w:fill="BFBFBF"/>
          </w:tcPr>
          <w:p w14:paraId="41D3A88F"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eastAsia="Calibri" w:hAnsi="Times New Roman"/>
                <w:b/>
                <w:sz w:val="20"/>
                <w:szCs w:val="20"/>
              </w:rPr>
              <w:t>2 400 000</w:t>
            </w:r>
          </w:p>
        </w:tc>
        <w:tc>
          <w:tcPr>
            <w:tcW w:w="1649" w:type="dxa"/>
            <w:tcBorders>
              <w:top w:val="single" w:sz="4" w:space="0" w:color="auto"/>
              <w:left w:val="nil"/>
              <w:bottom w:val="single" w:sz="4" w:space="0" w:color="auto"/>
              <w:right w:val="single" w:sz="4" w:space="0" w:color="auto"/>
            </w:tcBorders>
            <w:shd w:val="clear" w:color="auto" w:fill="BFBFBF"/>
            <w:noWrap/>
            <w:vAlign w:val="bottom"/>
          </w:tcPr>
          <w:p w14:paraId="6FF65687" w14:textId="77777777"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sz w:val="24"/>
                <w:szCs w:val="24"/>
                <w:lang w:eastAsia="sk-SK"/>
              </w:rPr>
              <w:t> </w:t>
            </w:r>
          </w:p>
        </w:tc>
      </w:tr>
    </w:tbl>
    <w:p w14:paraId="55988EA2" w14:textId="14F3CAB5" w:rsidR="00BD372F" w:rsidRPr="00BD372F" w:rsidRDefault="00BD372F" w:rsidP="00F41901">
      <w:pPr>
        <w:spacing w:after="0" w:line="240" w:lineRule="auto"/>
        <w:ind w:left="-709"/>
        <w:jc w:val="both"/>
        <w:rPr>
          <w:rFonts w:ascii="Times New Roman" w:hAnsi="Times New Roman"/>
          <w:bCs/>
          <w:sz w:val="20"/>
          <w:szCs w:val="20"/>
          <w:lang w:eastAsia="sk-SK"/>
        </w:rPr>
      </w:pPr>
      <w:r w:rsidRPr="00BD372F">
        <w:rPr>
          <w:rFonts w:ascii="Times New Roman" w:hAnsi="Times New Roman"/>
          <w:bCs/>
          <w:sz w:val="20"/>
          <w:szCs w:val="20"/>
          <w:lang w:eastAsia="sk-SK"/>
        </w:rPr>
        <w:t>2 –  výdavky rozpísať až do položiek platnej ekonomickej klasifikácie</w:t>
      </w:r>
    </w:p>
    <w:p w14:paraId="58A4CCCB" w14:textId="77777777" w:rsidR="00BD372F" w:rsidRPr="00BD372F" w:rsidRDefault="00BD372F" w:rsidP="00F41901">
      <w:pPr>
        <w:spacing w:after="0" w:line="240" w:lineRule="auto"/>
        <w:ind w:left="-709"/>
        <w:jc w:val="both"/>
        <w:rPr>
          <w:rFonts w:ascii="Times New Roman" w:hAnsi="Times New Roman"/>
          <w:bCs/>
          <w:sz w:val="24"/>
          <w:szCs w:val="20"/>
          <w:lang w:eastAsia="sk-SK"/>
        </w:rPr>
      </w:pPr>
    </w:p>
    <w:p w14:paraId="45516FD2" w14:textId="08A15C24" w:rsidR="00BD372F" w:rsidRPr="00BD372F" w:rsidRDefault="00BD372F" w:rsidP="00F41901">
      <w:pPr>
        <w:spacing w:after="0" w:line="240" w:lineRule="auto"/>
        <w:ind w:left="-709"/>
        <w:jc w:val="both"/>
        <w:rPr>
          <w:rFonts w:ascii="Times New Roman" w:hAnsi="Times New Roman"/>
          <w:b/>
          <w:bCs/>
          <w:sz w:val="20"/>
          <w:szCs w:val="20"/>
          <w:lang w:eastAsia="sk-SK"/>
        </w:rPr>
      </w:pPr>
      <w:r w:rsidRPr="00BD372F">
        <w:rPr>
          <w:rFonts w:ascii="Times New Roman" w:hAnsi="Times New Roman"/>
          <w:b/>
          <w:bCs/>
          <w:sz w:val="24"/>
          <w:szCs w:val="20"/>
          <w:lang w:eastAsia="sk-SK"/>
        </w:rPr>
        <w:t>Poznámka:</w:t>
      </w:r>
    </w:p>
    <w:p w14:paraId="603BB097" w14:textId="2E1B33A7" w:rsidR="00BD372F" w:rsidRPr="00BD372F" w:rsidRDefault="00BD372F" w:rsidP="00F41901">
      <w:pPr>
        <w:spacing w:after="0" w:line="240" w:lineRule="auto"/>
        <w:ind w:left="-709"/>
        <w:jc w:val="both"/>
        <w:rPr>
          <w:rFonts w:ascii="Times New Roman" w:hAnsi="Times New Roman"/>
          <w:bCs/>
          <w:sz w:val="20"/>
          <w:szCs w:val="20"/>
          <w:lang w:eastAsia="sk-SK"/>
        </w:rPr>
      </w:pPr>
      <w:r w:rsidRPr="00BD372F">
        <w:rPr>
          <w:rFonts w:ascii="Times New Roman" w:hAnsi="Times New Roman"/>
          <w:bCs/>
          <w:sz w:val="24"/>
          <w:szCs w:val="20"/>
          <w:lang w:eastAsia="sk-SK"/>
        </w:rPr>
        <w:t>Ak sa vplyv týka viacerých subjektov verejnej správy, vypĺňa sa samostatná tabuľka za každý subjekt.</w:t>
      </w:r>
    </w:p>
    <w:p w14:paraId="6CF280DF" w14:textId="77777777" w:rsidR="00BD372F" w:rsidRPr="00BD372F" w:rsidRDefault="00BD372F" w:rsidP="00BD372F">
      <w:pPr>
        <w:spacing w:after="0" w:line="240" w:lineRule="auto"/>
        <w:jc w:val="both"/>
        <w:rPr>
          <w:rFonts w:ascii="Times New Roman" w:hAnsi="Times New Roman"/>
          <w:bCs/>
          <w:sz w:val="20"/>
          <w:szCs w:val="20"/>
          <w:lang w:eastAsia="sk-SK"/>
        </w:rPr>
      </w:pPr>
    </w:p>
    <w:p w14:paraId="2E46DA0F" w14:textId="77777777" w:rsidR="00BD372F" w:rsidRPr="00BD372F" w:rsidRDefault="00BD372F" w:rsidP="00BD372F">
      <w:pPr>
        <w:spacing w:after="0" w:line="240" w:lineRule="auto"/>
        <w:jc w:val="both"/>
        <w:rPr>
          <w:rFonts w:ascii="Times New Roman" w:hAnsi="Times New Roman"/>
          <w:bCs/>
          <w:sz w:val="20"/>
          <w:szCs w:val="20"/>
          <w:lang w:eastAsia="sk-SK"/>
        </w:rPr>
      </w:pPr>
    </w:p>
    <w:p w14:paraId="6F282C6A" w14:textId="77777777" w:rsidR="00BD372F" w:rsidRPr="00BD372F" w:rsidRDefault="00BD372F" w:rsidP="00BD372F">
      <w:pPr>
        <w:spacing w:after="0" w:line="240" w:lineRule="auto"/>
        <w:jc w:val="both"/>
        <w:rPr>
          <w:rFonts w:ascii="Times New Roman" w:hAnsi="Times New Roman"/>
          <w:bCs/>
          <w:sz w:val="20"/>
          <w:szCs w:val="20"/>
          <w:lang w:eastAsia="sk-SK"/>
        </w:rPr>
      </w:pPr>
    </w:p>
    <w:p w14:paraId="733CDCD6" w14:textId="77777777" w:rsidR="00BD372F" w:rsidRPr="00BD372F" w:rsidRDefault="00BD372F" w:rsidP="00BD372F">
      <w:pPr>
        <w:spacing w:after="0" w:line="240" w:lineRule="auto"/>
        <w:jc w:val="both"/>
        <w:rPr>
          <w:rFonts w:ascii="Times New Roman" w:hAnsi="Times New Roman"/>
          <w:bCs/>
          <w:sz w:val="20"/>
          <w:szCs w:val="20"/>
          <w:lang w:eastAsia="sk-SK"/>
        </w:rPr>
      </w:pPr>
    </w:p>
    <w:p w14:paraId="00F0E12D" w14:textId="77777777" w:rsidR="00BD372F" w:rsidRPr="00BD372F" w:rsidRDefault="00BD372F" w:rsidP="00BD372F">
      <w:pPr>
        <w:rPr>
          <w:rFonts w:ascii="Times New Roman" w:hAnsi="Times New Roman"/>
          <w:bCs/>
          <w:sz w:val="20"/>
          <w:szCs w:val="20"/>
          <w:lang w:eastAsia="sk-SK"/>
        </w:rPr>
      </w:pPr>
      <w:r w:rsidRPr="00BD372F">
        <w:rPr>
          <w:rFonts w:ascii="Times New Roman" w:hAnsi="Times New Roman"/>
          <w:bCs/>
          <w:sz w:val="20"/>
          <w:szCs w:val="20"/>
          <w:lang w:eastAsia="sk-SK"/>
        </w:rPr>
        <w:br w:type="page"/>
      </w:r>
    </w:p>
    <w:p w14:paraId="33FB3053" w14:textId="77777777" w:rsidR="00BD372F" w:rsidRPr="00BD372F" w:rsidRDefault="00BD372F" w:rsidP="00BD372F">
      <w:pPr>
        <w:spacing w:after="0" w:line="240" w:lineRule="auto"/>
        <w:jc w:val="both"/>
        <w:rPr>
          <w:rFonts w:ascii="Times New Roman" w:hAnsi="Times New Roman"/>
          <w:bCs/>
          <w:sz w:val="20"/>
          <w:szCs w:val="20"/>
          <w:lang w:eastAsia="sk-SK"/>
        </w:rPr>
      </w:pPr>
      <w:r w:rsidRPr="00BD372F">
        <w:rPr>
          <w:rFonts w:ascii="Times New Roman" w:hAnsi="Times New Roman"/>
          <w:bCs/>
          <w:sz w:val="20"/>
          <w:szCs w:val="20"/>
          <w:lang w:eastAsia="sk-SK"/>
        </w:rPr>
        <w:t xml:space="preserve">                                                                                                                                                                                                                                                            Tabuľka č. 4/A</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6833"/>
        <w:gridCol w:w="1393"/>
        <w:gridCol w:w="1604"/>
        <w:gridCol w:w="1499"/>
        <w:gridCol w:w="1499"/>
        <w:gridCol w:w="2051"/>
      </w:tblGrid>
      <w:tr w:rsidR="00BD372F" w:rsidRPr="00BD372F" w14:paraId="7315C88A" w14:textId="77777777" w:rsidTr="00BD372F">
        <w:trPr>
          <w:cantSplit/>
          <w:trHeight w:val="255"/>
        </w:trPr>
        <w:tc>
          <w:tcPr>
            <w:tcW w:w="6833"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14:paraId="4679A3BD"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Výdavky (v eurách)</w:t>
            </w:r>
          </w:p>
          <w:p w14:paraId="438B68DB"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Úrad vládneho auditu</w:t>
            </w:r>
          </w:p>
        </w:tc>
        <w:tc>
          <w:tcPr>
            <w:tcW w:w="5995" w:type="dxa"/>
            <w:gridSpan w:val="4"/>
            <w:tcBorders>
              <w:top w:val="single" w:sz="4" w:space="0" w:color="auto"/>
              <w:left w:val="nil"/>
              <w:bottom w:val="single" w:sz="4" w:space="0" w:color="auto"/>
              <w:right w:val="single" w:sz="4" w:space="0" w:color="auto"/>
            </w:tcBorders>
            <w:shd w:val="clear" w:color="auto" w:fill="BFBFBF"/>
          </w:tcPr>
          <w:p w14:paraId="56427DF6"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Vplyv na rozpočet verejnej správy</w:t>
            </w:r>
          </w:p>
        </w:tc>
        <w:tc>
          <w:tcPr>
            <w:tcW w:w="2051"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4FE72F7E"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poznámka</w:t>
            </w:r>
          </w:p>
        </w:tc>
      </w:tr>
      <w:tr w:rsidR="00BD372F" w:rsidRPr="00BD372F" w14:paraId="016D1F6D" w14:textId="77777777" w:rsidTr="00BD372F">
        <w:trPr>
          <w:cantSplit/>
          <w:trHeight w:val="255"/>
        </w:trPr>
        <w:tc>
          <w:tcPr>
            <w:tcW w:w="6833" w:type="dxa"/>
            <w:vMerge/>
            <w:tcBorders>
              <w:top w:val="single" w:sz="4" w:space="0" w:color="auto"/>
              <w:left w:val="single" w:sz="4" w:space="0" w:color="auto"/>
              <w:bottom w:val="single" w:sz="4" w:space="0" w:color="000000"/>
              <w:right w:val="single" w:sz="4" w:space="0" w:color="auto"/>
            </w:tcBorders>
            <w:vAlign w:val="center"/>
          </w:tcPr>
          <w:p w14:paraId="25BB592F" w14:textId="77777777" w:rsidR="00BD372F" w:rsidRPr="00BD372F" w:rsidRDefault="00BD372F" w:rsidP="00BD372F">
            <w:pPr>
              <w:spacing w:after="0" w:line="240" w:lineRule="auto"/>
              <w:rPr>
                <w:rFonts w:ascii="Times New Roman" w:hAnsi="Times New Roman"/>
                <w:b/>
                <w:bCs/>
                <w:color w:val="FFFFFF"/>
                <w:sz w:val="20"/>
                <w:szCs w:val="20"/>
                <w:lang w:eastAsia="sk-SK"/>
              </w:rPr>
            </w:pPr>
          </w:p>
        </w:tc>
        <w:tc>
          <w:tcPr>
            <w:tcW w:w="1393" w:type="dxa"/>
            <w:tcBorders>
              <w:top w:val="nil"/>
              <w:left w:val="nil"/>
              <w:bottom w:val="single" w:sz="4" w:space="0" w:color="auto"/>
              <w:right w:val="single" w:sz="4" w:space="0" w:color="auto"/>
            </w:tcBorders>
            <w:shd w:val="clear" w:color="auto" w:fill="BFBFBF"/>
          </w:tcPr>
          <w:p w14:paraId="1F592E14"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2025</w:t>
            </w:r>
          </w:p>
        </w:tc>
        <w:tc>
          <w:tcPr>
            <w:tcW w:w="1604" w:type="dxa"/>
            <w:tcBorders>
              <w:top w:val="nil"/>
              <w:left w:val="nil"/>
              <w:bottom w:val="single" w:sz="4" w:space="0" w:color="auto"/>
              <w:right w:val="single" w:sz="4" w:space="0" w:color="auto"/>
            </w:tcBorders>
            <w:shd w:val="clear" w:color="auto" w:fill="BFBFBF"/>
          </w:tcPr>
          <w:p w14:paraId="3B496C1D"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2026</w:t>
            </w:r>
          </w:p>
        </w:tc>
        <w:tc>
          <w:tcPr>
            <w:tcW w:w="1499" w:type="dxa"/>
            <w:tcBorders>
              <w:top w:val="nil"/>
              <w:left w:val="nil"/>
              <w:bottom w:val="single" w:sz="4" w:space="0" w:color="auto"/>
              <w:right w:val="single" w:sz="4" w:space="0" w:color="auto"/>
            </w:tcBorders>
            <w:shd w:val="clear" w:color="auto" w:fill="BFBFBF"/>
          </w:tcPr>
          <w:p w14:paraId="0AC56CE1"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2027</w:t>
            </w:r>
          </w:p>
        </w:tc>
        <w:tc>
          <w:tcPr>
            <w:tcW w:w="1499" w:type="dxa"/>
            <w:tcBorders>
              <w:top w:val="nil"/>
              <w:left w:val="nil"/>
              <w:bottom w:val="single" w:sz="4" w:space="0" w:color="auto"/>
              <w:right w:val="single" w:sz="4" w:space="0" w:color="auto"/>
            </w:tcBorders>
            <w:shd w:val="clear" w:color="auto" w:fill="BFBFBF"/>
          </w:tcPr>
          <w:p w14:paraId="52EEAD22"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0"/>
                <w:szCs w:val="20"/>
                <w:lang w:eastAsia="sk-SK"/>
              </w:rPr>
              <w:t>2028</w:t>
            </w:r>
          </w:p>
        </w:tc>
        <w:tc>
          <w:tcPr>
            <w:tcW w:w="2051" w:type="dxa"/>
            <w:vMerge/>
            <w:tcBorders>
              <w:top w:val="single" w:sz="4" w:space="0" w:color="auto"/>
              <w:left w:val="single" w:sz="4" w:space="0" w:color="auto"/>
              <w:bottom w:val="single" w:sz="4" w:space="0" w:color="auto"/>
              <w:right w:val="single" w:sz="4" w:space="0" w:color="auto"/>
            </w:tcBorders>
            <w:vAlign w:val="center"/>
          </w:tcPr>
          <w:p w14:paraId="2974D070" w14:textId="77777777" w:rsidR="00BD372F" w:rsidRPr="00BD372F" w:rsidRDefault="00BD372F" w:rsidP="00BD372F">
            <w:pPr>
              <w:spacing w:after="0" w:line="240" w:lineRule="auto"/>
              <w:rPr>
                <w:rFonts w:ascii="Times New Roman" w:hAnsi="Times New Roman"/>
                <w:b/>
                <w:bCs/>
                <w:color w:val="FFFFFF"/>
                <w:sz w:val="24"/>
                <w:szCs w:val="24"/>
                <w:lang w:eastAsia="sk-SK"/>
              </w:rPr>
            </w:pPr>
          </w:p>
        </w:tc>
      </w:tr>
      <w:tr w:rsidR="00BD372F" w:rsidRPr="00BD372F" w14:paraId="3E80738C" w14:textId="77777777" w:rsidTr="00154BAB">
        <w:trPr>
          <w:trHeight w:val="255"/>
        </w:trPr>
        <w:tc>
          <w:tcPr>
            <w:tcW w:w="6833" w:type="dxa"/>
            <w:tcBorders>
              <w:top w:val="nil"/>
              <w:left w:val="single" w:sz="4" w:space="0" w:color="auto"/>
              <w:bottom w:val="single" w:sz="4" w:space="0" w:color="auto"/>
              <w:right w:val="single" w:sz="4" w:space="0" w:color="auto"/>
            </w:tcBorders>
          </w:tcPr>
          <w:p w14:paraId="525B37B1" w14:textId="77777777" w:rsidR="00BD372F" w:rsidRPr="00BD372F" w:rsidRDefault="00BD372F" w:rsidP="00BD372F">
            <w:pPr>
              <w:spacing w:after="0" w:line="240" w:lineRule="auto"/>
              <w:rPr>
                <w:rFonts w:ascii="Times New Roman" w:hAnsi="Times New Roman"/>
                <w:b/>
                <w:bCs/>
                <w:sz w:val="20"/>
                <w:szCs w:val="20"/>
                <w:lang w:eastAsia="sk-SK"/>
              </w:rPr>
            </w:pPr>
            <w:r w:rsidRPr="00BD372F">
              <w:rPr>
                <w:rFonts w:ascii="Times New Roman" w:hAnsi="Times New Roman"/>
                <w:b/>
                <w:bCs/>
                <w:sz w:val="20"/>
                <w:szCs w:val="20"/>
                <w:lang w:eastAsia="sk-SK"/>
              </w:rPr>
              <w:t>Bežné výdavky (600)</w:t>
            </w:r>
          </w:p>
        </w:tc>
        <w:tc>
          <w:tcPr>
            <w:tcW w:w="1393" w:type="dxa"/>
            <w:tcBorders>
              <w:top w:val="nil"/>
              <w:left w:val="nil"/>
              <w:bottom w:val="single" w:sz="4" w:space="0" w:color="auto"/>
              <w:right w:val="single" w:sz="4" w:space="0" w:color="auto"/>
            </w:tcBorders>
          </w:tcPr>
          <w:p w14:paraId="107469C1"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0</w:t>
            </w:r>
          </w:p>
        </w:tc>
        <w:tc>
          <w:tcPr>
            <w:tcW w:w="1604" w:type="dxa"/>
            <w:tcBorders>
              <w:top w:val="nil"/>
              <w:left w:val="nil"/>
              <w:bottom w:val="single" w:sz="4" w:space="0" w:color="auto"/>
              <w:right w:val="single" w:sz="4" w:space="0" w:color="auto"/>
            </w:tcBorders>
          </w:tcPr>
          <w:p w14:paraId="5D09D7FE"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92 520</w:t>
            </w:r>
          </w:p>
        </w:tc>
        <w:tc>
          <w:tcPr>
            <w:tcW w:w="1499" w:type="dxa"/>
            <w:tcBorders>
              <w:top w:val="nil"/>
              <w:left w:val="nil"/>
              <w:bottom w:val="single" w:sz="4" w:space="0" w:color="auto"/>
              <w:right w:val="single" w:sz="4" w:space="0" w:color="auto"/>
            </w:tcBorders>
          </w:tcPr>
          <w:p w14:paraId="5DB02508"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89 520</w:t>
            </w:r>
          </w:p>
        </w:tc>
        <w:tc>
          <w:tcPr>
            <w:tcW w:w="1499" w:type="dxa"/>
            <w:tcBorders>
              <w:top w:val="nil"/>
              <w:left w:val="nil"/>
              <w:bottom w:val="single" w:sz="4" w:space="0" w:color="auto"/>
              <w:right w:val="single" w:sz="4" w:space="0" w:color="auto"/>
            </w:tcBorders>
          </w:tcPr>
          <w:p w14:paraId="4989841D"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89 520</w:t>
            </w:r>
          </w:p>
        </w:tc>
        <w:tc>
          <w:tcPr>
            <w:tcW w:w="2051" w:type="dxa"/>
            <w:vMerge w:val="restart"/>
            <w:tcBorders>
              <w:top w:val="nil"/>
              <w:left w:val="nil"/>
              <w:right w:val="single" w:sz="4" w:space="0" w:color="auto"/>
            </w:tcBorders>
            <w:noWrap/>
            <w:vAlign w:val="bottom"/>
          </w:tcPr>
          <w:p w14:paraId="3B9E2F11" w14:textId="77777777" w:rsidR="00BD372F" w:rsidRPr="00BD372F" w:rsidRDefault="00BD372F" w:rsidP="00BD372F">
            <w:pPr>
              <w:spacing w:after="0" w:line="240" w:lineRule="auto"/>
              <w:rPr>
                <w:rFonts w:ascii="Times New Roman" w:hAnsi="Times New Roman"/>
                <w:sz w:val="20"/>
                <w:szCs w:val="20"/>
                <w:lang w:eastAsia="sk-SK"/>
              </w:rPr>
            </w:pPr>
            <w:r w:rsidRPr="00BD372F">
              <w:rPr>
                <w:rFonts w:ascii="Times New Roman" w:eastAsia="Calibri" w:hAnsi="Times New Roman"/>
                <w:sz w:val="20"/>
                <w:szCs w:val="20"/>
              </w:rPr>
              <w:t xml:space="preserve">Ide </w:t>
            </w:r>
            <w:r w:rsidRPr="00BD372F">
              <w:rPr>
                <w:rFonts w:ascii="Times New Roman" w:hAnsi="Times New Roman"/>
                <w:sz w:val="20"/>
                <w:szCs w:val="20"/>
                <w:lang w:eastAsia="sk-SK"/>
              </w:rPr>
              <w:t>o výdavky zahŕňajúce výdavkové tituly, ktoré priamo súvisia s dvoma štátnozamestnaneckými miestami vrátane odvodov, rekreačných a športových poukazov, školení, licencií na SW, telekomunikačných služieb, cestovných náhrad, príspevkov do sociálneho fondu a príspevkov na stravu; v roku 2026 je zahrnuté aj jednorazové vybavenie výpočtovou technikou.</w:t>
            </w:r>
          </w:p>
        </w:tc>
      </w:tr>
      <w:tr w:rsidR="00BD372F" w:rsidRPr="00BD372F" w14:paraId="5E5CE737" w14:textId="77777777" w:rsidTr="00154BAB">
        <w:trPr>
          <w:trHeight w:val="255"/>
        </w:trPr>
        <w:tc>
          <w:tcPr>
            <w:tcW w:w="6833" w:type="dxa"/>
            <w:tcBorders>
              <w:top w:val="nil"/>
              <w:left w:val="single" w:sz="4" w:space="0" w:color="auto"/>
              <w:bottom w:val="single" w:sz="4" w:space="0" w:color="auto"/>
              <w:right w:val="single" w:sz="4" w:space="0" w:color="auto"/>
            </w:tcBorders>
          </w:tcPr>
          <w:p w14:paraId="60DD8990" w14:textId="77777777" w:rsidR="00BD372F" w:rsidRPr="00BD372F" w:rsidRDefault="00BD372F" w:rsidP="00BD372F">
            <w:pPr>
              <w:spacing w:after="0" w:line="240" w:lineRule="auto"/>
              <w:rPr>
                <w:rFonts w:ascii="Times New Roman" w:hAnsi="Times New Roman"/>
                <w:sz w:val="20"/>
                <w:szCs w:val="20"/>
                <w:lang w:eastAsia="sk-SK"/>
              </w:rPr>
            </w:pPr>
            <w:r w:rsidRPr="00BD372F">
              <w:rPr>
                <w:rFonts w:ascii="Times New Roman" w:hAnsi="Times New Roman"/>
                <w:sz w:val="20"/>
                <w:szCs w:val="20"/>
                <w:lang w:eastAsia="sk-SK"/>
              </w:rPr>
              <w:t xml:space="preserve">  Mzdy, platy, služobné príjmy a ostatné osobné vyrovnania (610)</w:t>
            </w:r>
          </w:p>
        </w:tc>
        <w:tc>
          <w:tcPr>
            <w:tcW w:w="1393" w:type="dxa"/>
            <w:tcBorders>
              <w:top w:val="nil"/>
              <w:left w:val="nil"/>
              <w:bottom w:val="single" w:sz="4" w:space="0" w:color="auto"/>
              <w:right w:val="single" w:sz="4" w:space="0" w:color="auto"/>
            </w:tcBorders>
          </w:tcPr>
          <w:p w14:paraId="2DF352FF"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Times New Roman" w:hAnsi="Times New Roman"/>
                <w:sz w:val="20"/>
                <w:szCs w:val="20"/>
                <w:lang w:eastAsia="sk-SK"/>
              </w:rPr>
              <w:t>0</w:t>
            </w:r>
          </w:p>
        </w:tc>
        <w:tc>
          <w:tcPr>
            <w:tcW w:w="1604" w:type="dxa"/>
            <w:tcBorders>
              <w:top w:val="nil"/>
              <w:left w:val="nil"/>
              <w:bottom w:val="single" w:sz="4" w:space="0" w:color="auto"/>
              <w:right w:val="single" w:sz="4" w:space="0" w:color="auto"/>
            </w:tcBorders>
          </w:tcPr>
          <w:p w14:paraId="6AC3D9E0"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Times New Roman" w:hAnsi="Times New Roman"/>
                <w:sz w:val="20"/>
                <w:szCs w:val="20"/>
                <w:lang w:eastAsia="sk-SK"/>
              </w:rPr>
              <w:t>58 968</w:t>
            </w:r>
          </w:p>
        </w:tc>
        <w:tc>
          <w:tcPr>
            <w:tcW w:w="1499" w:type="dxa"/>
            <w:tcBorders>
              <w:top w:val="nil"/>
              <w:left w:val="nil"/>
              <w:bottom w:val="single" w:sz="4" w:space="0" w:color="auto"/>
              <w:right w:val="single" w:sz="4" w:space="0" w:color="auto"/>
            </w:tcBorders>
          </w:tcPr>
          <w:p w14:paraId="768A4D06"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Times New Roman" w:hAnsi="Times New Roman"/>
                <w:sz w:val="20"/>
                <w:szCs w:val="20"/>
                <w:lang w:eastAsia="sk-SK"/>
              </w:rPr>
              <w:t>58 968</w:t>
            </w:r>
          </w:p>
        </w:tc>
        <w:tc>
          <w:tcPr>
            <w:tcW w:w="1499" w:type="dxa"/>
            <w:tcBorders>
              <w:top w:val="nil"/>
              <w:left w:val="nil"/>
              <w:bottom w:val="single" w:sz="4" w:space="0" w:color="auto"/>
              <w:right w:val="single" w:sz="4" w:space="0" w:color="auto"/>
            </w:tcBorders>
          </w:tcPr>
          <w:p w14:paraId="32B9D98A"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Times New Roman" w:hAnsi="Times New Roman"/>
                <w:sz w:val="20"/>
                <w:szCs w:val="20"/>
                <w:lang w:eastAsia="sk-SK"/>
              </w:rPr>
              <w:t>58 968</w:t>
            </w:r>
          </w:p>
        </w:tc>
        <w:tc>
          <w:tcPr>
            <w:tcW w:w="2051" w:type="dxa"/>
            <w:vMerge/>
            <w:tcBorders>
              <w:left w:val="nil"/>
              <w:right w:val="single" w:sz="4" w:space="0" w:color="auto"/>
            </w:tcBorders>
            <w:noWrap/>
            <w:vAlign w:val="bottom"/>
          </w:tcPr>
          <w:p w14:paraId="1EDB4E70" w14:textId="77777777" w:rsidR="00BD372F" w:rsidRPr="00BD372F" w:rsidRDefault="00BD372F" w:rsidP="00BD372F">
            <w:pPr>
              <w:spacing w:after="0" w:line="240" w:lineRule="auto"/>
              <w:rPr>
                <w:rFonts w:ascii="Times New Roman" w:hAnsi="Times New Roman"/>
                <w:sz w:val="24"/>
                <w:szCs w:val="24"/>
                <w:lang w:eastAsia="sk-SK"/>
              </w:rPr>
            </w:pPr>
          </w:p>
        </w:tc>
      </w:tr>
      <w:tr w:rsidR="00BD372F" w:rsidRPr="00BD372F" w14:paraId="71566C5A" w14:textId="77777777" w:rsidTr="00154BAB">
        <w:trPr>
          <w:trHeight w:val="255"/>
        </w:trPr>
        <w:tc>
          <w:tcPr>
            <w:tcW w:w="6833" w:type="dxa"/>
            <w:tcBorders>
              <w:top w:val="nil"/>
              <w:left w:val="single" w:sz="4" w:space="0" w:color="auto"/>
              <w:bottom w:val="single" w:sz="4" w:space="0" w:color="auto"/>
              <w:right w:val="single" w:sz="4" w:space="0" w:color="auto"/>
            </w:tcBorders>
          </w:tcPr>
          <w:p w14:paraId="2D1F2297" w14:textId="77777777" w:rsidR="00BD372F" w:rsidRPr="00BD372F" w:rsidRDefault="00BD372F" w:rsidP="00BD372F">
            <w:pPr>
              <w:spacing w:after="0" w:line="240" w:lineRule="auto"/>
              <w:rPr>
                <w:rFonts w:ascii="Times New Roman" w:hAnsi="Times New Roman"/>
                <w:sz w:val="20"/>
                <w:szCs w:val="20"/>
                <w:vertAlign w:val="superscript"/>
                <w:lang w:eastAsia="sk-SK"/>
              </w:rPr>
            </w:pPr>
            <w:r w:rsidRPr="00BD372F">
              <w:rPr>
                <w:rFonts w:ascii="Times New Roman" w:hAnsi="Times New Roman"/>
                <w:sz w:val="20"/>
                <w:szCs w:val="20"/>
                <w:lang w:eastAsia="sk-SK"/>
              </w:rPr>
              <w:t xml:space="preserve">  Poistné a príspevok do poisťovní (620)</w:t>
            </w:r>
          </w:p>
        </w:tc>
        <w:tc>
          <w:tcPr>
            <w:tcW w:w="1393" w:type="dxa"/>
            <w:tcBorders>
              <w:top w:val="nil"/>
              <w:left w:val="nil"/>
              <w:bottom w:val="single" w:sz="4" w:space="0" w:color="auto"/>
              <w:right w:val="single" w:sz="4" w:space="0" w:color="auto"/>
            </w:tcBorders>
          </w:tcPr>
          <w:p w14:paraId="1E7ECD21"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Times New Roman" w:hAnsi="Times New Roman"/>
                <w:sz w:val="20"/>
                <w:szCs w:val="20"/>
                <w:lang w:eastAsia="sk-SK"/>
              </w:rPr>
              <w:t>0</w:t>
            </w:r>
          </w:p>
        </w:tc>
        <w:tc>
          <w:tcPr>
            <w:tcW w:w="1604" w:type="dxa"/>
            <w:tcBorders>
              <w:top w:val="nil"/>
              <w:left w:val="nil"/>
              <w:bottom w:val="single" w:sz="4" w:space="0" w:color="auto"/>
              <w:right w:val="single" w:sz="4" w:space="0" w:color="auto"/>
            </w:tcBorders>
          </w:tcPr>
          <w:p w14:paraId="01902F67"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Times New Roman" w:hAnsi="Times New Roman"/>
                <w:sz w:val="20"/>
                <w:szCs w:val="20"/>
                <w:lang w:eastAsia="sk-SK"/>
              </w:rPr>
              <w:t>22 639</w:t>
            </w:r>
          </w:p>
        </w:tc>
        <w:tc>
          <w:tcPr>
            <w:tcW w:w="1499" w:type="dxa"/>
            <w:tcBorders>
              <w:top w:val="nil"/>
              <w:left w:val="nil"/>
              <w:bottom w:val="single" w:sz="4" w:space="0" w:color="auto"/>
              <w:right w:val="single" w:sz="4" w:space="0" w:color="auto"/>
            </w:tcBorders>
          </w:tcPr>
          <w:p w14:paraId="13772FAD"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Times New Roman" w:hAnsi="Times New Roman"/>
                <w:sz w:val="20"/>
                <w:szCs w:val="20"/>
                <w:lang w:eastAsia="sk-SK"/>
              </w:rPr>
              <w:t>22 639</w:t>
            </w:r>
          </w:p>
        </w:tc>
        <w:tc>
          <w:tcPr>
            <w:tcW w:w="1499" w:type="dxa"/>
            <w:tcBorders>
              <w:top w:val="nil"/>
              <w:left w:val="nil"/>
              <w:bottom w:val="single" w:sz="4" w:space="0" w:color="auto"/>
              <w:right w:val="single" w:sz="4" w:space="0" w:color="auto"/>
            </w:tcBorders>
          </w:tcPr>
          <w:p w14:paraId="5E6CCE99"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Times New Roman" w:hAnsi="Times New Roman"/>
                <w:sz w:val="20"/>
                <w:szCs w:val="20"/>
                <w:lang w:eastAsia="sk-SK"/>
              </w:rPr>
              <w:t>22 639</w:t>
            </w:r>
          </w:p>
        </w:tc>
        <w:tc>
          <w:tcPr>
            <w:tcW w:w="2051" w:type="dxa"/>
            <w:vMerge/>
            <w:tcBorders>
              <w:left w:val="nil"/>
              <w:right w:val="single" w:sz="4" w:space="0" w:color="auto"/>
            </w:tcBorders>
            <w:noWrap/>
            <w:vAlign w:val="bottom"/>
          </w:tcPr>
          <w:p w14:paraId="0F3EA541" w14:textId="77777777" w:rsidR="00BD372F" w:rsidRPr="00BD372F" w:rsidRDefault="00BD372F" w:rsidP="00BD372F">
            <w:pPr>
              <w:spacing w:after="0" w:line="240" w:lineRule="auto"/>
              <w:rPr>
                <w:rFonts w:ascii="Times New Roman" w:hAnsi="Times New Roman"/>
                <w:sz w:val="24"/>
                <w:szCs w:val="24"/>
                <w:lang w:eastAsia="sk-SK"/>
              </w:rPr>
            </w:pPr>
          </w:p>
        </w:tc>
      </w:tr>
      <w:tr w:rsidR="00BD372F" w:rsidRPr="00BD372F" w14:paraId="7C951FBC" w14:textId="77777777" w:rsidTr="00154BAB">
        <w:trPr>
          <w:trHeight w:val="255"/>
        </w:trPr>
        <w:tc>
          <w:tcPr>
            <w:tcW w:w="6833" w:type="dxa"/>
            <w:tcBorders>
              <w:top w:val="nil"/>
              <w:left w:val="single" w:sz="4" w:space="0" w:color="auto"/>
              <w:bottom w:val="single" w:sz="4" w:space="0" w:color="auto"/>
              <w:right w:val="single" w:sz="4" w:space="0" w:color="auto"/>
            </w:tcBorders>
          </w:tcPr>
          <w:p w14:paraId="1B87AC50" w14:textId="77777777" w:rsidR="00BD372F" w:rsidRPr="00BD372F" w:rsidRDefault="00BD372F" w:rsidP="00BD372F">
            <w:pPr>
              <w:spacing w:after="0" w:line="240" w:lineRule="auto"/>
              <w:rPr>
                <w:rFonts w:ascii="Times New Roman" w:hAnsi="Times New Roman"/>
                <w:sz w:val="20"/>
                <w:szCs w:val="20"/>
                <w:vertAlign w:val="superscript"/>
                <w:lang w:eastAsia="sk-SK"/>
              </w:rPr>
            </w:pPr>
            <w:r w:rsidRPr="00BD372F">
              <w:rPr>
                <w:rFonts w:ascii="Times New Roman" w:hAnsi="Times New Roman"/>
                <w:sz w:val="20"/>
                <w:szCs w:val="20"/>
                <w:lang w:eastAsia="sk-SK"/>
              </w:rPr>
              <w:t xml:space="preserve">  Tovary a služby (630)</w:t>
            </w:r>
            <w:r w:rsidRPr="00BD372F">
              <w:rPr>
                <w:rFonts w:ascii="Times New Roman" w:hAnsi="Times New Roman"/>
                <w:sz w:val="20"/>
                <w:szCs w:val="20"/>
                <w:vertAlign w:val="superscript"/>
                <w:lang w:eastAsia="sk-SK"/>
              </w:rPr>
              <w:t>2</w:t>
            </w:r>
          </w:p>
        </w:tc>
        <w:tc>
          <w:tcPr>
            <w:tcW w:w="1393" w:type="dxa"/>
            <w:tcBorders>
              <w:top w:val="nil"/>
              <w:left w:val="nil"/>
              <w:bottom w:val="single" w:sz="4" w:space="0" w:color="auto"/>
              <w:right w:val="single" w:sz="4" w:space="0" w:color="auto"/>
            </w:tcBorders>
          </w:tcPr>
          <w:p w14:paraId="3EEA3707"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Times New Roman" w:hAnsi="Times New Roman"/>
                <w:sz w:val="20"/>
                <w:szCs w:val="20"/>
                <w:lang w:eastAsia="sk-SK"/>
              </w:rPr>
              <w:t>0</w:t>
            </w:r>
          </w:p>
        </w:tc>
        <w:tc>
          <w:tcPr>
            <w:tcW w:w="1604" w:type="dxa"/>
            <w:tcBorders>
              <w:top w:val="nil"/>
              <w:left w:val="nil"/>
              <w:bottom w:val="single" w:sz="4" w:space="0" w:color="auto"/>
              <w:right w:val="single" w:sz="4" w:space="0" w:color="auto"/>
            </w:tcBorders>
          </w:tcPr>
          <w:p w14:paraId="3A4DE9B3"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Times New Roman" w:hAnsi="Times New Roman"/>
                <w:sz w:val="20"/>
                <w:szCs w:val="20"/>
                <w:lang w:eastAsia="sk-SK"/>
              </w:rPr>
              <w:t>8 945</w:t>
            </w:r>
          </w:p>
        </w:tc>
        <w:tc>
          <w:tcPr>
            <w:tcW w:w="1499" w:type="dxa"/>
            <w:tcBorders>
              <w:top w:val="nil"/>
              <w:left w:val="nil"/>
              <w:bottom w:val="single" w:sz="4" w:space="0" w:color="auto"/>
              <w:right w:val="single" w:sz="4" w:space="0" w:color="auto"/>
            </w:tcBorders>
          </w:tcPr>
          <w:p w14:paraId="5A0B4FEB"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Times New Roman" w:hAnsi="Times New Roman"/>
                <w:sz w:val="20"/>
                <w:szCs w:val="20"/>
                <w:lang w:eastAsia="sk-SK"/>
              </w:rPr>
              <w:t>5 945</w:t>
            </w:r>
          </w:p>
        </w:tc>
        <w:tc>
          <w:tcPr>
            <w:tcW w:w="1499" w:type="dxa"/>
            <w:tcBorders>
              <w:top w:val="nil"/>
              <w:left w:val="nil"/>
              <w:bottom w:val="single" w:sz="4" w:space="0" w:color="auto"/>
              <w:right w:val="single" w:sz="4" w:space="0" w:color="auto"/>
            </w:tcBorders>
          </w:tcPr>
          <w:p w14:paraId="7F05C6AE"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Times New Roman" w:hAnsi="Times New Roman"/>
                <w:sz w:val="20"/>
                <w:szCs w:val="20"/>
                <w:lang w:eastAsia="sk-SK"/>
              </w:rPr>
              <w:t>5 945</w:t>
            </w:r>
          </w:p>
        </w:tc>
        <w:tc>
          <w:tcPr>
            <w:tcW w:w="2051" w:type="dxa"/>
            <w:vMerge/>
            <w:tcBorders>
              <w:left w:val="nil"/>
              <w:right w:val="single" w:sz="4" w:space="0" w:color="auto"/>
            </w:tcBorders>
            <w:noWrap/>
            <w:vAlign w:val="bottom"/>
          </w:tcPr>
          <w:p w14:paraId="1BA3F906" w14:textId="77777777" w:rsidR="00BD372F" w:rsidRPr="00BD372F" w:rsidRDefault="00BD372F" w:rsidP="00BD372F">
            <w:pPr>
              <w:spacing w:after="0" w:line="240" w:lineRule="auto"/>
              <w:rPr>
                <w:rFonts w:ascii="Times New Roman" w:hAnsi="Times New Roman"/>
                <w:sz w:val="24"/>
                <w:szCs w:val="24"/>
                <w:lang w:eastAsia="sk-SK"/>
              </w:rPr>
            </w:pPr>
          </w:p>
        </w:tc>
      </w:tr>
      <w:tr w:rsidR="00BD372F" w:rsidRPr="00BD372F" w14:paraId="3F1678B5" w14:textId="77777777" w:rsidTr="00154BAB">
        <w:trPr>
          <w:trHeight w:val="255"/>
        </w:trPr>
        <w:tc>
          <w:tcPr>
            <w:tcW w:w="6833" w:type="dxa"/>
            <w:tcBorders>
              <w:top w:val="nil"/>
              <w:left w:val="single" w:sz="4" w:space="0" w:color="auto"/>
              <w:bottom w:val="single" w:sz="4" w:space="0" w:color="auto"/>
              <w:right w:val="single" w:sz="4" w:space="0" w:color="auto"/>
            </w:tcBorders>
          </w:tcPr>
          <w:p w14:paraId="7FEF7737" w14:textId="77777777" w:rsidR="00BD372F" w:rsidRPr="00BD372F" w:rsidRDefault="00BD372F" w:rsidP="00BD372F">
            <w:pPr>
              <w:spacing w:after="0" w:line="240" w:lineRule="auto"/>
              <w:rPr>
                <w:rFonts w:ascii="Times New Roman" w:hAnsi="Times New Roman"/>
                <w:sz w:val="20"/>
                <w:szCs w:val="20"/>
                <w:lang w:eastAsia="sk-SK"/>
              </w:rPr>
            </w:pPr>
            <w:r w:rsidRPr="00BD372F">
              <w:rPr>
                <w:rFonts w:ascii="Times New Roman" w:hAnsi="Times New Roman"/>
                <w:sz w:val="20"/>
                <w:szCs w:val="20"/>
                <w:lang w:eastAsia="sk-SK"/>
              </w:rPr>
              <w:t xml:space="preserve">  Bežné transfery (640)</w:t>
            </w:r>
            <w:r w:rsidRPr="00BD372F">
              <w:rPr>
                <w:rFonts w:ascii="Times New Roman" w:hAnsi="Times New Roman"/>
                <w:sz w:val="20"/>
                <w:szCs w:val="20"/>
                <w:vertAlign w:val="superscript"/>
                <w:lang w:eastAsia="sk-SK"/>
              </w:rPr>
              <w:t>2</w:t>
            </w:r>
          </w:p>
        </w:tc>
        <w:tc>
          <w:tcPr>
            <w:tcW w:w="1393" w:type="dxa"/>
            <w:tcBorders>
              <w:top w:val="nil"/>
              <w:left w:val="nil"/>
              <w:bottom w:val="single" w:sz="4" w:space="0" w:color="auto"/>
              <w:right w:val="single" w:sz="4" w:space="0" w:color="auto"/>
            </w:tcBorders>
          </w:tcPr>
          <w:p w14:paraId="20BD6601"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Times New Roman" w:hAnsi="Times New Roman"/>
                <w:sz w:val="20"/>
                <w:szCs w:val="20"/>
                <w:lang w:eastAsia="sk-SK"/>
              </w:rPr>
              <w:t>0</w:t>
            </w:r>
          </w:p>
        </w:tc>
        <w:tc>
          <w:tcPr>
            <w:tcW w:w="1604" w:type="dxa"/>
            <w:tcBorders>
              <w:top w:val="nil"/>
              <w:left w:val="nil"/>
              <w:bottom w:val="single" w:sz="4" w:space="0" w:color="auto"/>
              <w:right w:val="single" w:sz="4" w:space="0" w:color="auto"/>
            </w:tcBorders>
          </w:tcPr>
          <w:p w14:paraId="1CFEF2EE"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Times New Roman" w:hAnsi="Times New Roman"/>
                <w:sz w:val="20"/>
                <w:szCs w:val="20"/>
                <w:lang w:eastAsia="sk-SK"/>
              </w:rPr>
              <w:t>1 968</w:t>
            </w:r>
          </w:p>
        </w:tc>
        <w:tc>
          <w:tcPr>
            <w:tcW w:w="1499" w:type="dxa"/>
            <w:tcBorders>
              <w:top w:val="nil"/>
              <w:left w:val="nil"/>
              <w:bottom w:val="single" w:sz="4" w:space="0" w:color="auto"/>
              <w:right w:val="single" w:sz="4" w:space="0" w:color="auto"/>
            </w:tcBorders>
          </w:tcPr>
          <w:p w14:paraId="7BBA61A2"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Times New Roman" w:hAnsi="Times New Roman"/>
                <w:sz w:val="20"/>
                <w:szCs w:val="20"/>
                <w:lang w:eastAsia="sk-SK"/>
              </w:rPr>
              <w:t>1 968</w:t>
            </w:r>
          </w:p>
        </w:tc>
        <w:tc>
          <w:tcPr>
            <w:tcW w:w="1499" w:type="dxa"/>
            <w:tcBorders>
              <w:top w:val="nil"/>
              <w:left w:val="nil"/>
              <w:bottom w:val="single" w:sz="4" w:space="0" w:color="auto"/>
              <w:right w:val="single" w:sz="4" w:space="0" w:color="auto"/>
            </w:tcBorders>
          </w:tcPr>
          <w:p w14:paraId="38408780"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Times New Roman" w:hAnsi="Times New Roman"/>
                <w:sz w:val="20"/>
                <w:szCs w:val="20"/>
                <w:lang w:eastAsia="sk-SK"/>
              </w:rPr>
              <w:t>1 968</w:t>
            </w:r>
          </w:p>
        </w:tc>
        <w:tc>
          <w:tcPr>
            <w:tcW w:w="2051" w:type="dxa"/>
            <w:vMerge/>
            <w:tcBorders>
              <w:left w:val="nil"/>
              <w:right w:val="single" w:sz="4" w:space="0" w:color="auto"/>
            </w:tcBorders>
            <w:noWrap/>
            <w:vAlign w:val="bottom"/>
          </w:tcPr>
          <w:p w14:paraId="1E9B18E3" w14:textId="77777777" w:rsidR="00BD372F" w:rsidRPr="00BD372F" w:rsidRDefault="00BD372F" w:rsidP="00BD372F">
            <w:pPr>
              <w:spacing w:after="0" w:line="240" w:lineRule="auto"/>
              <w:rPr>
                <w:rFonts w:ascii="Times New Roman" w:hAnsi="Times New Roman"/>
                <w:sz w:val="24"/>
                <w:szCs w:val="24"/>
                <w:lang w:eastAsia="sk-SK"/>
              </w:rPr>
            </w:pPr>
          </w:p>
        </w:tc>
      </w:tr>
      <w:tr w:rsidR="00BD372F" w:rsidRPr="00BD372F" w14:paraId="52FCC32D" w14:textId="77777777" w:rsidTr="00154BAB">
        <w:trPr>
          <w:trHeight w:val="255"/>
        </w:trPr>
        <w:tc>
          <w:tcPr>
            <w:tcW w:w="6833" w:type="dxa"/>
            <w:tcBorders>
              <w:top w:val="nil"/>
              <w:left w:val="single" w:sz="4" w:space="0" w:color="auto"/>
              <w:bottom w:val="single" w:sz="4" w:space="0" w:color="auto"/>
              <w:right w:val="single" w:sz="4" w:space="0" w:color="auto"/>
            </w:tcBorders>
            <w:vAlign w:val="center"/>
          </w:tcPr>
          <w:p w14:paraId="5C219317" w14:textId="77777777" w:rsidR="00BD372F" w:rsidRPr="00BD372F" w:rsidRDefault="00BD372F" w:rsidP="00BD372F">
            <w:pPr>
              <w:spacing w:after="0" w:line="240" w:lineRule="auto"/>
              <w:rPr>
                <w:rFonts w:ascii="Times New Roman" w:hAnsi="Times New Roman"/>
                <w:sz w:val="20"/>
                <w:szCs w:val="20"/>
                <w:lang w:eastAsia="sk-SK"/>
              </w:rPr>
            </w:pPr>
            <w:r w:rsidRPr="00BD372F">
              <w:rPr>
                <w:rFonts w:ascii="Times New Roman" w:hAnsi="Times New Roman"/>
                <w:sz w:val="20"/>
                <w:szCs w:val="20"/>
                <w:lang w:eastAsia="sk-SK"/>
              </w:rPr>
              <w:t xml:space="preserve">  Splácanie úrokov a ostatné platby súvisiace s </w:t>
            </w:r>
            <w:r w:rsidRPr="00BD372F">
              <w:rPr>
                <w:rFonts w:ascii="Calibri" w:eastAsia="Calibri" w:hAnsi="Calibri"/>
                <w:szCs w:val="22"/>
              </w:rPr>
              <w:t xml:space="preserve"> </w:t>
            </w:r>
            <w:r w:rsidRPr="00BD372F">
              <w:rPr>
                <w:rFonts w:ascii="Times New Roman" w:hAnsi="Times New Roman"/>
                <w:sz w:val="20"/>
                <w:szCs w:val="20"/>
                <w:lang w:eastAsia="sk-SK"/>
              </w:rPr>
              <w:t>úverom, pôžičkou, návratnou finančnou výpomocou a finančným prenájmom (650)</w:t>
            </w:r>
            <w:r w:rsidRPr="00BD372F">
              <w:rPr>
                <w:rFonts w:ascii="Times New Roman" w:hAnsi="Times New Roman"/>
                <w:sz w:val="20"/>
                <w:szCs w:val="20"/>
                <w:vertAlign w:val="superscript"/>
                <w:lang w:eastAsia="sk-SK"/>
              </w:rPr>
              <w:t>2</w:t>
            </w:r>
          </w:p>
        </w:tc>
        <w:tc>
          <w:tcPr>
            <w:tcW w:w="1393" w:type="dxa"/>
            <w:tcBorders>
              <w:top w:val="nil"/>
              <w:left w:val="nil"/>
              <w:bottom w:val="single" w:sz="4" w:space="0" w:color="auto"/>
              <w:right w:val="single" w:sz="4" w:space="0" w:color="auto"/>
            </w:tcBorders>
          </w:tcPr>
          <w:p w14:paraId="0F14C34F"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1604" w:type="dxa"/>
            <w:tcBorders>
              <w:top w:val="nil"/>
              <w:left w:val="nil"/>
              <w:bottom w:val="single" w:sz="4" w:space="0" w:color="auto"/>
              <w:right w:val="single" w:sz="4" w:space="0" w:color="auto"/>
            </w:tcBorders>
          </w:tcPr>
          <w:p w14:paraId="2A955B08"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1499" w:type="dxa"/>
            <w:tcBorders>
              <w:top w:val="nil"/>
              <w:left w:val="nil"/>
              <w:bottom w:val="single" w:sz="4" w:space="0" w:color="auto"/>
              <w:right w:val="single" w:sz="4" w:space="0" w:color="auto"/>
            </w:tcBorders>
          </w:tcPr>
          <w:p w14:paraId="3ED217A0"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1499" w:type="dxa"/>
            <w:tcBorders>
              <w:top w:val="nil"/>
              <w:left w:val="nil"/>
              <w:bottom w:val="single" w:sz="4" w:space="0" w:color="auto"/>
              <w:right w:val="single" w:sz="4" w:space="0" w:color="auto"/>
            </w:tcBorders>
          </w:tcPr>
          <w:p w14:paraId="1CE1272D"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2051" w:type="dxa"/>
            <w:vMerge/>
            <w:tcBorders>
              <w:left w:val="nil"/>
              <w:right w:val="single" w:sz="4" w:space="0" w:color="auto"/>
            </w:tcBorders>
            <w:noWrap/>
            <w:vAlign w:val="bottom"/>
          </w:tcPr>
          <w:p w14:paraId="04A898DB" w14:textId="77777777" w:rsidR="00BD372F" w:rsidRPr="00BD372F" w:rsidRDefault="00BD372F" w:rsidP="00BD372F">
            <w:pPr>
              <w:spacing w:after="0" w:line="240" w:lineRule="auto"/>
              <w:rPr>
                <w:rFonts w:ascii="Times New Roman" w:hAnsi="Times New Roman"/>
                <w:sz w:val="24"/>
                <w:szCs w:val="24"/>
                <w:lang w:eastAsia="sk-SK"/>
              </w:rPr>
            </w:pPr>
          </w:p>
        </w:tc>
      </w:tr>
      <w:tr w:rsidR="00BD372F" w:rsidRPr="00BD372F" w14:paraId="2786D9D7" w14:textId="77777777" w:rsidTr="00154BAB">
        <w:trPr>
          <w:trHeight w:val="255"/>
        </w:trPr>
        <w:tc>
          <w:tcPr>
            <w:tcW w:w="6833" w:type="dxa"/>
            <w:tcBorders>
              <w:top w:val="nil"/>
              <w:left w:val="single" w:sz="4" w:space="0" w:color="auto"/>
              <w:bottom w:val="single" w:sz="4" w:space="0" w:color="auto"/>
              <w:right w:val="single" w:sz="4" w:space="0" w:color="auto"/>
            </w:tcBorders>
          </w:tcPr>
          <w:p w14:paraId="45D88956" w14:textId="77777777" w:rsidR="00BD372F" w:rsidRPr="00BD372F" w:rsidRDefault="00BD372F" w:rsidP="00BD372F">
            <w:pPr>
              <w:spacing w:after="0" w:line="240" w:lineRule="auto"/>
              <w:rPr>
                <w:rFonts w:ascii="Times New Roman" w:hAnsi="Times New Roman"/>
                <w:b/>
                <w:bCs/>
                <w:sz w:val="20"/>
                <w:szCs w:val="20"/>
                <w:lang w:eastAsia="sk-SK"/>
              </w:rPr>
            </w:pPr>
            <w:r w:rsidRPr="00BD372F">
              <w:rPr>
                <w:rFonts w:ascii="Times New Roman" w:hAnsi="Times New Roman"/>
                <w:b/>
                <w:bCs/>
                <w:sz w:val="20"/>
                <w:szCs w:val="20"/>
                <w:lang w:eastAsia="sk-SK"/>
              </w:rPr>
              <w:t>Kapitálové výdavky (700)</w:t>
            </w:r>
          </w:p>
        </w:tc>
        <w:tc>
          <w:tcPr>
            <w:tcW w:w="1393" w:type="dxa"/>
            <w:tcBorders>
              <w:top w:val="nil"/>
              <w:left w:val="nil"/>
              <w:bottom w:val="single" w:sz="4" w:space="0" w:color="auto"/>
              <w:right w:val="single" w:sz="4" w:space="0" w:color="auto"/>
            </w:tcBorders>
          </w:tcPr>
          <w:p w14:paraId="1F1988FA" w14:textId="77777777" w:rsidR="00BD372F" w:rsidRPr="00BD372F" w:rsidRDefault="00BD372F" w:rsidP="00BD372F">
            <w:pPr>
              <w:spacing w:after="0" w:line="240" w:lineRule="auto"/>
              <w:jc w:val="center"/>
              <w:rPr>
                <w:rFonts w:ascii="Times New Roman" w:hAnsi="Times New Roman"/>
                <w:b/>
                <w:bCs/>
                <w:sz w:val="20"/>
                <w:szCs w:val="20"/>
                <w:lang w:eastAsia="sk-SK"/>
              </w:rPr>
            </w:pPr>
          </w:p>
        </w:tc>
        <w:tc>
          <w:tcPr>
            <w:tcW w:w="1604" w:type="dxa"/>
            <w:tcBorders>
              <w:top w:val="nil"/>
              <w:left w:val="nil"/>
              <w:bottom w:val="single" w:sz="4" w:space="0" w:color="auto"/>
              <w:right w:val="single" w:sz="4" w:space="0" w:color="auto"/>
            </w:tcBorders>
          </w:tcPr>
          <w:p w14:paraId="31A8A567" w14:textId="77777777" w:rsidR="00BD372F" w:rsidRPr="00BD372F" w:rsidRDefault="00BD372F" w:rsidP="00BD372F">
            <w:pPr>
              <w:spacing w:after="0" w:line="240" w:lineRule="auto"/>
              <w:jc w:val="center"/>
              <w:rPr>
                <w:rFonts w:ascii="Times New Roman" w:hAnsi="Times New Roman"/>
                <w:b/>
                <w:bCs/>
                <w:sz w:val="20"/>
                <w:szCs w:val="20"/>
                <w:lang w:eastAsia="sk-SK"/>
              </w:rPr>
            </w:pPr>
          </w:p>
        </w:tc>
        <w:tc>
          <w:tcPr>
            <w:tcW w:w="1499" w:type="dxa"/>
            <w:tcBorders>
              <w:top w:val="nil"/>
              <w:left w:val="nil"/>
              <w:bottom w:val="single" w:sz="4" w:space="0" w:color="auto"/>
              <w:right w:val="single" w:sz="4" w:space="0" w:color="auto"/>
            </w:tcBorders>
          </w:tcPr>
          <w:p w14:paraId="2DDE3E4E" w14:textId="77777777" w:rsidR="00BD372F" w:rsidRPr="00BD372F" w:rsidRDefault="00BD372F" w:rsidP="00BD372F">
            <w:pPr>
              <w:spacing w:after="0" w:line="240" w:lineRule="auto"/>
              <w:jc w:val="center"/>
              <w:rPr>
                <w:rFonts w:ascii="Times New Roman" w:hAnsi="Times New Roman"/>
                <w:b/>
                <w:bCs/>
                <w:sz w:val="20"/>
                <w:szCs w:val="20"/>
                <w:lang w:eastAsia="sk-SK"/>
              </w:rPr>
            </w:pPr>
          </w:p>
        </w:tc>
        <w:tc>
          <w:tcPr>
            <w:tcW w:w="1499" w:type="dxa"/>
            <w:tcBorders>
              <w:top w:val="nil"/>
              <w:left w:val="nil"/>
              <w:bottom w:val="single" w:sz="4" w:space="0" w:color="auto"/>
              <w:right w:val="single" w:sz="4" w:space="0" w:color="auto"/>
            </w:tcBorders>
          </w:tcPr>
          <w:p w14:paraId="420900AA" w14:textId="77777777" w:rsidR="00BD372F" w:rsidRPr="00BD372F" w:rsidRDefault="00BD372F" w:rsidP="00BD372F">
            <w:pPr>
              <w:spacing w:after="0" w:line="240" w:lineRule="auto"/>
              <w:jc w:val="center"/>
              <w:rPr>
                <w:rFonts w:ascii="Times New Roman" w:hAnsi="Times New Roman"/>
                <w:b/>
                <w:bCs/>
                <w:sz w:val="20"/>
                <w:szCs w:val="20"/>
                <w:lang w:eastAsia="sk-SK"/>
              </w:rPr>
            </w:pPr>
          </w:p>
        </w:tc>
        <w:tc>
          <w:tcPr>
            <w:tcW w:w="2051" w:type="dxa"/>
            <w:vMerge/>
            <w:tcBorders>
              <w:left w:val="nil"/>
              <w:right w:val="single" w:sz="4" w:space="0" w:color="auto"/>
            </w:tcBorders>
            <w:noWrap/>
            <w:vAlign w:val="bottom"/>
          </w:tcPr>
          <w:p w14:paraId="6E6B5ACA" w14:textId="77777777" w:rsidR="00BD372F" w:rsidRPr="00BD372F" w:rsidRDefault="00BD372F" w:rsidP="00BD372F">
            <w:pPr>
              <w:spacing w:after="0" w:line="240" w:lineRule="auto"/>
              <w:rPr>
                <w:rFonts w:ascii="Times New Roman" w:hAnsi="Times New Roman"/>
                <w:sz w:val="24"/>
                <w:szCs w:val="24"/>
                <w:lang w:eastAsia="sk-SK"/>
              </w:rPr>
            </w:pPr>
          </w:p>
        </w:tc>
      </w:tr>
      <w:tr w:rsidR="00BD372F" w:rsidRPr="00BD372F" w14:paraId="2B85CB49" w14:textId="77777777" w:rsidTr="00154BAB">
        <w:trPr>
          <w:trHeight w:val="255"/>
        </w:trPr>
        <w:tc>
          <w:tcPr>
            <w:tcW w:w="6833" w:type="dxa"/>
            <w:tcBorders>
              <w:top w:val="nil"/>
              <w:left w:val="single" w:sz="4" w:space="0" w:color="auto"/>
              <w:bottom w:val="single" w:sz="4" w:space="0" w:color="auto"/>
              <w:right w:val="single" w:sz="4" w:space="0" w:color="auto"/>
            </w:tcBorders>
          </w:tcPr>
          <w:p w14:paraId="7B5FDAA7" w14:textId="77777777" w:rsidR="00BD372F" w:rsidRPr="00BD372F" w:rsidRDefault="00BD372F" w:rsidP="00BD372F">
            <w:pPr>
              <w:spacing w:after="0" w:line="240" w:lineRule="auto"/>
              <w:rPr>
                <w:rFonts w:ascii="Times New Roman" w:hAnsi="Times New Roman"/>
                <w:sz w:val="20"/>
                <w:szCs w:val="20"/>
                <w:lang w:eastAsia="sk-SK"/>
              </w:rPr>
            </w:pPr>
            <w:r w:rsidRPr="00BD372F">
              <w:rPr>
                <w:rFonts w:ascii="Times New Roman" w:hAnsi="Times New Roman"/>
                <w:sz w:val="20"/>
                <w:szCs w:val="20"/>
                <w:lang w:eastAsia="sk-SK"/>
              </w:rPr>
              <w:t xml:space="preserve">  Obstarávanie kapitálových aktív (710)</w:t>
            </w:r>
            <w:r w:rsidRPr="00BD372F">
              <w:rPr>
                <w:rFonts w:ascii="Times New Roman" w:hAnsi="Times New Roman"/>
                <w:sz w:val="20"/>
                <w:szCs w:val="20"/>
                <w:vertAlign w:val="superscript"/>
                <w:lang w:eastAsia="sk-SK"/>
              </w:rPr>
              <w:t>2</w:t>
            </w:r>
          </w:p>
        </w:tc>
        <w:tc>
          <w:tcPr>
            <w:tcW w:w="1393" w:type="dxa"/>
            <w:tcBorders>
              <w:top w:val="nil"/>
              <w:left w:val="nil"/>
              <w:bottom w:val="single" w:sz="4" w:space="0" w:color="auto"/>
              <w:right w:val="single" w:sz="4" w:space="0" w:color="auto"/>
            </w:tcBorders>
          </w:tcPr>
          <w:p w14:paraId="275438CC"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1604" w:type="dxa"/>
            <w:tcBorders>
              <w:top w:val="nil"/>
              <w:left w:val="nil"/>
              <w:bottom w:val="single" w:sz="4" w:space="0" w:color="auto"/>
              <w:right w:val="single" w:sz="4" w:space="0" w:color="auto"/>
            </w:tcBorders>
          </w:tcPr>
          <w:p w14:paraId="6513B4F6"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1499" w:type="dxa"/>
            <w:tcBorders>
              <w:top w:val="nil"/>
              <w:left w:val="nil"/>
              <w:bottom w:val="single" w:sz="4" w:space="0" w:color="auto"/>
              <w:right w:val="single" w:sz="4" w:space="0" w:color="auto"/>
            </w:tcBorders>
          </w:tcPr>
          <w:p w14:paraId="40122CD1"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1499" w:type="dxa"/>
            <w:tcBorders>
              <w:top w:val="nil"/>
              <w:left w:val="nil"/>
              <w:bottom w:val="single" w:sz="4" w:space="0" w:color="auto"/>
              <w:right w:val="single" w:sz="4" w:space="0" w:color="auto"/>
            </w:tcBorders>
          </w:tcPr>
          <w:p w14:paraId="144E138A"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2051" w:type="dxa"/>
            <w:vMerge/>
            <w:tcBorders>
              <w:left w:val="nil"/>
              <w:right w:val="single" w:sz="4" w:space="0" w:color="auto"/>
            </w:tcBorders>
            <w:noWrap/>
            <w:vAlign w:val="bottom"/>
          </w:tcPr>
          <w:p w14:paraId="12503ECC" w14:textId="77777777" w:rsidR="00BD372F" w:rsidRPr="00BD372F" w:rsidRDefault="00BD372F" w:rsidP="00BD372F">
            <w:pPr>
              <w:spacing w:after="0" w:line="240" w:lineRule="auto"/>
              <w:rPr>
                <w:rFonts w:ascii="Times New Roman" w:hAnsi="Times New Roman"/>
                <w:sz w:val="24"/>
                <w:szCs w:val="24"/>
                <w:lang w:eastAsia="sk-SK"/>
              </w:rPr>
            </w:pPr>
          </w:p>
        </w:tc>
      </w:tr>
      <w:tr w:rsidR="00BD372F" w:rsidRPr="00BD372F" w14:paraId="48C4E0E9" w14:textId="77777777" w:rsidTr="00154BAB">
        <w:trPr>
          <w:trHeight w:val="255"/>
        </w:trPr>
        <w:tc>
          <w:tcPr>
            <w:tcW w:w="6833" w:type="dxa"/>
            <w:tcBorders>
              <w:top w:val="nil"/>
              <w:left w:val="single" w:sz="4" w:space="0" w:color="auto"/>
              <w:bottom w:val="single" w:sz="4" w:space="0" w:color="auto"/>
              <w:right w:val="single" w:sz="4" w:space="0" w:color="auto"/>
            </w:tcBorders>
          </w:tcPr>
          <w:p w14:paraId="46D48BAE" w14:textId="77777777" w:rsidR="00BD372F" w:rsidRPr="00BD372F" w:rsidRDefault="00BD372F" w:rsidP="00BD372F">
            <w:pPr>
              <w:spacing w:after="0" w:line="240" w:lineRule="auto"/>
              <w:rPr>
                <w:rFonts w:ascii="Times New Roman" w:hAnsi="Times New Roman"/>
                <w:sz w:val="20"/>
                <w:szCs w:val="20"/>
                <w:lang w:eastAsia="sk-SK"/>
              </w:rPr>
            </w:pPr>
            <w:r w:rsidRPr="00BD372F">
              <w:rPr>
                <w:rFonts w:ascii="Times New Roman" w:hAnsi="Times New Roman"/>
                <w:sz w:val="20"/>
                <w:szCs w:val="20"/>
                <w:lang w:eastAsia="sk-SK"/>
              </w:rPr>
              <w:t xml:space="preserve">  Kapitálové transfery (720)</w:t>
            </w:r>
            <w:r w:rsidRPr="00BD372F">
              <w:rPr>
                <w:rFonts w:ascii="Times New Roman" w:hAnsi="Times New Roman"/>
                <w:sz w:val="20"/>
                <w:szCs w:val="20"/>
                <w:vertAlign w:val="superscript"/>
                <w:lang w:eastAsia="sk-SK"/>
              </w:rPr>
              <w:t>2</w:t>
            </w:r>
          </w:p>
        </w:tc>
        <w:tc>
          <w:tcPr>
            <w:tcW w:w="1393" w:type="dxa"/>
            <w:tcBorders>
              <w:top w:val="nil"/>
              <w:left w:val="nil"/>
              <w:bottom w:val="single" w:sz="4" w:space="0" w:color="auto"/>
              <w:right w:val="single" w:sz="4" w:space="0" w:color="auto"/>
            </w:tcBorders>
          </w:tcPr>
          <w:p w14:paraId="62FF7C15"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1604" w:type="dxa"/>
            <w:tcBorders>
              <w:top w:val="nil"/>
              <w:left w:val="nil"/>
              <w:bottom w:val="single" w:sz="4" w:space="0" w:color="auto"/>
              <w:right w:val="single" w:sz="4" w:space="0" w:color="auto"/>
            </w:tcBorders>
          </w:tcPr>
          <w:p w14:paraId="7E4824B7"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1499" w:type="dxa"/>
            <w:tcBorders>
              <w:top w:val="nil"/>
              <w:left w:val="nil"/>
              <w:bottom w:val="single" w:sz="4" w:space="0" w:color="auto"/>
              <w:right w:val="single" w:sz="4" w:space="0" w:color="auto"/>
            </w:tcBorders>
          </w:tcPr>
          <w:p w14:paraId="30B580AF"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1499" w:type="dxa"/>
            <w:tcBorders>
              <w:top w:val="nil"/>
              <w:left w:val="nil"/>
              <w:bottom w:val="single" w:sz="4" w:space="0" w:color="auto"/>
              <w:right w:val="single" w:sz="4" w:space="0" w:color="auto"/>
            </w:tcBorders>
          </w:tcPr>
          <w:p w14:paraId="3E168B52"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2051" w:type="dxa"/>
            <w:vMerge/>
            <w:tcBorders>
              <w:left w:val="nil"/>
              <w:right w:val="single" w:sz="4" w:space="0" w:color="auto"/>
            </w:tcBorders>
            <w:noWrap/>
            <w:vAlign w:val="bottom"/>
          </w:tcPr>
          <w:p w14:paraId="01EBA927" w14:textId="77777777" w:rsidR="00BD372F" w:rsidRPr="00BD372F" w:rsidRDefault="00BD372F" w:rsidP="00BD372F">
            <w:pPr>
              <w:spacing w:after="0" w:line="240" w:lineRule="auto"/>
              <w:rPr>
                <w:rFonts w:ascii="Times New Roman" w:hAnsi="Times New Roman"/>
                <w:sz w:val="24"/>
                <w:szCs w:val="24"/>
                <w:lang w:eastAsia="sk-SK"/>
              </w:rPr>
            </w:pPr>
          </w:p>
        </w:tc>
      </w:tr>
      <w:tr w:rsidR="00BD372F" w:rsidRPr="00BD372F" w14:paraId="195EC453" w14:textId="77777777" w:rsidTr="00154BAB">
        <w:trPr>
          <w:trHeight w:val="255"/>
        </w:trPr>
        <w:tc>
          <w:tcPr>
            <w:tcW w:w="6833" w:type="dxa"/>
            <w:tcBorders>
              <w:top w:val="nil"/>
              <w:left w:val="single" w:sz="4" w:space="0" w:color="auto"/>
              <w:bottom w:val="single" w:sz="4" w:space="0" w:color="auto"/>
              <w:right w:val="single" w:sz="4" w:space="0" w:color="auto"/>
            </w:tcBorders>
          </w:tcPr>
          <w:p w14:paraId="43F516C6" w14:textId="77777777" w:rsidR="00BD372F" w:rsidRPr="00BD372F" w:rsidRDefault="00BD372F" w:rsidP="00BD372F">
            <w:pPr>
              <w:spacing w:after="0" w:line="240" w:lineRule="auto"/>
              <w:rPr>
                <w:rFonts w:ascii="Times New Roman" w:hAnsi="Times New Roman"/>
                <w:b/>
                <w:bCs/>
                <w:sz w:val="20"/>
                <w:szCs w:val="20"/>
                <w:lang w:eastAsia="sk-SK"/>
              </w:rPr>
            </w:pPr>
            <w:r w:rsidRPr="00BD372F">
              <w:rPr>
                <w:rFonts w:ascii="Times New Roman" w:hAnsi="Times New Roman"/>
                <w:b/>
                <w:bCs/>
                <w:sz w:val="20"/>
                <w:szCs w:val="20"/>
                <w:lang w:eastAsia="sk-SK"/>
              </w:rPr>
              <w:t>Výdavky z transakcií s finančnými aktívami a finančnými pasívami (800)</w:t>
            </w:r>
          </w:p>
        </w:tc>
        <w:tc>
          <w:tcPr>
            <w:tcW w:w="1393" w:type="dxa"/>
            <w:tcBorders>
              <w:top w:val="nil"/>
              <w:left w:val="nil"/>
              <w:bottom w:val="single" w:sz="4" w:space="0" w:color="auto"/>
              <w:right w:val="single" w:sz="4" w:space="0" w:color="auto"/>
            </w:tcBorders>
          </w:tcPr>
          <w:p w14:paraId="2C778964" w14:textId="77777777" w:rsidR="00BD372F" w:rsidRPr="00BD372F" w:rsidRDefault="00BD372F" w:rsidP="00BD372F">
            <w:pPr>
              <w:spacing w:after="0" w:line="240" w:lineRule="auto"/>
              <w:jc w:val="center"/>
              <w:rPr>
                <w:rFonts w:ascii="Times New Roman" w:hAnsi="Times New Roman"/>
                <w:b/>
                <w:bCs/>
                <w:sz w:val="20"/>
                <w:szCs w:val="20"/>
                <w:lang w:eastAsia="sk-SK"/>
              </w:rPr>
            </w:pPr>
          </w:p>
        </w:tc>
        <w:tc>
          <w:tcPr>
            <w:tcW w:w="1604" w:type="dxa"/>
            <w:tcBorders>
              <w:top w:val="nil"/>
              <w:left w:val="nil"/>
              <w:bottom w:val="single" w:sz="4" w:space="0" w:color="auto"/>
              <w:right w:val="single" w:sz="4" w:space="0" w:color="auto"/>
            </w:tcBorders>
          </w:tcPr>
          <w:p w14:paraId="00DE848B"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 </w:t>
            </w:r>
          </w:p>
        </w:tc>
        <w:tc>
          <w:tcPr>
            <w:tcW w:w="1499" w:type="dxa"/>
            <w:tcBorders>
              <w:top w:val="nil"/>
              <w:left w:val="nil"/>
              <w:bottom w:val="single" w:sz="4" w:space="0" w:color="auto"/>
              <w:right w:val="single" w:sz="4" w:space="0" w:color="auto"/>
            </w:tcBorders>
          </w:tcPr>
          <w:p w14:paraId="738F7959"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 </w:t>
            </w:r>
          </w:p>
        </w:tc>
        <w:tc>
          <w:tcPr>
            <w:tcW w:w="1499" w:type="dxa"/>
            <w:tcBorders>
              <w:top w:val="nil"/>
              <w:left w:val="nil"/>
              <w:bottom w:val="single" w:sz="4" w:space="0" w:color="auto"/>
              <w:right w:val="single" w:sz="4" w:space="0" w:color="auto"/>
            </w:tcBorders>
          </w:tcPr>
          <w:p w14:paraId="622F35A8"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 </w:t>
            </w:r>
          </w:p>
        </w:tc>
        <w:tc>
          <w:tcPr>
            <w:tcW w:w="2051" w:type="dxa"/>
            <w:vMerge/>
            <w:tcBorders>
              <w:left w:val="nil"/>
              <w:bottom w:val="single" w:sz="4" w:space="0" w:color="auto"/>
              <w:right w:val="single" w:sz="4" w:space="0" w:color="auto"/>
            </w:tcBorders>
            <w:noWrap/>
            <w:vAlign w:val="bottom"/>
          </w:tcPr>
          <w:p w14:paraId="482A49D1" w14:textId="77777777" w:rsidR="00BD372F" w:rsidRPr="00BD372F" w:rsidRDefault="00BD372F" w:rsidP="00BD372F">
            <w:pPr>
              <w:spacing w:after="0" w:line="240" w:lineRule="auto"/>
              <w:rPr>
                <w:rFonts w:ascii="Times New Roman" w:hAnsi="Times New Roman"/>
                <w:sz w:val="24"/>
                <w:szCs w:val="24"/>
                <w:lang w:eastAsia="sk-SK"/>
              </w:rPr>
            </w:pPr>
          </w:p>
        </w:tc>
      </w:tr>
      <w:tr w:rsidR="00BD372F" w:rsidRPr="00BD372F" w14:paraId="743C7669" w14:textId="77777777" w:rsidTr="00BD372F">
        <w:trPr>
          <w:trHeight w:val="255"/>
        </w:trPr>
        <w:tc>
          <w:tcPr>
            <w:tcW w:w="6833" w:type="dxa"/>
            <w:tcBorders>
              <w:top w:val="single" w:sz="4" w:space="0" w:color="auto"/>
              <w:left w:val="single" w:sz="4" w:space="0" w:color="auto"/>
              <w:bottom w:val="single" w:sz="4" w:space="0" w:color="auto"/>
              <w:right w:val="single" w:sz="4" w:space="0" w:color="auto"/>
            </w:tcBorders>
            <w:shd w:val="clear" w:color="auto" w:fill="BFBFBF"/>
          </w:tcPr>
          <w:p w14:paraId="639E5F1E" w14:textId="77777777" w:rsidR="00BD372F" w:rsidRPr="00BD372F" w:rsidRDefault="00BD372F" w:rsidP="00BD372F">
            <w:pPr>
              <w:spacing w:after="0" w:line="240" w:lineRule="auto"/>
              <w:rPr>
                <w:rFonts w:ascii="Times New Roman" w:hAnsi="Times New Roman"/>
                <w:b/>
                <w:bCs/>
                <w:sz w:val="20"/>
                <w:szCs w:val="20"/>
                <w:lang w:eastAsia="sk-SK"/>
              </w:rPr>
            </w:pPr>
            <w:r w:rsidRPr="00BD372F">
              <w:rPr>
                <w:rFonts w:ascii="Times New Roman" w:hAnsi="Times New Roman"/>
                <w:b/>
                <w:bCs/>
                <w:sz w:val="20"/>
                <w:szCs w:val="20"/>
                <w:lang w:eastAsia="sk-SK"/>
              </w:rPr>
              <w:t>Vplyv na výdavky verejnej správy celkom</w:t>
            </w:r>
          </w:p>
        </w:tc>
        <w:tc>
          <w:tcPr>
            <w:tcW w:w="1393" w:type="dxa"/>
            <w:tcBorders>
              <w:top w:val="single" w:sz="4" w:space="0" w:color="auto"/>
              <w:left w:val="nil"/>
              <w:bottom w:val="single" w:sz="4" w:space="0" w:color="auto"/>
              <w:right w:val="single" w:sz="4" w:space="0" w:color="auto"/>
            </w:tcBorders>
            <w:shd w:val="clear" w:color="auto" w:fill="BFBFBF"/>
          </w:tcPr>
          <w:p w14:paraId="4DB4003A"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0</w:t>
            </w:r>
          </w:p>
        </w:tc>
        <w:tc>
          <w:tcPr>
            <w:tcW w:w="1604" w:type="dxa"/>
            <w:tcBorders>
              <w:top w:val="single" w:sz="4" w:space="0" w:color="auto"/>
              <w:left w:val="nil"/>
              <w:bottom w:val="single" w:sz="4" w:space="0" w:color="auto"/>
              <w:right w:val="single" w:sz="4" w:space="0" w:color="auto"/>
            </w:tcBorders>
            <w:shd w:val="clear" w:color="auto" w:fill="BFBFBF"/>
          </w:tcPr>
          <w:p w14:paraId="0D79945B"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92 520</w:t>
            </w:r>
          </w:p>
        </w:tc>
        <w:tc>
          <w:tcPr>
            <w:tcW w:w="1499" w:type="dxa"/>
            <w:tcBorders>
              <w:top w:val="single" w:sz="4" w:space="0" w:color="auto"/>
              <w:left w:val="nil"/>
              <w:bottom w:val="single" w:sz="4" w:space="0" w:color="auto"/>
              <w:right w:val="single" w:sz="4" w:space="0" w:color="auto"/>
            </w:tcBorders>
            <w:shd w:val="clear" w:color="auto" w:fill="BFBFBF"/>
          </w:tcPr>
          <w:p w14:paraId="0C3D0E06"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89 520</w:t>
            </w:r>
          </w:p>
        </w:tc>
        <w:tc>
          <w:tcPr>
            <w:tcW w:w="1499" w:type="dxa"/>
            <w:tcBorders>
              <w:top w:val="single" w:sz="4" w:space="0" w:color="auto"/>
              <w:left w:val="nil"/>
              <w:bottom w:val="single" w:sz="4" w:space="0" w:color="auto"/>
              <w:right w:val="single" w:sz="4" w:space="0" w:color="auto"/>
            </w:tcBorders>
            <w:shd w:val="clear" w:color="auto" w:fill="BFBFBF"/>
          </w:tcPr>
          <w:p w14:paraId="1D4FC10B"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89 520</w:t>
            </w:r>
          </w:p>
        </w:tc>
        <w:tc>
          <w:tcPr>
            <w:tcW w:w="2051" w:type="dxa"/>
            <w:tcBorders>
              <w:top w:val="single" w:sz="4" w:space="0" w:color="auto"/>
              <w:left w:val="nil"/>
              <w:bottom w:val="single" w:sz="4" w:space="0" w:color="auto"/>
              <w:right w:val="single" w:sz="4" w:space="0" w:color="auto"/>
            </w:tcBorders>
            <w:shd w:val="clear" w:color="auto" w:fill="BFBFBF"/>
            <w:noWrap/>
            <w:vAlign w:val="bottom"/>
          </w:tcPr>
          <w:p w14:paraId="17AD73B4" w14:textId="77777777"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sz w:val="24"/>
                <w:szCs w:val="24"/>
                <w:lang w:eastAsia="sk-SK"/>
              </w:rPr>
              <w:t> </w:t>
            </w:r>
          </w:p>
        </w:tc>
      </w:tr>
    </w:tbl>
    <w:p w14:paraId="4E9798EC" w14:textId="7120609B" w:rsidR="00BD372F" w:rsidRPr="00BD372F" w:rsidRDefault="00BD372F" w:rsidP="00EA3F40">
      <w:pPr>
        <w:spacing w:after="0" w:line="240" w:lineRule="auto"/>
        <w:ind w:left="-709"/>
        <w:jc w:val="both"/>
        <w:rPr>
          <w:rFonts w:ascii="Times New Roman" w:hAnsi="Times New Roman"/>
          <w:bCs/>
          <w:sz w:val="20"/>
          <w:szCs w:val="20"/>
          <w:lang w:eastAsia="sk-SK"/>
        </w:rPr>
      </w:pPr>
      <w:r w:rsidRPr="00BD372F">
        <w:rPr>
          <w:rFonts w:ascii="Times New Roman" w:hAnsi="Times New Roman"/>
          <w:bCs/>
          <w:sz w:val="20"/>
          <w:szCs w:val="20"/>
          <w:lang w:eastAsia="sk-SK"/>
        </w:rPr>
        <w:t>2 –  výdavky rozpísať až do položiek platnej ekonomickej klasifikácie</w:t>
      </w:r>
    </w:p>
    <w:p w14:paraId="28D27C76" w14:textId="77777777" w:rsidR="00BD372F" w:rsidRPr="00BD372F" w:rsidRDefault="00BD372F" w:rsidP="00EA3F40">
      <w:pPr>
        <w:spacing w:after="0" w:line="240" w:lineRule="auto"/>
        <w:ind w:left="-709"/>
        <w:jc w:val="both"/>
        <w:rPr>
          <w:rFonts w:ascii="Times New Roman" w:hAnsi="Times New Roman"/>
          <w:bCs/>
          <w:sz w:val="24"/>
          <w:szCs w:val="20"/>
          <w:lang w:eastAsia="sk-SK"/>
        </w:rPr>
      </w:pPr>
    </w:p>
    <w:p w14:paraId="2DFD95D5" w14:textId="2ED2608D" w:rsidR="00BD372F" w:rsidRPr="00BD372F" w:rsidRDefault="00BD372F" w:rsidP="00EA3F40">
      <w:pPr>
        <w:spacing w:after="0" w:line="240" w:lineRule="auto"/>
        <w:ind w:left="-709"/>
        <w:jc w:val="both"/>
        <w:rPr>
          <w:rFonts w:ascii="Times New Roman" w:hAnsi="Times New Roman"/>
          <w:b/>
          <w:bCs/>
          <w:sz w:val="20"/>
          <w:szCs w:val="20"/>
          <w:lang w:eastAsia="sk-SK"/>
        </w:rPr>
      </w:pPr>
      <w:r w:rsidRPr="00BD372F">
        <w:rPr>
          <w:rFonts w:ascii="Times New Roman" w:hAnsi="Times New Roman"/>
          <w:b/>
          <w:bCs/>
          <w:sz w:val="24"/>
          <w:szCs w:val="20"/>
          <w:lang w:eastAsia="sk-SK"/>
        </w:rPr>
        <w:t>Poznámka:</w:t>
      </w:r>
    </w:p>
    <w:p w14:paraId="7469D37C" w14:textId="33BA1461" w:rsidR="00BD372F" w:rsidRPr="00BD372F" w:rsidRDefault="00BD372F" w:rsidP="00EA3F40">
      <w:pPr>
        <w:spacing w:after="0" w:line="240" w:lineRule="auto"/>
        <w:ind w:left="-709"/>
        <w:jc w:val="both"/>
        <w:rPr>
          <w:rFonts w:ascii="Times New Roman" w:hAnsi="Times New Roman"/>
          <w:bCs/>
          <w:sz w:val="20"/>
          <w:szCs w:val="20"/>
          <w:lang w:eastAsia="sk-SK"/>
        </w:rPr>
      </w:pPr>
      <w:r w:rsidRPr="00BD372F">
        <w:rPr>
          <w:rFonts w:ascii="Times New Roman" w:hAnsi="Times New Roman"/>
          <w:bCs/>
          <w:sz w:val="24"/>
          <w:szCs w:val="20"/>
          <w:lang w:eastAsia="sk-SK"/>
        </w:rPr>
        <w:t>Ak sa vplyv týka viacerých subjektov verejnej správy, vypĺňa sa samostatná tabuľka za každý subjekt.</w:t>
      </w:r>
    </w:p>
    <w:p w14:paraId="1AE3245A" w14:textId="77777777" w:rsidR="00BD372F" w:rsidRPr="00BD372F" w:rsidRDefault="00BD372F" w:rsidP="00BD372F">
      <w:pPr>
        <w:spacing w:after="0" w:line="240" w:lineRule="auto"/>
        <w:jc w:val="both"/>
        <w:rPr>
          <w:rFonts w:ascii="Times New Roman" w:hAnsi="Times New Roman"/>
          <w:bCs/>
          <w:sz w:val="20"/>
          <w:szCs w:val="20"/>
          <w:lang w:eastAsia="sk-SK"/>
        </w:rPr>
      </w:pPr>
    </w:p>
    <w:p w14:paraId="16F63E2E" w14:textId="77777777" w:rsidR="00BD372F" w:rsidRPr="00BD372F" w:rsidRDefault="00BD372F" w:rsidP="00BD372F">
      <w:pPr>
        <w:spacing w:after="0" w:line="240" w:lineRule="auto"/>
        <w:jc w:val="both"/>
        <w:rPr>
          <w:rFonts w:ascii="Times New Roman" w:hAnsi="Times New Roman"/>
          <w:bCs/>
          <w:sz w:val="20"/>
          <w:szCs w:val="20"/>
          <w:lang w:eastAsia="sk-SK"/>
        </w:rPr>
      </w:pPr>
    </w:p>
    <w:p w14:paraId="7FBC2800" w14:textId="77777777" w:rsidR="00BD372F" w:rsidRPr="00BD372F" w:rsidRDefault="00BD372F" w:rsidP="00BD372F">
      <w:pPr>
        <w:spacing w:after="0" w:line="240" w:lineRule="auto"/>
        <w:jc w:val="both"/>
        <w:rPr>
          <w:rFonts w:ascii="Times New Roman" w:hAnsi="Times New Roman"/>
          <w:bCs/>
          <w:sz w:val="20"/>
          <w:szCs w:val="20"/>
          <w:lang w:eastAsia="sk-SK"/>
        </w:rPr>
      </w:pPr>
    </w:p>
    <w:p w14:paraId="7057782A" w14:textId="77777777" w:rsidR="00BD372F" w:rsidRPr="00BD372F" w:rsidRDefault="00BD372F" w:rsidP="00BD372F">
      <w:pPr>
        <w:spacing w:after="0" w:line="240" w:lineRule="auto"/>
        <w:jc w:val="both"/>
        <w:rPr>
          <w:rFonts w:ascii="Times New Roman" w:hAnsi="Times New Roman"/>
          <w:bCs/>
          <w:sz w:val="20"/>
          <w:szCs w:val="20"/>
          <w:lang w:eastAsia="sk-SK"/>
        </w:rPr>
      </w:pPr>
    </w:p>
    <w:p w14:paraId="66A9E050" w14:textId="77777777" w:rsidR="00BD372F" w:rsidRPr="00BD372F" w:rsidRDefault="00BD372F" w:rsidP="00BD372F">
      <w:pPr>
        <w:spacing w:after="0" w:line="240" w:lineRule="auto"/>
        <w:jc w:val="both"/>
        <w:rPr>
          <w:rFonts w:ascii="Times New Roman" w:hAnsi="Times New Roman"/>
          <w:bCs/>
          <w:sz w:val="20"/>
          <w:szCs w:val="20"/>
          <w:lang w:eastAsia="sk-SK"/>
        </w:rPr>
      </w:pPr>
    </w:p>
    <w:p w14:paraId="1E0F3D0C" w14:textId="77777777" w:rsidR="00BD372F" w:rsidRPr="00BD372F" w:rsidRDefault="00BD372F" w:rsidP="00BD372F">
      <w:pPr>
        <w:spacing w:after="0" w:line="240" w:lineRule="auto"/>
        <w:jc w:val="both"/>
        <w:rPr>
          <w:rFonts w:ascii="Times New Roman" w:hAnsi="Times New Roman"/>
          <w:bCs/>
          <w:sz w:val="20"/>
          <w:szCs w:val="20"/>
          <w:lang w:eastAsia="sk-SK"/>
        </w:rPr>
      </w:pPr>
    </w:p>
    <w:p w14:paraId="49A5C2FC" w14:textId="77777777" w:rsidR="00BD372F" w:rsidRPr="00BD372F" w:rsidRDefault="00BD372F" w:rsidP="00BD372F">
      <w:pPr>
        <w:spacing w:after="0" w:line="240" w:lineRule="auto"/>
        <w:jc w:val="both"/>
        <w:rPr>
          <w:rFonts w:ascii="Times New Roman" w:hAnsi="Times New Roman"/>
          <w:bCs/>
          <w:sz w:val="20"/>
          <w:szCs w:val="20"/>
          <w:lang w:eastAsia="sk-SK"/>
        </w:rPr>
      </w:pPr>
    </w:p>
    <w:p w14:paraId="77361E47" w14:textId="77777777" w:rsidR="00BD372F" w:rsidRPr="00BD372F" w:rsidRDefault="00BD372F" w:rsidP="00BD372F">
      <w:pPr>
        <w:spacing w:after="0" w:line="240" w:lineRule="auto"/>
        <w:jc w:val="both"/>
        <w:rPr>
          <w:rFonts w:ascii="Times New Roman" w:hAnsi="Times New Roman"/>
          <w:bCs/>
          <w:sz w:val="20"/>
          <w:szCs w:val="20"/>
          <w:lang w:eastAsia="sk-SK"/>
        </w:rPr>
      </w:pPr>
    </w:p>
    <w:p w14:paraId="723476BC" w14:textId="77777777" w:rsidR="00BD372F" w:rsidRPr="00BD372F" w:rsidRDefault="00BD372F" w:rsidP="00BD372F">
      <w:pPr>
        <w:spacing w:after="0" w:line="240" w:lineRule="auto"/>
        <w:jc w:val="both"/>
        <w:rPr>
          <w:rFonts w:ascii="Times New Roman" w:hAnsi="Times New Roman"/>
          <w:bCs/>
          <w:sz w:val="20"/>
          <w:szCs w:val="20"/>
          <w:lang w:eastAsia="sk-SK"/>
        </w:rPr>
      </w:pPr>
    </w:p>
    <w:p w14:paraId="61BC0EB2" w14:textId="77777777" w:rsidR="00BD372F" w:rsidRPr="00BD372F" w:rsidRDefault="00BD372F" w:rsidP="00BD372F">
      <w:pPr>
        <w:spacing w:after="0" w:line="240" w:lineRule="auto"/>
        <w:jc w:val="both"/>
        <w:rPr>
          <w:rFonts w:ascii="Times New Roman" w:hAnsi="Times New Roman"/>
          <w:bCs/>
          <w:sz w:val="20"/>
          <w:szCs w:val="20"/>
          <w:lang w:eastAsia="sk-SK"/>
        </w:rPr>
      </w:pPr>
    </w:p>
    <w:p w14:paraId="75856558" w14:textId="77777777" w:rsidR="00BD372F" w:rsidRPr="00BD372F" w:rsidRDefault="00BD372F" w:rsidP="00BD372F">
      <w:pPr>
        <w:spacing w:after="0" w:line="240" w:lineRule="auto"/>
        <w:jc w:val="both"/>
        <w:rPr>
          <w:rFonts w:ascii="Times New Roman" w:hAnsi="Times New Roman"/>
          <w:bCs/>
          <w:sz w:val="20"/>
          <w:szCs w:val="20"/>
          <w:lang w:eastAsia="sk-SK"/>
        </w:rPr>
      </w:pPr>
      <w:r w:rsidRPr="00BD372F">
        <w:rPr>
          <w:rFonts w:ascii="Times New Roman" w:hAnsi="Times New Roman"/>
          <w:bCs/>
          <w:sz w:val="20"/>
          <w:szCs w:val="20"/>
          <w:lang w:eastAsia="sk-SK"/>
        </w:rPr>
        <w:t xml:space="preserve">                                                                                                                                                                                                                                                            Tabuľka č. 4/A</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6833"/>
        <w:gridCol w:w="1393"/>
        <w:gridCol w:w="1604"/>
        <w:gridCol w:w="1499"/>
        <w:gridCol w:w="1499"/>
        <w:gridCol w:w="2051"/>
      </w:tblGrid>
      <w:tr w:rsidR="00BD372F" w:rsidRPr="00BD372F" w14:paraId="54111044" w14:textId="77777777" w:rsidTr="00BD372F">
        <w:trPr>
          <w:cantSplit/>
          <w:trHeight w:val="255"/>
        </w:trPr>
        <w:tc>
          <w:tcPr>
            <w:tcW w:w="6833"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14:paraId="198DCE11"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Výdavky (v eurách)</w:t>
            </w:r>
          </w:p>
          <w:p w14:paraId="702727A2"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Finančné riaditeľstvo SR</w:t>
            </w:r>
          </w:p>
        </w:tc>
        <w:tc>
          <w:tcPr>
            <w:tcW w:w="5995" w:type="dxa"/>
            <w:gridSpan w:val="4"/>
            <w:tcBorders>
              <w:top w:val="single" w:sz="4" w:space="0" w:color="auto"/>
              <w:left w:val="nil"/>
              <w:bottom w:val="single" w:sz="4" w:space="0" w:color="auto"/>
              <w:right w:val="single" w:sz="4" w:space="0" w:color="auto"/>
            </w:tcBorders>
            <w:shd w:val="clear" w:color="auto" w:fill="BFBFBF"/>
          </w:tcPr>
          <w:p w14:paraId="29285A4E"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Vplyv na rozpočet verejnej správy</w:t>
            </w:r>
          </w:p>
        </w:tc>
        <w:tc>
          <w:tcPr>
            <w:tcW w:w="2051"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0C1D1DE8"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poznámka</w:t>
            </w:r>
          </w:p>
        </w:tc>
      </w:tr>
      <w:tr w:rsidR="00BD372F" w:rsidRPr="00BD372F" w14:paraId="233DEE68" w14:textId="77777777" w:rsidTr="00BD372F">
        <w:trPr>
          <w:cantSplit/>
          <w:trHeight w:val="255"/>
        </w:trPr>
        <w:tc>
          <w:tcPr>
            <w:tcW w:w="6833" w:type="dxa"/>
            <w:vMerge/>
            <w:tcBorders>
              <w:top w:val="single" w:sz="4" w:space="0" w:color="auto"/>
              <w:left w:val="single" w:sz="4" w:space="0" w:color="auto"/>
              <w:bottom w:val="single" w:sz="4" w:space="0" w:color="000000"/>
              <w:right w:val="single" w:sz="4" w:space="0" w:color="auto"/>
            </w:tcBorders>
            <w:vAlign w:val="center"/>
          </w:tcPr>
          <w:p w14:paraId="2DA9E961" w14:textId="77777777" w:rsidR="00BD372F" w:rsidRPr="00BD372F" w:rsidRDefault="00BD372F" w:rsidP="00BD372F">
            <w:pPr>
              <w:spacing w:after="0" w:line="240" w:lineRule="auto"/>
              <w:rPr>
                <w:rFonts w:ascii="Times New Roman" w:hAnsi="Times New Roman"/>
                <w:b/>
                <w:bCs/>
                <w:color w:val="FFFFFF"/>
                <w:sz w:val="20"/>
                <w:szCs w:val="20"/>
                <w:lang w:eastAsia="sk-SK"/>
              </w:rPr>
            </w:pPr>
          </w:p>
        </w:tc>
        <w:tc>
          <w:tcPr>
            <w:tcW w:w="1393" w:type="dxa"/>
            <w:tcBorders>
              <w:top w:val="nil"/>
              <w:left w:val="nil"/>
              <w:bottom w:val="single" w:sz="4" w:space="0" w:color="auto"/>
              <w:right w:val="single" w:sz="4" w:space="0" w:color="auto"/>
            </w:tcBorders>
            <w:shd w:val="clear" w:color="auto" w:fill="BFBFBF"/>
          </w:tcPr>
          <w:p w14:paraId="6A6AFE8F"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2025</w:t>
            </w:r>
          </w:p>
        </w:tc>
        <w:tc>
          <w:tcPr>
            <w:tcW w:w="1604" w:type="dxa"/>
            <w:tcBorders>
              <w:top w:val="nil"/>
              <w:left w:val="nil"/>
              <w:bottom w:val="single" w:sz="4" w:space="0" w:color="auto"/>
              <w:right w:val="single" w:sz="4" w:space="0" w:color="auto"/>
            </w:tcBorders>
            <w:shd w:val="clear" w:color="auto" w:fill="BFBFBF"/>
          </w:tcPr>
          <w:p w14:paraId="25B4A95D"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2026</w:t>
            </w:r>
          </w:p>
        </w:tc>
        <w:tc>
          <w:tcPr>
            <w:tcW w:w="1499" w:type="dxa"/>
            <w:tcBorders>
              <w:top w:val="nil"/>
              <w:left w:val="nil"/>
              <w:bottom w:val="single" w:sz="4" w:space="0" w:color="auto"/>
              <w:right w:val="single" w:sz="4" w:space="0" w:color="auto"/>
            </w:tcBorders>
            <w:shd w:val="clear" w:color="auto" w:fill="BFBFBF"/>
          </w:tcPr>
          <w:p w14:paraId="1ED22077"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2027</w:t>
            </w:r>
          </w:p>
        </w:tc>
        <w:tc>
          <w:tcPr>
            <w:tcW w:w="1499" w:type="dxa"/>
            <w:tcBorders>
              <w:top w:val="nil"/>
              <w:left w:val="nil"/>
              <w:bottom w:val="single" w:sz="4" w:space="0" w:color="auto"/>
              <w:right w:val="single" w:sz="4" w:space="0" w:color="auto"/>
            </w:tcBorders>
            <w:shd w:val="clear" w:color="auto" w:fill="BFBFBF"/>
          </w:tcPr>
          <w:p w14:paraId="7E343A3C"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0"/>
                <w:szCs w:val="20"/>
                <w:lang w:eastAsia="sk-SK"/>
              </w:rPr>
              <w:t>2028</w:t>
            </w:r>
          </w:p>
        </w:tc>
        <w:tc>
          <w:tcPr>
            <w:tcW w:w="2051" w:type="dxa"/>
            <w:vMerge/>
            <w:tcBorders>
              <w:top w:val="single" w:sz="4" w:space="0" w:color="auto"/>
              <w:left w:val="single" w:sz="4" w:space="0" w:color="auto"/>
              <w:bottom w:val="single" w:sz="4" w:space="0" w:color="auto"/>
              <w:right w:val="single" w:sz="4" w:space="0" w:color="auto"/>
            </w:tcBorders>
            <w:vAlign w:val="center"/>
          </w:tcPr>
          <w:p w14:paraId="34AB1B2A" w14:textId="77777777" w:rsidR="00BD372F" w:rsidRPr="00BD372F" w:rsidRDefault="00BD372F" w:rsidP="00BD372F">
            <w:pPr>
              <w:spacing w:after="0" w:line="240" w:lineRule="auto"/>
              <w:rPr>
                <w:rFonts w:ascii="Times New Roman" w:hAnsi="Times New Roman"/>
                <w:b/>
                <w:bCs/>
                <w:color w:val="FFFFFF"/>
                <w:sz w:val="24"/>
                <w:szCs w:val="24"/>
                <w:lang w:eastAsia="sk-SK"/>
              </w:rPr>
            </w:pPr>
          </w:p>
        </w:tc>
      </w:tr>
      <w:tr w:rsidR="00BD372F" w:rsidRPr="00BD372F" w14:paraId="2131944E" w14:textId="77777777" w:rsidTr="00154BAB">
        <w:trPr>
          <w:trHeight w:val="255"/>
        </w:trPr>
        <w:tc>
          <w:tcPr>
            <w:tcW w:w="6833" w:type="dxa"/>
            <w:tcBorders>
              <w:top w:val="nil"/>
              <w:left w:val="single" w:sz="4" w:space="0" w:color="auto"/>
              <w:bottom w:val="single" w:sz="4" w:space="0" w:color="auto"/>
              <w:right w:val="single" w:sz="4" w:space="0" w:color="auto"/>
            </w:tcBorders>
          </w:tcPr>
          <w:p w14:paraId="19EFBE96" w14:textId="77777777" w:rsidR="00BD372F" w:rsidRPr="00BD372F" w:rsidRDefault="00BD372F" w:rsidP="00BD372F">
            <w:pPr>
              <w:spacing w:after="0" w:line="240" w:lineRule="auto"/>
              <w:rPr>
                <w:rFonts w:ascii="Times New Roman" w:hAnsi="Times New Roman"/>
                <w:b/>
                <w:bCs/>
                <w:sz w:val="20"/>
                <w:szCs w:val="20"/>
                <w:lang w:eastAsia="sk-SK"/>
              </w:rPr>
            </w:pPr>
            <w:r w:rsidRPr="00BD372F">
              <w:rPr>
                <w:rFonts w:ascii="Times New Roman" w:hAnsi="Times New Roman"/>
                <w:b/>
                <w:bCs/>
                <w:sz w:val="20"/>
                <w:szCs w:val="20"/>
                <w:lang w:eastAsia="sk-SK"/>
              </w:rPr>
              <w:t>Bežné výdavky (600)</w:t>
            </w:r>
          </w:p>
        </w:tc>
        <w:tc>
          <w:tcPr>
            <w:tcW w:w="1393" w:type="dxa"/>
            <w:tcBorders>
              <w:top w:val="nil"/>
              <w:left w:val="nil"/>
              <w:bottom w:val="single" w:sz="4" w:space="0" w:color="auto"/>
              <w:right w:val="single" w:sz="4" w:space="0" w:color="auto"/>
            </w:tcBorders>
          </w:tcPr>
          <w:p w14:paraId="1D6F39D1"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0</w:t>
            </w:r>
          </w:p>
        </w:tc>
        <w:tc>
          <w:tcPr>
            <w:tcW w:w="1604" w:type="dxa"/>
            <w:tcBorders>
              <w:top w:val="nil"/>
              <w:left w:val="nil"/>
              <w:bottom w:val="single" w:sz="4" w:space="0" w:color="auto"/>
              <w:right w:val="single" w:sz="4" w:space="0" w:color="auto"/>
            </w:tcBorders>
          </w:tcPr>
          <w:p w14:paraId="4F09B8AD"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-92 520</w:t>
            </w:r>
          </w:p>
        </w:tc>
        <w:tc>
          <w:tcPr>
            <w:tcW w:w="1499" w:type="dxa"/>
            <w:tcBorders>
              <w:top w:val="nil"/>
              <w:left w:val="nil"/>
              <w:bottom w:val="single" w:sz="4" w:space="0" w:color="auto"/>
              <w:right w:val="single" w:sz="4" w:space="0" w:color="auto"/>
            </w:tcBorders>
          </w:tcPr>
          <w:p w14:paraId="42FEB610"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-89 520</w:t>
            </w:r>
          </w:p>
        </w:tc>
        <w:tc>
          <w:tcPr>
            <w:tcW w:w="1499" w:type="dxa"/>
            <w:tcBorders>
              <w:top w:val="nil"/>
              <w:left w:val="nil"/>
              <w:bottom w:val="single" w:sz="4" w:space="0" w:color="auto"/>
              <w:right w:val="single" w:sz="4" w:space="0" w:color="auto"/>
            </w:tcBorders>
          </w:tcPr>
          <w:p w14:paraId="409B6F43"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-89 520</w:t>
            </w:r>
          </w:p>
        </w:tc>
        <w:tc>
          <w:tcPr>
            <w:tcW w:w="2051" w:type="dxa"/>
            <w:vMerge w:val="restart"/>
            <w:tcBorders>
              <w:top w:val="nil"/>
              <w:left w:val="nil"/>
              <w:right w:val="single" w:sz="4" w:space="0" w:color="auto"/>
            </w:tcBorders>
            <w:noWrap/>
          </w:tcPr>
          <w:p w14:paraId="260822F3" w14:textId="77777777" w:rsidR="00BD372F" w:rsidRPr="00BD372F" w:rsidRDefault="00BD372F" w:rsidP="00BD372F">
            <w:pPr>
              <w:spacing w:after="0" w:line="240" w:lineRule="auto"/>
              <w:rPr>
                <w:rFonts w:ascii="Times New Roman" w:hAnsi="Times New Roman"/>
                <w:sz w:val="20"/>
                <w:szCs w:val="20"/>
                <w:lang w:eastAsia="sk-SK"/>
              </w:rPr>
            </w:pPr>
            <w:r w:rsidRPr="00BD372F">
              <w:rPr>
                <w:rFonts w:ascii="Times New Roman" w:eastAsia="Calibri" w:hAnsi="Times New Roman"/>
                <w:sz w:val="20"/>
                <w:szCs w:val="20"/>
              </w:rPr>
              <w:t xml:space="preserve">Ide </w:t>
            </w:r>
            <w:r w:rsidRPr="00BD372F">
              <w:rPr>
                <w:rFonts w:ascii="Times New Roman" w:hAnsi="Times New Roman"/>
                <w:sz w:val="20"/>
                <w:szCs w:val="20"/>
                <w:lang w:eastAsia="sk-SK"/>
              </w:rPr>
              <w:t>o zníženie bežných výdavkových titulov, ktoré priamo súvisia s dvoma štátnozamestnaneckými miestami.</w:t>
            </w:r>
          </w:p>
        </w:tc>
      </w:tr>
      <w:tr w:rsidR="00BD372F" w:rsidRPr="00BD372F" w14:paraId="56CACACF" w14:textId="77777777" w:rsidTr="00154BAB">
        <w:trPr>
          <w:trHeight w:val="255"/>
        </w:trPr>
        <w:tc>
          <w:tcPr>
            <w:tcW w:w="6833" w:type="dxa"/>
            <w:tcBorders>
              <w:top w:val="nil"/>
              <w:left w:val="single" w:sz="4" w:space="0" w:color="auto"/>
              <w:bottom w:val="single" w:sz="4" w:space="0" w:color="auto"/>
              <w:right w:val="single" w:sz="4" w:space="0" w:color="auto"/>
            </w:tcBorders>
          </w:tcPr>
          <w:p w14:paraId="06132784" w14:textId="77777777" w:rsidR="00BD372F" w:rsidRPr="00BD372F" w:rsidRDefault="00BD372F" w:rsidP="00BD372F">
            <w:pPr>
              <w:spacing w:after="0" w:line="240" w:lineRule="auto"/>
              <w:rPr>
                <w:rFonts w:ascii="Times New Roman" w:hAnsi="Times New Roman"/>
                <w:sz w:val="20"/>
                <w:szCs w:val="20"/>
                <w:lang w:eastAsia="sk-SK"/>
              </w:rPr>
            </w:pPr>
            <w:r w:rsidRPr="00BD372F">
              <w:rPr>
                <w:rFonts w:ascii="Times New Roman" w:hAnsi="Times New Roman"/>
                <w:sz w:val="20"/>
                <w:szCs w:val="20"/>
                <w:lang w:eastAsia="sk-SK"/>
              </w:rPr>
              <w:t xml:space="preserve">  Mzdy, platy, služobné príjmy a ostatné osobné vyrovnania (610)</w:t>
            </w:r>
          </w:p>
        </w:tc>
        <w:tc>
          <w:tcPr>
            <w:tcW w:w="1393" w:type="dxa"/>
            <w:tcBorders>
              <w:top w:val="nil"/>
              <w:left w:val="nil"/>
              <w:bottom w:val="single" w:sz="4" w:space="0" w:color="auto"/>
              <w:right w:val="single" w:sz="4" w:space="0" w:color="auto"/>
            </w:tcBorders>
          </w:tcPr>
          <w:p w14:paraId="27DFA8C1"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Times New Roman" w:hAnsi="Times New Roman"/>
                <w:sz w:val="20"/>
                <w:szCs w:val="20"/>
                <w:lang w:eastAsia="sk-SK"/>
              </w:rPr>
              <w:t>0</w:t>
            </w:r>
          </w:p>
        </w:tc>
        <w:tc>
          <w:tcPr>
            <w:tcW w:w="1604" w:type="dxa"/>
            <w:tcBorders>
              <w:top w:val="nil"/>
              <w:left w:val="nil"/>
              <w:bottom w:val="single" w:sz="4" w:space="0" w:color="auto"/>
              <w:right w:val="single" w:sz="4" w:space="0" w:color="auto"/>
            </w:tcBorders>
          </w:tcPr>
          <w:p w14:paraId="4A59B7A0"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Times New Roman" w:hAnsi="Times New Roman"/>
                <w:sz w:val="20"/>
                <w:szCs w:val="20"/>
                <w:lang w:eastAsia="sk-SK"/>
              </w:rPr>
              <w:t>-58 968</w:t>
            </w:r>
          </w:p>
        </w:tc>
        <w:tc>
          <w:tcPr>
            <w:tcW w:w="1499" w:type="dxa"/>
            <w:tcBorders>
              <w:top w:val="nil"/>
              <w:left w:val="nil"/>
              <w:bottom w:val="single" w:sz="4" w:space="0" w:color="auto"/>
              <w:right w:val="single" w:sz="4" w:space="0" w:color="auto"/>
            </w:tcBorders>
          </w:tcPr>
          <w:p w14:paraId="6EE641D9"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Times New Roman" w:hAnsi="Times New Roman"/>
                <w:sz w:val="20"/>
                <w:szCs w:val="20"/>
                <w:lang w:eastAsia="sk-SK"/>
              </w:rPr>
              <w:t>-58 968</w:t>
            </w:r>
          </w:p>
        </w:tc>
        <w:tc>
          <w:tcPr>
            <w:tcW w:w="1499" w:type="dxa"/>
            <w:tcBorders>
              <w:top w:val="nil"/>
              <w:left w:val="nil"/>
              <w:bottom w:val="single" w:sz="4" w:space="0" w:color="auto"/>
              <w:right w:val="single" w:sz="4" w:space="0" w:color="auto"/>
            </w:tcBorders>
          </w:tcPr>
          <w:p w14:paraId="1279220A"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Times New Roman" w:hAnsi="Times New Roman"/>
                <w:sz w:val="20"/>
                <w:szCs w:val="20"/>
                <w:lang w:eastAsia="sk-SK"/>
              </w:rPr>
              <w:t>-58 968</w:t>
            </w:r>
          </w:p>
        </w:tc>
        <w:tc>
          <w:tcPr>
            <w:tcW w:w="2051" w:type="dxa"/>
            <w:vMerge/>
            <w:tcBorders>
              <w:left w:val="nil"/>
              <w:right w:val="single" w:sz="4" w:space="0" w:color="auto"/>
            </w:tcBorders>
            <w:noWrap/>
            <w:vAlign w:val="bottom"/>
          </w:tcPr>
          <w:p w14:paraId="4C1B8504" w14:textId="77777777" w:rsidR="00BD372F" w:rsidRPr="00BD372F" w:rsidRDefault="00BD372F" w:rsidP="00BD372F">
            <w:pPr>
              <w:spacing w:after="0" w:line="240" w:lineRule="auto"/>
              <w:rPr>
                <w:rFonts w:ascii="Times New Roman" w:hAnsi="Times New Roman"/>
                <w:sz w:val="24"/>
                <w:szCs w:val="24"/>
                <w:lang w:eastAsia="sk-SK"/>
              </w:rPr>
            </w:pPr>
          </w:p>
        </w:tc>
      </w:tr>
      <w:tr w:rsidR="00BD372F" w:rsidRPr="00BD372F" w14:paraId="35F930DE" w14:textId="77777777" w:rsidTr="00154BAB">
        <w:trPr>
          <w:trHeight w:val="255"/>
        </w:trPr>
        <w:tc>
          <w:tcPr>
            <w:tcW w:w="6833" w:type="dxa"/>
            <w:tcBorders>
              <w:top w:val="nil"/>
              <w:left w:val="single" w:sz="4" w:space="0" w:color="auto"/>
              <w:bottom w:val="single" w:sz="4" w:space="0" w:color="auto"/>
              <w:right w:val="single" w:sz="4" w:space="0" w:color="auto"/>
            </w:tcBorders>
          </w:tcPr>
          <w:p w14:paraId="3CD357AB" w14:textId="77777777" w:rsidR="00BD372F" w:rsidRPr="00BD372F" w:rsidRDefault="00BD372F" w:rsidP="00BD372F">
            <w:pPr>
              <w:spacing w:after="0" w:line="240" w:lineRule="auto"/>
              <w:rPr>
                <w:rFonts w:ascii="Times New Roman" w:hAnsi="Times New Roman"/>
                <w:sz w:val="20"/>
                <w:szCs w:val="20"/>
                <w:vertAlign w:val="superscript"/>
                <w:lang w:eastAsia="sk-SK"/>
              </w:rPr>
            </w:pPr>
            <w:r w:rsidRPr="00BD372F">
              <w:rPr>
                <w:rFonts w:ascii="Times New Roman" w:hAnsi="Times New Roman"/>
                <w:sz w:val="20"/>
                <w:szCs w:val="20"/>
                <w:lang w:eastAsia="sk-SK"/>
              </w:rPr>
              <w:t xml:space="preserve">  Poistné a príspevok do poisťovní (620)</w:t>
            </w:r>
          </w:p>
        </w:tc>
        <w:tc>
          <w:tcPr>
            <w:tcW w:w="1393" w:type="dxa"/>
            <w:tcBorders>
              <w:top w:val="nil"/>
              <w:left w:val="nil"/>
              <w:bottom w:val="single" w:sz="4" w:space="0" w:color="auto"/>
              <w:right w:val="single" w:sz="4" w:space="0" w:color="auto"/>
            </w:tcBorders>
          </w:tcPr>
          <w:p w14:paraId="12D70740"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Times New Roman" w:hAnsi="Times New Roman"/>
                <w:sz w:val="20"/>
                <w:szCs w:val="20"/>
                <w:lang w:eastAsia="sk-SK"/>
              </w:rPr>
              <w:t>0</w:t>
            </w:r>
          </w:p>
        </w:tc>
        <w:tc>
          <w:tcPr>
            <w:tcW w:w="1604" w:type="dxa"/>
            <w:tcBorders>
              <w:top w:val="nil"/>
              <w:left w:val="nil"/>
              <w:bottom w:val="single" w:sz="4" w:space="0" w:color="auto"/>
              <w:right w:val="single" w:sz="4" w:space="0" w:color="auto"/>
            </w:tcBorders>
          </w:tcPr>
          <w:p w14:paraId="5E3DEAB4"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Times New Roman" w:hAnsi="Times New Roman"/>
                <w:sz w:val="20"/>
                <w:szCs w:val="20"/>
                <w:lang w:eastAsia="sk-SK"/>
              </w:rPr>
              <w:t>-22 639</w:t>
            </w:r>
          </w:p>
        </w:tc>
        <w:tc>
          <w:tcPr>
            <w:tcW w:w="1499" w:type="dxa"/>
            <w:tcBorders>
              <w:top w:val="nil"/>
              <w:left w:val="nil"/>
              <w:bottom w:val="single" w:sz="4" w:space="0" w:color="auto"/>
              <w:right w:val="single" w:sz="4" w:space="0" w:color="auto"/>
            </w:tcBorders>
          </w:tcPr>
          <w:p w14:paraId="0861EE09"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Times New Roman" w:hAnsi="Times New Roman"/>
                <w:sz w:val="20"/>
                <w:szCs w:val="20"/>
                <w:lang w:eastAsia="sk-SK"/>
              </w:rPr>
              <w:t>-22 639</w:t>
            </w:r>
          </w:p>
        </w:tc>
        <w:tc>
          <w:tcPr>
            <w:tcW w:w="1499" w:type="dxa"/>
            <w:tcBorders>
              <w:top w:val="nil"/>
              <w:left w:val="nil"/>
              <w:bottom w:val="single" w:sz="4" w:space="0" w:color="auto"/>
              <w:right w:val="single" w:sz="4" w:space="0" w:color="auto"/>
            </w:tcBorders>
          </w:tcPr>
          <w:p w14:paraId="2FF57F4D"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Times New Roman" w:hAnsi="Times New Roman"/>
                <w:sz w:val="20"/>
                <w:szCs w:val="20"/>
                <w:lang w:eastAsia="sk-SK"/>
              </w:rPr>
              <w:t>-22 639</w:t>
            </w:r>
          </w:p>
        </w:tc>
        <w:tc>
          <w:tcPr>
            <w:tcW w:w="2051" w:type="dxa"/>
            <w:vMerge/>
            <w:tcBorders>
              <w:left w:val="nil"/>
              <w:right w:val="single" w:sz="4" w:space="0" w:color="auto"/>
            </w:tcBorders>
            <w:noWrap/>
            <w:vAlign w:val="bottom"/>
          </w:tcPr>
          <w:p w14:paraId="78217101" w14:textId="77777777" w:rsidR="00BD372F" w:rsidRPr="00BD372F" w:rsidRDefault="00BD372F" w:rsidP="00BD372F">
            <w:pPr>
              <w:spacing w:after="0" w:line="240" w:lineRule="auto"/>
              <w:rPr>
                <w:rFonts w:ascii="Times New Roman" w:hAnsi="Times New Roman"/>
                <w:sz w:val="24"/>
                <w:szCs w:val="24"/>
                <w:lang w:eastAsia="sk-SK"/>
              </w:rPr>
            </w:pPr>
          </w:p>
        </w:tc>
      </w:tr>
      <w:tr w:rsidR="00BD372F" w:rsidRPr="00BD372F" w14:paraId="1FF7E66E" w14:textId="77777777" w:rsidTr="00154BAB">
        <w:trPr>
          <w:trHeight w:val="255"/>
        </w:trPr>
        <w:tc>
          <w:tcPr>
            <w:tcW w:w="6833" w:type="dxa"/>
            <w:tcBorders>
              <w:top w:val="nil"/>
              <w:left w:val="single" w:sz="4" w:space="0" w:color="auto"/>
              <w:bottom w:val="single" w:sz="4" w:space="0" w:color="auto"/>
              <w:right w:val="single" w:sz="4" w:space="0" w:color="auto"/>
            </w:tcBorders>
          </w:tcPr>
          <w:p w14:paraId="33D49814" w14:textId="77777777" w:rsidR="00BD372F" w:rsidRPr="00BD372F" w:rsidRDefault="00BD372F" w:rsidP="00BD372F">
            <w:pPr>
              <w:spacing w:after="0" w:line="240" w:lineRule="auto"/>
              <w:rPr>
                <w:rFonts w:ascii="Times New Roman" w:hAnsi="Times New Roman"/>
                <w:sz w:val="20"/>
                <w:szCs w:val="20"/>
                <w:vertAlign w:val="superscript"/>
                <w:lang w:eastAsia="sk-SK"/>
              </w:rPr>
            </w:pPr>
            <w:r w:rsidRPr="00BD372F">
              <w:rPr>
                <w:rFonts w:ascii="Times New Roman" w:hAnsi="Times New Roman"/>
                <w:sz w:val="20"/>
                <w:szCs w:val="20"/>
                <w:lang w:eastAsia="sk-SK"/>
              </w:rPr>
              <w:t xml:space="preserve">  Tovary a služby (630)</w:t>
            </w:r>
            <w:r w:rsidRPr="00BD372F">
              <w:rPr>
                <w:rFonts w:ascii="Times New Roman" w:hAnsi="Times New Roman"/>
                <w:sz w:val="20"/>
                <w:szCs w:val="20"/>
                <w:vertAlign w:val="superscript"/>
                <w:lang w:eastAsia="sk-SK"/>
              </w:rPr>
              <w:t>2</w:t>
            </w:r>
          </w:p>
        </w:tc>
        <w:tc>
          <w:tcPr>
            <w:tcW w:w="1393" w:type="dxa"/>
            <w:tcBorders>
              <w:top w:val="nil"/>
              <w:left w:val="nil"/>
              <w:bottom w:val="single" w:sz="4" w:space="0" w:color="auto"/>
              <w:right w:val="single" w:sz="4" w:space="0" w:color="auto"/>
            </w:tcBorders>
          </w:tcPr>
          <w:p w14:paraId="7DDB1286"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Times New Roman" w:hAnsi="Times New Roman"/>
                <w:sz w:val="20"/>
                <w:szCs w:val="20"/>
                <w:lang w:eastAsia="sk-SK"/>
              </w:rPr>
              <w:t>0</w:t>
            </w:r>
          </w:p>
        </w:tc>
        <w:tc>
          <w:tcPr>
            <w:tcW w:w="1604" w:type="dxa"/>
            <w:tcBorders>
              <w:top w:val="nil"/>
              <w:left w:val="nil"/>
              <w:bottom w:val="single" w:sz="4" w:space="0" w:color="auto"/>
              <w:right w:val="single" w:sz="4" w:space="0" w:color="auto"/>
            </w:tcBorders>
          </w:tcPr>
          <w:p w14:paraId="5862A806"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Times New Roman" w:hAnsi="Times New Roman"/>
                <w:sz w:val="20"/>
                <w:szCs w:val="20"/>
                <w:lang w:eastAsia="sk-SK"/>
              </w:rPr>
              <w:t>-8 945</w:t>
            </w:r>
          </w:p>
        </w:tc>
        <w:tc>
          <w:tcPr>
            <w:tcW w:w="1499" w:type="dxa"/>
            <w:tcBorders>
              <w:top w:val="nil"/>
              <w:left w:val="nil"/>
              <w:bottom w:val="single" w:sz="4" w:space="0" w:color="auto"/>
              <w:right w:val="single" w:sz="4" w:space="0" w:color="auto"/>
            </w:tcBorders>
          </w:tcPr>
          <w:p w14:paraId="5BD4C612"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Times New Roman" w:hAnsi="Times New Roman"/>
                <w:sz w:val="20"/>
                <w:szCs w:val="20"/>
                <w:lang w:eastAsia="sk-SK"/>
              </w:rPr>
              <w:t>-5 945</w:t>
            </w:r>
          </w:p>
        </w:tc>
        <w:tc>
          <w:tcPr>
            <w:tcW w:w="1499" w:type="dxa"/>
            <w:tcBorders>
              <w:top w:val="nil"/>
              <w:left w:val="nil"/>
              <w:bottom w:val="single" w:sz="4" w:space="0" w:color="auto"/>
              <w:right w:val="single" w:sz="4" w:space="0" w:color="auto"/>
            </w:tcBorders>
          </w:tcPr>
          <w:p w14:paraId="0CBF7CDB"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Times New Roman" w:hAnsi="Times New Roman"/>
                <w:sz w:val="20"/>
                <w:szCs w:val="20"/>
                <w:lang w:eastAsia="sk-SK"/>
              </w:rPr>
              <w:t>-5 945</w:t>
            </w:r>
          </w:p>
        </w:tc>
        <w:tc>
          <w:tcPr>
            <w:tcW w:w="2051" w:type="dxa"/>
            <w:vMerge/>
            <w:tcBorders>
              <w:left w:val="nil"/>
              <w:right w:val="single" w:sz="4" w:space="0" w:color="auto"/>
            </w:tcBorders>
            <w:noWrap/>
            <w:vAlign w:val="bottom"/>
          </w:tcPr>
          <w:p w14:paraId="292588A5" w14:textId="77777777" w:rsidR="00BD372F" w:rsidRPr="00BD372F" w:rsidRDefault="00BD372F" w:rsidP="00BD372F">
            <w:pPr>
              <w:spacing w:after="0" w:line="240" w:lineRule="auto"/>
              <w:rPr>
                <w:rFonts w:ascii="Times New Roman" w:hAnsi="Times New Roman"/>
                <w:sz w:val="24"/>
                <w:szCs w:val="24"/>
                <w:lang w:eastAsia="sk-SK"/>
              </w:rPr>
            </w:pPr>
          </w:p>
        </w:tc>
      </w:tr>
      <w:tr w:rsidR="00BD372F" w:rsidRPr="00BD372F" w14:paraId="083E700E" w14:textId="77777777" w:rsidTr="00154BAB">
        <w:trPr>
          <w:trHeight w:val="255"/>
        </w:trPr>
        <w:tc>
          <w:tcPr>
            <w:tcW w:w="6833" w:type="dxa"/>
            <w:tcBorders>
              <w:top w:val="nil"/>
              <w:left w:val="single" w:sz="4" w:space="0" w:color="auto"/>
              <w:bottom w:val="single" w:sz="4" w:space="0" w:color="auto"/>
              <w:right w:val="single" w:sz="4" w:space="0" w:color="auto"/>
            </w:tcBorders>
          </w:tcPr>
          <w:p w14:paraId="044FBE31" w14:textId="77777777" w:rsidR="00BD372F" w:rsidRPr="00BD372F" w:rsidRDefault="00BD372F" w:rsidP="00BD372F">
            <w:pPr>
              <w:spacing w:after="0" w:line="240" w:lineRule="auto"/>
              <w:rPr>
                <w:rFonts w:ascii="Times New Roman" w:hAnsi="Times New Roman"/>
                <w:sz w:val="20"/>
                <w:szCs w:val="20"/>
                <w:lang w:eastAsia="sk-SK"/>
              </w:rPr>
            </w:pPr>
            <w:r w:rsidRPr="00BD372F">
              <w:rPr>
                <w:rFonts w:ascii="Times New Roman" w:hAnsi="Times New Roman"/>
                <w:sz w:val="20"/>
                <w:szCs w:val="20"/>
                <w:lang w:eastAsia="sk-SK"/>
              </w:rPr>
              <w:t xml:space="preserve">  Bežné transfery (640)</w:t>
            </w:r>
            <w:r w:rsidRPr="00BD372F">
              <w:rPr>
                <w:rFonts w:ascii="Times New Roman" w:hAnsi="Times New Roman"/>
                <w:sz w:val="20"/>
                <w:szCs w:val="20"/>
                <w:vertAlign w:val="superscript"/>
                <w:lang w:eastAsia="sk-SK"/>
              </w:rPr>
              <w:t>2</w:t>
            </w:r>
          </w:p>
        </w:tc>
        <w:tc>
          <w:tcPr>
            <w:tcW w:w="1393" w:type="dxa"/>
            <w:tcBorders>
              <w:top w:val="nil"/>
              <w:left w:val="nil"/>
              <w:bottom w:val="single" w:sz="4" w:space="0" w:color="auto"/>
              <w:right w:val="single" w:sz="4" w:space="0" w:color="auto"/>
            </w:tcBorders>
          </w:tcPr>
          <w:p w14:paraId="02400212"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Times New Roman" w:hAnsi="Times New Roman"/>
                <w:sz w:val="20"/>
                <w:szCs w:val="20"/>
                <w:lang w:eastAsia="sk-SK"/>
              </w:rPr>
              <w:t>0</w:t>
            </w:r>
          </w:p>
        </w:tc>
        <w:tc>
          <w:tcPr>
            <w:tcW w:w="1604" w:type="dxa"/>
            <w:tcBorders>
              <w:top w:val="nil"/>
              <w:left w:val="nil"/>
              <w:bottom w:val="single" w:sz="4" w:space="0" w:color="auto"/>
              <w:right w:val="single" w:sz="4" w:space="0" w:color="auto"/>
            </w:tcBorders>
          </w:tcPr>
          <w:p w14:paraId="6C9C1CB7"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Times New Roman" w:hAnsi="Times New Roman"/>
                <w:sz w:val="20"/>
                <w:szCs w:val="20"/>
                <w:lang w:eastAsia="sk-SK"/>
              </w:rPr>
              <w:t>-1 968</w:t>
            </w:r>
          </w:p>
        </w:tc>
        <w:tc>
          <w:tcPr>
            <w:tcW w:w="1499" w:type="dxa"/>
            <w:tcBorders>
              <w:top w:val="nil"/>
              <w:left w:val="nil"/>
              <w:bottom w:val="single" w:sz="4" w:space="0" w:color="auto"/>
              <w:right w:val="single" w:sz="4" w:space="0" w:color="auto"/>
            </w:tcBorders>
          </w:tcPr>
          <w:p w14:paraId="3C0690D1"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Times New Roman" w:hAnsi="Times New Roman"/>
                <w:sz w:val="20"/>
                <w:szCs w:val="20"/>
                <w:lang w:eastAsia="sk-SK"/>
              </w:rPr>
              <w:t>-1 968</w:t>
            </w:r>
          </w:p>
        </w:tc>
        <w:tc>
          <w:tcPr>
            <w:tcW w:w="1499" w:type="dxa"/>
            <w:tcBorders>
              <w:top w:val="nil"/>
              <w:left w:val="nil"/>
              <w:bottom w:val="single" w:sz="4" w:space="0" w:color="auto"/>
              <w:right w:val="single" w:sz="4" w:space="0" w:color="auto"/>
            </w:tcBorders>
          </w:tcPr>
          <w:p w14:paraId="62EE87E7"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Times New Roman" w:hAnsi="Times New Roman"/>
                <w:sz w:val="20"/>
                <w:szCs w:val="20"/>
                <w:lang w:eastAsia="sk-SK"/>
              </w:rPr>
              <w:t>-1 968</w:t>
            </w:r>
          </w:p>
        </w:tc>
        <w:tc>
          <w:tcPr>
            <w:tcW w:w="2051" w:type="dxa"/>
            <w:vMerge/>
            <w:tcBorders>
              <w:left w:val="nil"/>
              <w:right w:val="single" w:sz="4" w:space="0" w:color="auto"/>
            </w:tcBorders>
            <w:noWrap/>
            <w:vAlign w:val="bottom"/>
          </w:tcPr>
          <w:p w14:paraId="73E08AEC" w14:textId="77777777" w:rsidR="00BD372F" w:rsidRPr="00BD372F" w:rsidRDefault="00BD372F" w:rsidP="00BD372F">
            <w:pPr>
              <w:spacing w:after="0" w:line="240" w:lineRule="auto"/>
              <w:rPr>
                <w:rFonts w:ascii="Times New Roman" w:hAnsi="Times New Roman"/>
                <w:sz w:val="24"/>
                <w:szCs w:val="24"/>
                <w:lang w:eastAsia="sk-SK"/>
              </w:rPr>
            </w:pPr>
          </w:p>
        </w:tc>
      </w:tr>
      <w:tr w:rsidR="00BD372F" w:rsidRPr="00BD372F" w14:paraId="0AA8286D" w14:textId="77777777" w:rsidTr="00154BAB">
        <w:trPr>
          <w:trHeight w:val="255"/>
        </w:trPr>
        <w:tc>
          <w:tcPr>
            <w:tcW w:w="6833" w:type="dxa"/>
            <w:tcBorders>
              <w:top w:val="nil"/>
              <w:left w:val="single" w:sz="4" w:space="0" w:color="auto"/>
              <w:bottom w:val="single" w:sz="4" w:space="0" w:color="auto"/>
              <w:right w:val="single" w:sz="4" w:space="0" w:color="auto"/>
            </w:tcBorders>
            <w:vAlign w:val="center"/>
          </w:tcPr>
          <w:p w14:paraId="5E5D875A" w14:textId="77777777" w:rsidR="00BD372F" w:rsidRPr="00BD372F" w:rsidRDefault="00BD372F" w:rsidP="00BD372F">
            <w:pPr>
              <w:spacing w:after="0" w:line="240" w:lineRule="auto"/>
              <w:rPr>
                <w:rFonts w:ascii="Times New Roman" w:hAnsi="Times New Roman"/>
                <w:sz w:val="20"/>
                <w:szCs w:val="20"/>
                <w:lang w:eastAsia="sk-SK"/>
              </w:rPr>
            </w:pPr>
            <w:r w:rsidRPr="00BD372F">
              <w:rPr>
                <w:rFonts w:ascii="Times New Roman" w:hAnsi="Times New Roman"/>
                <w:sz w:val="20"/>
                <w:szCs w:val="20"/>
                <w:lang w:eastAsia="sk-SK"/>
              </w:rPr>
              <w:t xml:space="preserve">  Splácanie úrokov a ostatné platby súvisiace s </w:t>
            </w:r>
            <w:r w:rsidRPr="00BD372F">
              <w:rPr>
                <w:rFonts w:ascii="Calibri" w:eastAsia="Calibri" w:hAnsi="Calibri"/>
                <w:szCs w:val="22"/>
              </w:rPr>
              <w:t xml:space="preserve"> </w:t>
            </w:r>
            <w:r w:rsidRPr="00BD372F">
              <w:rPr>
                <w:rFonts w:ascii="Times New Roman" w:hAnsi="Times New Roman"/>
                <w:sz w:val="20"/>
                <w:szCs w:val="20"/>
                <w:lang w:eastAsia="sk-SK"/>
              </w:rPr>
              <w:t>úverom, pôžičkou, návratnou finančnou výpomocou a finančným prenájmom (650)</w:t>
            </w:r>
            <w:r w:rsidRPr="00BD372F">
              <w:rPr>
                <w:rFonts w:ascii="Times New Roman" w:hAnsi="Times New Roman"/>
                <w:sz w:val="20"/>
                <w:szCs w:val="20"/>
                <w:vertAlign w:val="superscript"/>
                <w:lang w:eastAsia="sk-SK"/>
              </w:rPr>
              <w:t>2</w:t>
            </w:r>
          </w:p>
        </w:tc>
        <w:tc>
          <w:tcPr>
            <w:tcW w:w="1393" w:type="dxa"/>
            <w:tcBorders>
              <w:top w:val="nil"/>
              <w:left w:val="nil"/>
              <w:bottom w:val="single" w:sz="4" w:space="0" w:color="auto"/>
              <w:right w:val="single" w:sz="4" w:space="0" w:color="auto"/>
            </w:tcBorders>
          </w:tcPr>
          <w:p w14:paraId="451E5F5D"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1604" w:type="dxa"/>
            <w:tcBorders>
              <w:top w:val="nil"/>
              <w:left w:val="nil"/>
              <w:bottom w:val="single" w:sz="4" w:space="0" w:color="auto"/>
              <w:right w:val="single" w:sz="4" w:space="0" w:color="auto"/>
            </w:tcBorders>
          </w:tcPr>
          <w:p w14:paraId="393D3A31"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1499" w:type="dxa"/>
            <w:tcBorders>
              <w:top w:val="nil"/>
              <w:left w:val="nil"/>
              <w:bottom w:val="single" w:sz="4" w:space="0" w:color="auto"/>
              <w:right w:val="single" w:sz="4" w:space="0" w:color="auto"/>
            </w:tcBorders>
          </w:tcPr>
          <w:p w14:paraId="7CEE479C"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1499" w:type="dxa"/>
            <w:tcBorders>
              <w:top w:val="nil"/>
              <w:left w:val="nil"/>
              <w:bottom w:val="single" w:sz="4" w:space="0" w:color="auto"/>
              <w:right w:val="single" w:sz="4" w:space="0" w:color="auto"/>
            </w:tcBorders>
          </w:tcPr>
          <w:p w14:paraId="5C3E1565"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2051" w:type="dxa"/>
            <w:vMerge/>
            <w:tcBorders>
              <w:left w:val="nil"/>
              <w:bottom w:val="single" w:sz="4" w:space="0" w:color="auto"/>
              <w:right w:val="single" w:sz="4" w:space="0" w:color="auto"/>
            </w:tcBorders>
            <w:noWrap/>
            <w:vAlign w:val="bottom"/>
          </w:tcPr>
          <w:p w14:paraId="54C7A8EB" w14:textId="77777777" w:rsidR="00BD372F" w:rsidRPr="00BD372F" w:rsidRDefault="00BD372F" w:rsidP="00BD372F">
            <w:pPr>
              <w:spacing w:after="0" w:line="240" w:lineRule="auto"/>
              <w:rPr>
                <w:rFonts w:ascii="Times New Roman" w:hAnsi="Times New Roman"/>
                <w:sz w:val="24"/>
                <w:szCs w:val="24"/>
                <w:lang w:eastAsia="sk-SK"/>
              </w:rPr>
            </w:pPr>
          </w:p>
        </w:tc>
      </w:tr>
      <w:tr w:rsidR="00BD372F" w:rsidRPr="00BD372F" w14:paraId="5FF00839" w14:textId="77777777" w:rsidTr="00154BAB">
        <w:trPr>
          <w:trHeight w:val="255"/>
        </w:trPr>
        <w:tc>
          <w:tcPr>
            <w:tcW w:w="6833" w:type="dxa"/>
            <w:tcBorders>
              <w:top w:val="nil"/>
              <w:left w:val="single" w:sz="4" w:space="0" w:color="auto"/>
              <w:bottom w:val="single" w:sz="4" w:space="0" w:color="auto"/>
              <w:right w:val="single" w:sz="4" w:space="0" w:color="auto"/>
            </w:tcBorders>
          </w:tcPr>
          <w:p w14:paraId="70238409" w14:textId="77777777" w:rsidR="00BD372F" w:rsidRPr="00BD372F" w:rsidRDefault="00BD372F" w:rsidP="00BD372F">
            <w:pPr>
              <w:spacing w:after="0" w:line="240" w:lineRule="auto"/>
              <w:rPr>
                <w:rFonts w:ascii="Times New Roman" w:hAnsi="Times New Roman"/>
                <w:b/>
                <w:bCs/>
                <w:sz w:val="20"/>
                <w:szCs w:val="20"/>
                <w:lang w:eastAsia="sk-SK"/>
              </w:rPr>
            </w:pPr>
            <w:r w:rsidRPr="00BD372F">
              <w:rPr>
                <w:rFonts w:ascii="Times New Roman" w:hAnsi="Times New Roman"/>
                <w:b/>
                <w:bCs/>
                <w:sz w:val="20"/>
                <w:szCs w:val="20"/>
                <w:lang w:eastAsia="sk-SK"/>
              </w:rPr>
              <w:t>Kapitálové výdavky (700)</w:t>
            </w:r>
          </w:p>
        </w:tc>
        <w:tc>
          <w:tcPr>
            <w:tcW w:w="1393" w:type="dxa"/>
            <w:tcBorders>
              <w:top w:val="nil"/>
              <w:left w:val="nil"/>
              <w:bottom w:val="single" w:sz="4" w:space="0" w:color="auto"/>
              <w:right w:val="single" w:sz="4" w:space="0" w:color="auto"/>
            </w:tcBorders>
          </w:tcPr>
          <w:p w14:paraId="1D8D2E14"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0</w:t>
            </w:r>
          </w:p>
        </w:tc>
        <w:tc>
          <w:tcPr>
            <w:tcW w:w="1604" w:type="dxa"/>
            <w:tcBorders>
              <w:top w:val="nil"/>
              <w:left w:val="nil"/>
              <w:bottom w:val="single" w:sz="4" w:space="0" w:color="auto"/>
              <w:right w:val="single" w:sz="4" w:space="0" w:color="auto"/>
            </w:tcBorders>
          </w:tcPr>
          <w:p w14:paraId="4C2D82D1"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0</w:t>
            </w:r>
          </w:p>
        </w:tc>
        <w:tc>
          <w:tcPr>
            <w:tcW w:w="1499" w:type="dxa"/>
            <w:tcBorders>
              <w:top w:val="nil"/>
              <w:left w:val="nil"/>
              <w:bottom w:val="single" w:sz="4" w:space="0" w:color="auto"/>
              <w:right w:val="single" w:sz="4" w:space="0" w:color="auto"/>
            </w:tcBorders>
          </w:tcPr>
          <w:p w14:paraId="090065B2"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0</w:t>
            </w:r>
          </w:p>
        </w:tc>
        <w:tc>
          <w:tcPr>
            <w:tcW w:w="1499" w:type="dxa"/>
            <w:tcBorders>
              <w:top w:val="nil"/>
              <w:left w:val="nil"/>
              <w:bottom w:val="single" w:sz="4" w:space="0" w:color="auto"/>
              <w:right w:val="single" w:sz="4" w:space="0" w:color="auto"/>
            </w:tcBorders>
          </w:tcPr>
          <w:p w14:paraId="6F4A0200"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70 333</w:t>
            </w:r>
          </w:p>
        </w:tc>
        <w:tc>
          <w:tcPr>
            <w:tcW w:w="2051" w:type="dxa"/>
            <w:vMerge w:val="restart"/>
            <w:tcBorders>
              <w:top w:val="nil"/>
              <w:left w:val="nil"/>
              <w:right w:val="single" w:sz="4" w:space="0" w:color="auto"/>
            </w:tcBorders>
            <w:noWrap/>
            <w:vAlign w:val="bottom"/>
          </w:tcPr>
          <w:p w14:paraId="053BBDE1" w14:textId="77777777"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sz w:val="20"/>
                <w:szCs w:val="20"/>
                <w:lang w:eastAsia="sk-SK"/>
              </w:rPr>
              <w:t>Kapitálová investícia v súvislosti s integráciou IS FS-SD s IS pre systém ŠP vo veci centrálnej evidencie poplatkov.</w:t>
            </w:r>
          </w:p>
        </w:tc>
      </w:tr>
      <w:tr w:rsidR="00BD372F" w:rsidRPr="00BD372F" w14:paraId="3DD92543" w14:textId="77777777" w:rsidTr="00154BAB">
        <w:trPr>
          <w:trHeight w:val="255"/>
        </w:trPr>
        <w:tc>
          <w:tcPr>
            <w:tcW w:w="6833" w:type="dxa"/>
            <w:tcBorders>
              <w:top w:val="nil"/>
              <w:left w:val="single" w:sz="4" w:space="0" w:color="auto"/>
              <w:bottom w:val="single" w:sz="4" w:space="0" w:color="auto"/>
              <w:right w:val="single" w:sz="4" w:space="0" w:color="auto"/>
            </w:tcBorders>
          </w:tcPr>
          <w:p w14:paraId="16786859" w14:textId="77777777" w:rsidR="00BD372F" w:rsidRPr="00BD372F" w:rsidRDefault="00BD372F" w:rsidP="00BD372F">
            <w:pPr>
              <w:spacing w:after="0" w:line="240" w:lineRule="auto"/>
              <w:rPr>
                <w:rFonts w:ascii="Times New Roman" w:hAnsi="Times New Roman"/>
                <w:sz w:val="20"/>
                <w:szCs w:val="20"/>
                <w:lang w:eastAsia="sk-SK"/>
              </w:rPr>
            </w:pPr>
            <w:r w:rsidRPr="00BD372F">
              <w:rPr>
                <w:rFonts w:ascii="Times New Roman" w:hAnsi="Times New Roman"/>
                <w:sz w:val="20"/>
                <w:szCs w:val="20"/>
                <w:lang w:eastAsia="sk-SK"/>
              </w:rPr>
              <w:t xml:space="preserve">  Obstarávanie kapitálových aktív (710)</w:t>
            </w:r>
            <w:r w:rsidRPr="00BD372F">
              <w:rPr>
                <w:rFonts w:ascii="Times New Roman" w:hAnsi="Times New Roman"/>
                <w:sz w:val="20"/>
                <w:szCs w:val="20"/>
                <w:vertAlign w:val="superscript"/>
                <w:lang w:eastAsia="sk-SK"/>
              </w:rPr>
              <w:t>2</w:t>
            </w:r>
          </w:p>
        </w:tc>
        <w:tc>
          <w:tcPr>
            <w:tcW w:w="1393" w:type="dxa"/>
            <w:tcBorders>
              <w:top w:val="nil"/>
              <w:left w:val="nil"/>
              <w:bottom w:val="single" w:sz="4" w:space="0" w:color="auto"/>
              <w:right w:val="single" w:sz="4" w:space="0" w:color="auto"/>
            </w:tcBorders>
          </w:tcPr>
          <w:p w14:paraId="2447D88E"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Times New Roman" w:hAnsi="Times New Roman"/>
                <w:sz w:val="20"/>
                <w:szCs w:val="20"/>
                <w:lang w:eastAsia="sk-SK"/>
              </w:rPr>
              <w:t>0</w:t>
            </w:r>
          </w:p>
        </w:tc>
        <w:tc>
          <w:tcPr>
            <w:tcW w:w="1604" w:type="dxa"/>
            <w:tcBorders>
              <w:top w:val="nil"/>
              <w:left w:val="nil"/>
              <w:bottom w:val="single" w:sz="4" w:space="0" w:color="auto"/>
              <w:right w:val="single" w:sz="4" w:space="0" w:color="auto"/>
            </w:tcBorders>
          </w:tcPr>
          <w:p w14:paraId="734B783B"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Times New Roman" w:hAnsi="Times New Roman"/>
                <w:sz w:val="20"/>
                <w:szCs w:val="20"/>
                <w:lang w:eastAsia="sk-SK"/>
              </w:rPr>
              <w:t>0</w:t>
            </w:r>
          </w:p>
        </w:tc>
        <w:tc>
          <w:tcPr>
            <w:tcW w:w="1499" w:type="dxa"/>
            <w:tcBorders>
              <w:top w:val="nil"/>
              <w:left w:val="nil"/>
              <w:bottom w:val="single" w:sz="4" w:space="0" w:color="auto"/>
              <w:right w:val="single" w:sz="4" w:space="0" w:color="auto"/>
            </w:tcBorders>
          </w:tcPr>
          <w:p w14:paraId="31505590"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Times New Roman" w:hAnsi="Times New Roman"/>
                <w:sz w:val="20"/>
                <w:szCs w:val="20"/>
                <w:lang w:eastAsia="sk-SK"/>
              </w:rPr>
              <w:t>0</w:t>
            </w:r>
          </w:p>
        </w:tc>
        <w:tc>
          <w:tcPr>
            <w:tcW w:w="1499" w:type="dxa"/>
            <w:tcBorders>
              <w:top w:val="nil"/>
              <w:left w:val="nil"/>
              <w:bottom w:val="single" w:sz="4" w:space="0" w:color="auto"/>
              <w:right w:val="single" w:sz="4" w:space="0" w:color="auto"/>
            </w:tcBorders>
          </w:tcPr>
          <w:p w14:paraId="71EF3EF7"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Times New Roman" w:hAnsi="Times New Roman"/>
                <w:sz w:val="20"/>
                <w:szCs w:val="20"/>
                <w:lang w:eastAsia="sk-SK"/>
              </w:rPr>
              <w:t>70 333</w:t>
            </w:r>
          </w:p>
        </w:tc>
        <w:tc>
          <w:tcPr>
            <w:tcW w:w="2051" w:type="dxa"/>
            <w:vMerge/>
            <w:tcBorders>
              <w:left w:val="nil"/>
              <w:right w:val="single" w:sz="4" w:space="0" w:color="auto"/>
            </w:tcBorders>
            <w:noWrap/>
            <w:vAlign w:val="bottom"/>
          </w:tcPr>
          <w:p w14:paraId="024F78C7" w14:textId="77777777" w:rsidR="00BD372F" w:rsidRPr="00BD372F" w:rsidRDefault="00BD372F" w:rsidP="00BD372F">
            <w:pPr>
              <w:spacing w:after="0" w:line="240" w:lineRule="auto"/>
              <w:rPr>
                <w:rFonts w:ascii="Times New Roman" w:hAnsi="Times New Roman"/>
                <w:sz w:val="20"/>
                <w:szCs w:val="20"/>
                <w:lang w:eastAsia="sk-SK"/>
              </w:rPr>
            </w:pPr>
          </w:p>
        </w:tc>
      </w:tr>
      <w:tr w:rsidR="00BD372F" w:rsidRPr="00BD372F" w14:paraId="01313228" w14:textId="77777777" w:rsidTr="00154BAB">
        <w:trPr>
          <w:trHeight w:val="255"/>
        </w:trPr>
        <w:tc>
          <w:tcPr>
            <w:tcW w:w="6833" w:type="dxa"/>
            <w:tcBorders>
              <w:top w:val="nil"/>
              <w:left w:val="single" w:sz="4" w:space="0" w:color="auto"/>
              <w:bottom w:val="single" w:sz="4" w:space="0" w:color="auto"/>
              <w:right w:val="single" w:sz="4" w:space="0" w:color="auto"/>
            </w:tcBorders>
          </w:tcPr>
          <w:p w14:paraId="4E77534F" w14:textId="77777777" w:rsidR="00BD372F" w:rsidRPr="00BD372F" w:rsidRDefault="00BD372F" w:rsidP="00BD372F">
            <w:pPr>
              <w:spacing w:after="0" w:line="240" w:lineRule="auto"/>
              <w:rPr>
                <w:rFonts w:ascii="Times New Roman" w:hAnsi="Times New Roman"/>
                <w:sz w:val="20"/>
                <w:szCs w:val="20"/>
                <w:lang w:eastAsia="sk-SK"/>
              </w:rPr>
            </w:pPr>
            <w:r w:rsidRPr="00BD372F">
              <w:rPr>
                <w:rFonts w:ascii="Times New Roman" w:hAnsi="Times New Roman"/>
                <w:sz w:val="20"/>
                <w:szCs w:val="20"/>
                <w:lang w:eastAsia="sk-SK"/>
              </w:rPr>
              <w:t>v tom: Integrovaný systém finančnej správy – správa daní, prvok 0EK0D14 (718006)</w:t>
            </w:r>
          </w:p>
        </w:tc>
        <w:tc>
          <w:tcPr>
            <w:tcW w:w="1393" w:type="dxa"/>
            <w:tcBorders>
              <w:top w:val="nil"/>
              <w:left w:val="nil"/>
              <w:bottom w:val="single" w:sz="4" w:space="0" w:color="auto"/>
              <w:right w:val="single" w:sz="4" w:space="0" w:color="auto"/>
            </w:tcBorders>
          </w:tcPr>
          <w:p w14:paraId="52C3D19E"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Times New Roman" w:hAnsi="Times New Roman"/>
                <w:sz w:val="20"/>
                <w:szCs w:val="20"/>
                <w:lang w:eastAsia="sk-SK"/>
              </w:rPr>
              <w:t>0</w:t>
            </w:r>
          </w:p>
        </w:tc>
        <w:tc>
          <w:tcPr>
            <w:tcW w:w="1604" w:type="dxa"/>
            <w:tcBorders>
              <w:top w:val="nil"/>
              <w:left w:val="nil"/>
              <w:bottom w:val="single" w:sz="4" w:space="0" w:color="auto"/>
              <w:right w:val="single" w:sz="4" w:space="0" w:color="auto"/>
            </w:tcBorders>
          </w:tcPr>
          <w:p w14:paraId="3D4D8506"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Times New Roman" w:hAnsi="Times New Roman"/>
                <w:sz w:val="20"/>
                <w:szCs w:val="20"/>
                <w:lang w:eastAsia="sk-SK"/>
              </w:rPr>
              <w:t>0</w:t>
            </w:r>
          </w:p>
        </w:tc>
        <w:tc>
          <w:tcPr>
            <w:tcW w:w="1499" w:type="dxa"/>
            <w:tcBorders>
              <w:top w:val="nil"/>
              <w:left w:val="nil"/>
              <w:bottom w:val="single" w:sz="4" w:space="0" w:color="auto"/>
              <w:right w:val="single" w:sz="4" w:space="0" w:color="auto"/>
            </w:tcBorders>
          </w:tcPr>
          <w:p w14:paraId="61F4FCDC"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Times New Roman" w:hAnsi="Times New Roman"/>
                <w:sz w:val="20"/>
                <w:szCs w:val="20"/>
                <w:lang w:eastAsia="sk-SK"/>
              </w:rPr>
              <w:t>0</w:t>
            </w:r>
          </w:p>
        </w:tc>
        <w:tc>
          <w:tcPr>
            <w:tcW w:w="1499" w:type="dxa"/>
            <w:tcBorders>
              <w:top w:val="nil"/>
              <w:left w:val="nil"/>
              <w:bottom w:val="single" w:sz="4" w:space="0" w:color="auto"/>
              <w:right w:val="single" w:sz="4" w:space="0" w:color="auto"/>
            </w:tcBorders>
          </w:tcPr>
          <w:p w14:paraId="0E958148"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Times New Roman" w:hAnsi="Times New Roman"/>
                <w:sz w:val="20"/>
                <w:szCs w:val="20"/>
                <w:lang w:eastAsia="sk-SK"/>
              </w:rPr>
              <w:t>70 333</w:t>
            </w:r>
          </w:p>
        </w:tc>
        <w:tc>
          <w:tcPr>
            <w:tcW w:w="2051" w:type="dxa"/>
            <w:vMerge/>
            <w:tcBorders>
              <w:left w:val="nil"/>
              <w:bottom w:val="single" w:sz="4" w:space="0" w:color="auto"/>
              <w:right w:val="single" w:sz="4" w:space="0" w:color="auto"/>
            </w:tcBorders>
            <w:noWrap/>
            <w:vAlign w:val="bottom"/>
          </w:tcPr>
          <w:p w14:paraId="188D5637" w14:textId="77777777" w:rsidR="00BD372F" w:rsidRPr="00BD372F" w:rsidRDefault="00BD372F" w:rsidP="00BD372F">
            <w:pPr>
              <w:spacing w:after="0" w:line="240" w:lineRule="auto"/>
              <w:rPr>
                <w:rFonts w:ascii="Times New Roman" w:hAnsi="Times New Roman"/>
                <w:sz w:val="20"/>
                <w:szCs w:val="20"/>
                <w:lang w:eastAsia="sk-SK"/>
              </w:rPr>
            </w:pPr>
          </w:p>
        </w:tc>
      </w:tr>
      <w:tr w:rsidR="00BD372F" w:rsidRPr="00BD372F" w14:paraId="1C761591" w14:textId="77777777" w:rsidTr="00154BAB">
        <w:trPr>
          <w:trHeight w:val="255"/>
        </w:trPr>
        <w:tc>
          <w:tcPr>
            <w:tcW w:w="6833" w:type="dxa"/>
            <w:tcBorders>
              <w:top w:val="nil"/>
              <w:left w:val="single" w:sz="4" w:space="0" w:color="auto"/>
              <w:bottom w:val="single" w:sz="4" w:space="0" w:color="auto"/>
              <w:right w:val="single" w:sz="4" w:space="0" w:color="auto"/>
            </w:tcBorders>
          </w:tcPr>
          <w:p w14:paraId="575DE885" w14:textId="77777777" w:rsidR="00BD372F" w:rsidRPr="00BD372F" w:rsidRDefault="00BD372F" w:rsidP="00BD372F">
            <w:pPr>
              <w:spacing w:after="0" w:line="240" w:lineRule="auto"/>
              <w:rPr>
                <w:rFonts w:ascii="Times New Roman" w:hAnsi="Times New Roman"/>
                <w:sz w:val="20"/>
                <w:szCs w:val="20"/>
                <w:lang w:eastAsia="sk-SK"/>
              </w:rPr>
            </w:pPr>
            <w:r w:rsidRPr="00BD372F">
              <w:rPr>
                <w:rFonts w:ascii="Times New Roman" w:hAnsi="Times New Roman"/>
                <w:sz w:val="20"/>
                <w:szCs w:val="20"/>
                <w:lang w:eastAsia="sk-SK"/>
              </w:rPr>
              <w:t xml:space="preserve">  Kapitálové transfery (720)</w:t>
            </w:r>
            <w:r w:rsidRPr="00BD372F">
              <w:rPr>
                <w:rFonts w:ascii="Times New Roman" w:hAnsi="Times New Roman"/>
                <w:sz w:val="20"/>
                <w:szCs w:val="20"/>
                <w:vertAlign w:val="superscript"/>
                <w:lang w:eastAsia="sk-SK"/>
              </w:rPr>
              <w:t>2</w:t>
            </w:r>
          </w:p>
        </w:tc>
        <w:tc>
          <w:tcPr>
            <w:tcW w:w="1393" w:type="dxa"/>
            <w:tcBorders>
              <w:top w:val="nil"/>
              <w:left w:val="nil"/>
              <w:bottom w:val="single" w:sz="4" w:space="0" w:color="auto"/>
              <w:right w:val="single" w:sz="4" w:space="0" w:color="auto"/>
            </w:tcBorders>
          </w:tcPr>
          <w:p w14:paraId="48AE14CD"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1604" w:type="dxa"/>
            <w:tcBorders>
              <w:top w:val="nil"/>
              <w:left w:val="nil"/>
              <w:bottom w:val="single" w:sz="4" w:space="0" w:color="auto"/>
              <w:right w:val="single" w:sz="4" w:space="0" w:color="auto"/>
            </w:tcBorders>
          </w:tcPr>
          <w:p w14:paraId="5960E3A6"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1499" w:type="dxa"/>
            <w:tcBorders>
              <w:top w:val="nil"/>
              <w:left w:val="nil"/>
              <w:bottom w:val="single" w:sz="4" w:space="0" w:color="auto"/>
              <w:right w:val="single" w:sz="4" w:space="0" w:color="auto"/>
            </w:tcBorders>
          </w:tcPr>
          <w:p w14:paraId="750A35B6"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1499" w:type="dxa"/>
            <w:tcBorders>
              <w:top w:val="nil"/>
              <w:left w:val="nil"/>
              <w:bottom w:val="single" w:sz="4" w:space="0" w:color="auto"/>
              <w:right w:val="single" w:sz="4" w:space="0" w:color="auto"/>
            </w:tcBorders>
          </w:tcPr>
          <w:p w14:paraId="23BB823A"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2051" w:type="dxa"/>
            <w:tcBorders>
              <w:top w:val="nil"/>
              <w:left w:val="nil"/>
              <w:bottom w:val="single" w:sz="4" w:space="0" w:color="auto"/>
              <w:right w:val="single" w:sz="4" w:space="0" w:color="auto"/>
            </w:tcBorders>
            <w:noWrap/>
            <w:vAlign w:val="bottom"/>
          </w:tcPr>
          <w:p w14:paraId="6B7FAF54" w14:textId="77777777"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sz w:val="24"/>
                <w:szCs w:val="24"/>
                <w:lang w:eastAsia="sk-SK"/>
              </w:rPr>
              <w:t> </w:t>
            </w:r>
          </w:p>
        </w:tc>
      </w:tr>
      <w:tr w:rsidR="00BD372F" w:rsidRPr="00BD372F" w14:paraId="1E73DC3C" w14:textId="77777777" w:rsidTr="00154BAB">
        <w:trPr>
          <w:trHeight w:val="255"/>
        </w:trPr>
        <w:tc>
          <w:tcPr>
            <w:tcW w:w="6833" w:type="dxa"/>
            <w:tcBorders>
              <w:top w:val="nil"/>
              <w:left w:val="single" w:sz="4" w:space="0" w:color="auto"/>
              <w:bottom w:val="single" w:sz="4" w:space="0" w:color="auto"/>
              <w:right w:val="single" w:sz="4" w:space="0" w:color="auto"/>
            </w:tcBorders>
          </w:tcPr>
          <w:p w14:paraId="79260C73" w14:textId="77777777" w:rsidR="00BD372F" w:rsidRPr="00BD372F" w:rsidRDefault="00BD372F" w:rsidP="00BD372F">
            <w:pPr>
              <w:spacing w:after="0" w:line="240" w:lineRule="auto"/>
              <w:rPr>
                <w:rFonts w:ascii="Times New Roman" w:hAnsi="Times New Roman"/>
                <w:b/>
                <w:bCs/>
                <w:sz w:val="20"/>
                <w:szCs w:val="20"/>
                <w:lang w:eastAsia="sk-SK"/>
              </w:rPr>
            </w:pPr>
            <w:r w:rsidRPr="00BD372F">
              <w:rPr>
                <w:rFonts w:ascii="Times New Roman" w:hAnsi="Times New Roman"/>
                <w:b/>
                <w:bCs/>
                <w:sz w:val="20"/>
                <w:szCs w:val="20"/>
                <w:lang w:eastAsia="sk-SK"/>
              </w:rPr>
              <w:t>Výdavky z transakcií s finančnými aktívami a finančnými pasívami (800)</w:t>
            </w:r>
          </w:p>
        </w:tc>
        <w:tc>
          <w:tcPr>
            <w:tcW w:w="1393" w:type="dxa"/>
            <w:tcBorders>
              <w:top w:val="nil"/>
              <w:left w:val="nil"/>
              <w:bottom w:val="single" w:sz="4" w:space="0" w:color="auto"/>
              <w:right w:val="single" w:sz="4" w:space="0" w:color="auto"/>
            </w:tcBorders>
          </w:tcPr>
          <w:p w14:paraId="43B8A17F" w14:textId="77777777" w:rsidR="00BD372F" w:rsidRPr="00BD372F" w:rsidRDefault="00BD372F" w:rsidP="00BD372F">
            <w:pPr>
              <w:spacing w:after="0" w:line="240" w:lineRule="auto"/>
              <w:jc w:val="center"/>
              <w:rPr>
                <w:rFonts w:ascii="Times New Roman" w:hAnsi="Times New Roman"/>
                <w:b/>
                <w:bCs/>
                <w:sz w:val="20"/>
                <w:szCs w:val="20"/>
                <w:lang w:eastAsia="sk-SK"/>
              </w:rPr>
            </w:pPr>
          </w:p>
        </w:tc>
        <w:tc>
          <w:tcPr>
            <w:tcW w:w="1604" w:type="dxa"/>
            <w:tcBorders>
              <w:top w:val="nil"/>
              <w:left w:val="nil"/>
              <w:bottom w:val="single" w:sz="4" w:space="0" w:color="auto"/>
              <w:right w:val="single" w:sz="4" w:space="0" w:color="auto"/>
            </w:tcBorders>
          </w:tcPr>
          <w:p w14:paraId="1D185995"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 </w:t>
            </w:r>
          </w:p>
        </w:tc>
        <w:tc>
          <w:tcPr>
            <w:tcW w:w="1499" w:type="dxa"/>
            <w:tcBorders>
              <w:top w:val="nil"/>
              <w:left w:val="nil"/>
              <w:bottom w:val="single" w:sz="4" w:space="0" w:color="auto"/>
              <w:right w:val="single" w:sz="4" w:space="0" w:color="auto"/>
            </w:tcBorders>
          </w:tcPr>
          <w:p w14:paraId="4A3177CE"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 </w:t>
            </w:r>
          </w:p>
        </w:tc>
        <w:tc>
          <w:tcPr>
            <w:tcW w:w="1499" w:type="dxa"/>
            <w:tcBorders>
              <w:top w:val="nil"/>
              <w:left w:val="nil"/>
              <w:bottom w:val="single" w:sz="4" w:space="0" w:color="auto"/>
              <w:right w:val="single" w:sz="4" w:space="0" w:color="auto"/>
            </w:tcBorders>
          </w:tcPr>
          <w:p w14:paraId="66CDE908"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 </w:t>
            </w:r>
          </w:p>
        </w:tc>
        <w:tc>
          <w:tcPr>
            <w:tcW w:w="2051" w:type="dxa"/>
            <w:tcBorders>
              <w:top w:val="nil"/>
              <w:left w:val="nil"/>
              <w:bottom w:val="single" w:sz="4" w:space="0" w:color="auto"/>
              <w:right w:val="single" w:sz="4" w:space="0" w:color="auto"/>
            </w:tcBorders>
            <w:noWrap/>
            <w:vAlign w:val="bottom"/>
          </w:tcPr>
          <w:p w14:paraId="0471D7E3" w14:textId="77777777"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sz w:val="24"/>
                <w:szCs w:val="24"/>
                <w:lang w:eastAsia="sk-SK"/>
              </w:rPr>
              <w:t> </w:t>
            </w:r>
          </w:p>
        </w:tc>
      </w:tr>
      <w:tr w:rsidR="00BD372F" w:rsidRPr="00BD372F" w14:paraId="04A09CA5" w14:textId="77777777" w:rsidTr="00BD372F">
        <w:trPr>
          <w:trHeight w:val="255"/>
        </w:trPr>
        <w:tc>
          <w:tcPr>
            <w:tcW w:w="6833" w:type="dxa"/>
            <w:tcBorders>
              <w:top w:val="single" w:sz="4" w:space="0" w:color="auto"/>
              <w:left w:val="single" w:sz="4" w:space="0" w:color="auto"/>
              <w:bottom w:val="single" w:sz="4" w:space="0" w:color="auto"/>
              <w:right w:val="single" w:sz="4" w:space="0" w:color="auto"/>
            </w:tcBorders>
            <w:shd w:val="clear" w:color="auto" w:fill="BFBFBF"/>
          </w:tcPr>
          <w:p w14:paraId="5DD4A92F" w14:textId="77777777" w:rsidR="00BD372F" w:rsidRPr="00BD372F" w:rsidRDefault="00BD372F" w:rsidP="00BD372F">
            <w:pPr>
              <w:spacing w:after="0" w:line="240" w:lineRule="auto"/>
              <w:rPr>
                <w:rFonts w:ascii="Times New Roman" w:hAnsi="Times New Roman"/>
                <w:b/>
                <w:bCs/>
                <w:sz w:val="20"/>
                <w:szCs w:val="20"/>
                <w:lang w:eastAsia="sk-SK"/>
              </w:rPr>
            </w:pPr>
            <w:r w:rsidRPr="00BD372F">
              <w:rPr>
                <w:rFonts w:ascii="Times New Roman" w:hAnsi="Times New Roman"/>
                <w:b/>
                <w:bCs/>
                <w:sz w:val="20"/>
                <w:szCs w:val="20"/>
                <w:lang w:eastAsia="sk-SK"/>
              </w:rPr>
              <w:t>Vplyv na výdavky verejnej správy celkom</w:t>
            </w:r>
          </w:p>
        </w:tc>
        <w:tc>
          <w:tcPr>
            <w:tcW w:w="1393" w:type="dxa"/>
            <w:tcBorders>
              <w:top w:val="single" w:sz="4" w:space="0" w:color="auto"/>
              <w:left w:val="nil"/>
              <w:bottom w:val="single" w:sz="4" w:space="0" w:color="auto"/>
              <w:right w:val="single" w:sz="4" w:space="0" w:color="auto"/>
            </w:tcBorders>
            <w:shd w:val="clear" w:color="auto" w:fill="BFBFBF"/>
          </w:tcPr>
          <w:p w14:paraId="426B638A"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0</w:t>
            </w:r>
          </w:p>
        </w:tc>
        <w:tc>
          <w:tcPr>
            <w:tcW w:w="1604" w:type="dxa"/>
            <w:tcBorders>
              <w:top w:val="single" w:sz="4" w:space="0" w:color="auto"/>
              <w:left w:val="nil"/>
              <w:bottom w:val="single" w:sz="4" w:space="0" w:color="auto"/>
              <w:right w:val="single" w:sz="4" w:space="0" w:color="auto"/>
            </w:tcBorders>
            <w:shd w:val="clear" w:color="auto" w:fill="BFBFBF"/>
          </w:tcPr>
          <w:p w14:paraId="2CD67B74"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-92 520</w:t>
            </w:r>
          </w:p>
        </w:tc>
        <w:tc>
          <w:tcPr>
            <w:tcW w:w="1499" w:type="dxa"/>
            <w:tcBorders>
              <w:top w:val="single" w:sz="4" w:space="0" w:color="auto"/>
              <w:left w:val="nil"/>
              <w:bottom w:val="single" w:sz="4" w:space="0" w:color="auto"/>
              <w:right w:val="single" w:sz="4" w:space="0" w:color="auto"/>
            </w:tcBorders>
            <w:shd w:val="clear" w:color="auto" w:fill="BFBFBF"/>
          </w:tcPr>
          <w:p w14:paraId="3B4ACE35"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-89 520</w:t>
            </w:r>
          </w:p>
        </w:tc>
        <w:tc>
          <w:tcPr>
            <w:tcW w:w="1499" w:type="dxa"/>
            <w:tcBorders>
              <w:top w:val="single" w:sz="4" w:space="0" w:color="auto"/>
              <w:left w:val="nil"/>
              <w:bottom w:val="single" w:sz="4" w:space="0" w:color="auto"/>
              <w:right w:val="single" w:sz="4" w:space="0" w:color="auto"/>
            </w:tcBorders>
            <w:shd w:val="clear" w:color="auto" w:fill="BFBFBF"/>
          </w:tcPr>
          <w:p w14:paraId="3FD5A284"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-19 187</w:t>
            </w:r>
          </w:p>
        </w:tc>
        <w:tc>
          <w:tcPr>
            <w:tcW w:w="2051" w:type="dxa"/>
            <w:tcBorders>
              <w:top w:val="single" w:sz="4" w:space="0" w:color="auto"/>
              <w:left w:val="nil"/>
              <w:bottom w:val="single" w:sz="4" w:space="0" w:color="auto"/>
              <w:right w:val="single" w:sz="4" w:space="0" w:color="auto"/>
            </w:tcBorders>
            <w:shd w:val="clear" w:color="auto" w:fill="BFBFBF"/>
            <w:noWrap/>
            <w:vAlign w:val="bottom"/>
          </w:tcPr>
          <w:p w14:paraId="01C884F0" w14:textId="77777777"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sz w:val="24"/>
                <w:szCs w:val="24"/>
                <w:lang w:eastAsia="sk-SK"/>
              </w:rPr>
              <w:t> </w:t>
            </w:r>
          </w:p>
        </w:tc>
      </w:tr>
    </w:tbl>
    <w:p w14:paraId="20A614ED" w14:textId="6D398B74" w:rsidR="00BD372F" w:rsidRPr="00BD372F" w:rsidRDefault="00BD372F" w:rsidP="001A1561">
      <w:pPr>
        <w:spacing w:after="0" w:line="240" w:lineRule="auto"/>
        <w:ind w:left="-709"/>
        <w:jc w:val="both"/>
        <w:rPr>
          <w:rFonts w:ascii="Times New Roman" w:hAnsi="Times New Roman"/>
          <w:bCs/>
          <w:sz w:val="20"/>
          <w:szCs w:val="20"/>
          <w:lang w:eastAsia="sk-SK"/>
        </w:rPr>
      </w:pPr>
      <w:r w:rsidRPr="00BD372F">
        <w:rPr>
          <w:rFonts w:ascii="Times New Roman" w:hAnsi="Times New Roman"/>
          <w:bCs/>
          <w:sz w:val="20"/>
          <w:szCs w:val="20"/>
          <w:lang w:eastAsia="sk-SK"/>
        </w:rPr>
        <w:t>2 –  výdavky rozpísať až do položiek platnej ekonomickej klasifikácie</w:t>
      </w:r>
    </w:p>
    <w:p w14:paraId="1E7D8E4C" w14:textId="77777777" w:rsidR="00BD372F" w:rsidRPr="00BD372F" w:rsidRDefault="00BD372F" w:rsidP="001A1561">
      <w:pPr>
        <w:spacing w:after="0" w:line="240" w:lineRule="auto"/>
        <w:ind w:left="-709"/>
        <w:jc w:val="both"/>
        <w:rPr>
          <w:rFonts w:ascii="Times New Roman" w:hAnsi="Times New Roman"/>
          <w:bCs/>
          <w:sz w:val="24"/>
          <w:szCs w:val="20"/>
          <w:lang w:eastAsia="sk-SK"/>
        </w:rPr>
      </w:pPr>
    </w:p>
    <w:p w14:paraId="51C8CBC4" w14:textId="69CA86BB" w:rsidR="00BD372F" w:rsidRPr="00BD372F" w:rsidRDefault="00BD372F" w:rsidP="001A1561">
      <w:pPr>
        <w:spacing w:after="0" w:line="240" w:lineRule="auto"/>
        <w:ind w:left="-709"/>
        <w:jc w:val="both"/>
        <w:rPr>
          <w:rFonts w:ascii="Times New Roman" w:hAnsi="Times New Roman"/>
          <w:b/>
          <w:bCs/>
          <w:sz w:val="20"/>
          <w:szCs w:val="20"/>
          <w:lang w:eastAsia="sk-SK"/>
        </w:rPr>
      </w:pPr>
      <w:r w:rsidRPr="00BD372F">
        <w:rPr>
          <w:rFonts w:ascii="Times New Roman" w:hAnsi="Times New Roman"/>
          <w:b/>
          <w:bCs/>
          <w:sz w:val="24"/>
          <w:szCs w:val="20"/>
          <w:lang w:eastAsia="sk-SK"/>
        </w:rPr>
        <w:t>Poznámka:</w:t>
      </w:r>
    </w:p>
    <w:p w14:paraId="1F3E11B5" w14:textId="1DD45FA4" w:rsidR="00BD372F" w:rsidRPr="00BD372F" w:rsidRDefault="00BD372F" w:rsidP="001A1561">
      <w:pPr>
        <w:spacing w:after="0" w:line="240" w:lineRule="auto"/>
        <w:ind w:left="-709"/>
        <w:jc w:val="both"/>
        <w:rPr>
          <w:rFonts w:ascii="Times New Roman" w:hAnsi="Times New Roman"/>
          <w:bCs/>
          <w:sz w:val="20"/>
          <w:szCs w:val="20"/>
          <w:lang w:eastAsia="sk-SK"/>
        </w:rPr>
      </w:pPr>
      <w:r w:rsidRPr="00BD372F">
        <w:rPr>
          <w:rFonts w:ascii="Times New Roman" w:hAnsi="Times New Roman"/>
          <w:bCs/>
          <w:sz w:val="24"/>
          <w:szCs w:val="20"/>
          <w:lang w:eastAsia="sk-SK"/>
        </w:rPr>
        <w:t>Ak sa vplyv týka viacerých subjektov verejnej správy, vypĺňa sa samostatná tabuľka za každý subjekt.</w:t>
      </w:r>
    </w:p>
    <w:p w14:paraId="2B3A1357" w14:textId="77777777" w:rsidR="00BD372F" w:rsidRPr="00BD372F" w:rsidRDefault="00BD372F" w:rsidP="00BD372F">
      <w:pPr>
        <w:rPr>
          <w:rFonts w:ascii="Times New Roman" w:hAnsi="Times New Roman"/>
          <w:bCs/>
          <w:sz w:val="20"/>
          <w:szCs w:val="20"/>
          <w:lang w:eastAsia="sk-SK"/>
        </w:rPr>
      </w:pPr>
      <w:r w:rsidRPr="00BD372F">
        <w:rPr>
          <w:rFonts w:ascii="Times New Roman" w:hAnsi="Times New Roman"/>
          <w:bCs/>
          <w:sz w:val="20"/>
          <w:szCs w:val="20"/>
          <w:lang w:eastAsia="sk-SK"/>
        </w:rPr>
        <w:br w:type="page"/>
      </w:r>
    </w:p>
    <w:p w14:paraId="43B2C451" w14:textId="77777777" w:rsidR="00BD372F" w:rsidRPr="00BD372F" w:rsidRDefault="00BD372F" w:rsidP="00BD372F">
      <w:pPr>
        <w:spacing w:after="0" w:line="240" w:lineRule="auto"/>
        <w:jc w:val="both"/>
        <w:rPr>
          <w:rFonts w:ascii="Times New Roman" w:hAnsi="Times New Roman"/>
          <w:bCs/>
          <w:sz w:val="20"/>
          <w:szCs w:val="20"/>
          <w:lang w:eastAsia="sk-SK"/>
        </w:rPr>
      </w:pPr>
      <w:r w:rsidRPr="00BD372F">
        <w:rPr>
          <w:rFonts w:ascii="Times New Roman" w:hAnsi="Times New Roman"/>
          <w:bCs/>
          <w:sz w:val="20"/>
          <w:szCs w:val="20"/>
          <w:lang w:eastAsia="sk-SK"/>
        </w:rPr>
        <w:t xml:space="preserve">                                                                                                                                                                                                                                                            Tabuľka č. 4/A</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BD372F" w:rsidRPr="00BD372F" w14:paraId="20E1A6A4" w14:textId="77777777" w:rsidTr="00BD372F">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14:paraId="3C223875"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Výdavky (v eurách)</w:t>
            </w:r>
          </w:p>
          <w:p w14:paraId="07DCC2F7"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Ministerstvo financií Slovenskej republiky</w:t>
            </w:r>
          </w:p>
        </w:tc>
        <w:tc>
          <w:tcPr>
            <w:tcW w:w="6160" w:type="dxa"/>
            <w:gridSpan w:val="4"/>
            <w:tcBorders>
              <w:top w:val="single" w:sz="4" w:space="0" w:color="auto"/>
              <w:left w:val="nil"/>
              <w:bottom w:val="single" w:sz="4" w:space="0" w:color="auto"/>
              <w:right w:val="single" w:sz="4" w:space="0" w:color="auto"/>
            </w:tcBorders>
            <w:shd w:val="clear" w:color="auto" w:fill="BFBFBF"/>
          </w:tcPr>
          <w:p w14:paraId="3B3024C5"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40FF6565"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poznámka</w:t>
            </w:r>
          </w:p>
        </w:tc>
      </w:tr>
      <w:tr w:rsidR="00BD372F" w:rsidRPr="00BD372F" w14:paraId="46D0B4EF" w14:textId="77777777" w:rsidTr="00BD372F">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0BC297FB" w14:textId="77777777" w:rsidR="00BD372F" w:rsidRPr="00BD372F" w:rsidRDefault="00BD372F" w:rsidP="00BD372F">
            <w:pPr>
              <w:spacing w:after="0" w:line="240" w:lineRule="auto"/>
              <w:rPr>
                <w:rFonts w:ascii="Times New Roman" w:hAnsi="Times New Roman"/>
                <w:b/>
                <w:bCs/>
                <w:color w:val="FFFFFF"/>
                <w:sz w:val="20"/>
                <w:szCs w:val="20"/>
                <w:lang w:eastAsia="sk-SK"/>
              </w:rPr>
            </w:pPr>
          </w:p>
        </w:tc>
        <w:tc>
          <w:tcPr>
            <w:tcW w:w="1430" w:type="dxa"/>
            <w:tcBorders>
              <w:top w:val="nil"/>
              <w:left w:val="nil"/>
              <w:bottom w:val="single" w:sz="4" w:space="0" w:color="auto"/>
              <w:right w:val="single" w:sz="4" w:space="0" w:color="auto"/>
            </w:tcBorders>
            <w:shd w:val="clear" w:color="auto" w:fill="BFBFBF"/>
          </w:tcPr>
          <w:p w14:paraId="434D26B7"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2025</w:t>
            </w:r>
          </w:p>
        </w:tc>
        <w:tc>
          <w:tcPr>
            <w:tcW w:w="1650" w:type="dxa"/>
            <w:tcBorders>
              <w:top w:val="nil"/>
              <w:left w:val="nil"/>
              <w:bottom w:val="single" w:sz="4" w:space="0" w:color="auto"/>
              <w:right w:val="single" w:sz="4" w:space="0" w:color="auto"/>
            </w:tcBorders>
            <w:shd w:val="clear" w:color="auto" w:fill="BFBFBF"/>
          </w:tcPr>
          <w:p w14:paraId="01D30C9B"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2026</w:t>
            </w:r>
          </w:p>
        </w:tc>
        <w:tc>
          <w:tcPr>
            <w:tcW w:w="1540" w:type="dxa"/>
            <w:tcBorders>
              <w:top w:val="nil"/>
              <w:left w:val="nil"/>
              <w:bottom w:val="single" w:sz="4" w:space="0" w:color="auto"/>
              <w:right w:val="single" w:sz="4" w:space="0" w:color="auto"/>
            </w:tcBorders>
            <w:shd w:val="clear" w:color="auto" w:fill="BFBFBF"/>
          </w:tcPr>
          <w:p w14:paraId="18974CC9"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2027</w:t>
            </w:r>
          </w:p>
        </w:tc>
        <w:tc>
          <w:tcPr>
            <w:tcW w:w="1540" w:type="dxa"/>
            <w:tcBorders>
              <w:top w:val="nil"/>
              <w:left w:val="nil"/>
              <w:bottom w:val="single" w:sz="4" w:space="0" w:color="auto"/>
              <w:right w:val="single" w:sz="4" w:space="0" w:color="auto"/>
            </w:tcBorders>
            <w:shd w:val="clear" w:color="auto" w:fill="BFBFBF"/>
          </w:tcPr>
          <w:p w14:paraId="7F697084"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0"/>
                <w:szCs w:val="20"/>
                <w:lang w:eastAsia="sk-SK"/>
              </w:rPr>
              <w:t>2028</w:t>
            </w:r>
          </w:p>
        </w:tc>
        <w:tc>
          <w:tcPr>
            <w:tcW w:w="1649" w:type="dxa"/>
            <w:vMerge/>
            <w:tcBorders>
              <w:top w:val="single" w:sz="4" w:space="0" w:color="auto"/>
              <w:left w:val="single" w:sz="4" w:space="0" w:color="auto"/>
              <w:bottom w:val="single" w:sz="4" w:space="0" w:color="auto"/>
              <w:right w:val="single" w:sz="4" w:space="0" w:color="auto"/>
            </w:tcBorders>
            <w:vAlign w:val="center"/>
          </w:tcPr>
          <w:p w14:paraId="0B0E8353" w14:textId="77777777" w:rsidR="00BD372F" w:rsidRPr="00BD372F" w:rsidRDefault="00BD372F" w:rsidP="00BD372F">
            <w:pPr>
              <w:spacing w:after="0" w:line="240" w:lineRule="auto"/>
              <w:rPr>
                <w:rFonts w:ascii="Times New Roman" w:hAnsi="Times New Roman"/>
                <w:b/>
                <w:bCs/>
                <w:color w:val="FFFFFF"/>
                <w:sz w:val="24"/>
                <w:szCs w:val="24"/>
                <w:lang w:eastAsia="sk-SK"/>
              </w:rPr>
            </w:pPr>
          </w:p>
        </w:tc>
      </w:tr>
      <w:tr w:rsidR="00BD372F" w:rsidRPr="00BD372F" w14:paraId="637FD588" w14:textId="77777777" w:rsidTr="00154BAB">
        <w:trPr>
          <w:trHeight w:val="255"/>
        </w:trPr>
        <w:tc>
          <w:tcPr>
            <w:tcW w:w="7070" w:type="dxa"/>
            <w:tcBorders>
              <w:top w:val="nil"/>
              <w:left w:val="single" w:sz="4" w:space="0" w:color="auto"/>
              <w:bottom w:val="single" w:sz="4" w:space="0" w:color="auto"/>
              <w:right w:val="single" w:sz="4" w:space="0" w:color="auto"/>
            </w:tcBorders>
          </w:tcPr>
          <w:p w14:paraId="4FBA0DFD" w14:textId="77777777" w:rsidR="00BD372F" w:rsidRPr="00BD372F" w:rsidRDefault="00BD372F" w:rsidP="00BD372F">
            <w:pPr>
              <w:spacing w:after="0" w:line="240" w:lineRule="auto"/>
              <w:rPr>
                <w:rFonts w:ascii="Times New Roman" w:hAnsi="Times New Roman"/>
                <w:b/>
                <w:bCs/>
                <w:sz w:val="20"/>
                <w:szCs w:val="20"/>
                <w:lang w:eastAsia="sk-SK"/>
              </w:rPr>
            </w:pPr>
            <w:r w:rsidRPr="00BD372F">
              <w:rPr>
                <w:rFonts w:ascii="Times New Roman" w:hAnsi="Times New Roman"/>
                <w:b/>
                <w:bCs/>
                <w:sz w:val="20"/>
                <w:szCs w:val="20"/>
                <w:lang w:eastAsia="sk-SK"/>
              </w:rPr>
              <w:t>Bežné výdavky (600)</w:t>
            </w:r>
          </w:p>
        </w:tc>
        <w:tc>
          <w:tcPr>
            <w:tcW w:w="1430" w:type="dxa"/>
            <w:tcBorders>
              <w:top w:val="nil"/>
              <w:left w:val="nil"/>
              <w:bottom w:val="single" w:sz="4" w:space="0" w:color="auto"/>
              <w:right w:val="single" w:sz="4" w:space="0" w:color="auto"/>
            </w:tcBorders>
          </w:tcPr>
          <w:p w14:paraId="2FB78298" w14:textId="77777777" w:rsidR="00BD372F" w:rsidRPr="00BD372F" w:rsidRDefault="00BD372F" w:rsidP="00BD372F">
            <w:pPr>
              <w:spacing w:after="0" w:line="240" w:lineRule="auto"/>
              <w:contextualSpacing/>
              <w:jc w:val="center"/>
              <w:rPr>
                <w:rFonts w:ascii="Times New Roman" w:hAnsi="Times New Roman"/>
                <w:b/>
                <w:bCs/>
                <w:sz w:val="20"/>
                <w:szCs w:val="20"/>
                <w:lang w:eastAsia="sk-SK"/>
              </w:rPr>
            </w:pPr>
            <w:r w:rsidRPr="00BD372F">
              <w:rPr>
                <w:rFonts w:ascii="Times New Roman" w:hAnsi="Times New Roman"/>
                <w:b/>
                <w:bCs/>
                <w:sz w:val="20"/>
                <w:szCs w:val="20"/>
                <w:lang w:eastAsia="sk-SK"/>
              </w:rPr>
              <w:t>-473 788</w:t>
            </w:r>
          </w:p>
        </w:tc>
        <w:tc>
          <w:tcPr>
            <w:tcW w:w="1650" w:type="dxa"/>
            <w:tcBorders>
              <w:top w:val="nil"/>
              <w:left w:val="nil"/>
              <w:bottom w:val="single" w:sz="4" w:space="0" w:color="auto"/>
              <w:right w:val="single" w:sz="4" w:space="0" w:color="auto"/>
            </w:tcBorders>
          </w:tcPr>
          <w:p w14:paraId="2E19D956"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-1 200 000</w:t>
            </w:r>
          </w:p>
        </w:tc>
        <w:tc>
          <w:tcPr>
            <w:tcW w:w="1540" w:type="dxa"/>
            <w:tcBorders>
              <w:top w:val="nil"/>
              <w:left w:val="nil"/>
              <w:bottom w:val="single" w:sz="4" w:space="0" w:color="auto"/>
              <w:right w:val="single" w:sz="4" w:space="0" w:color="auto"/>
            </w:tcBorders>
          </w:tcPr>
          <w:p w14:paraId="30B38319"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-2 400 000</w:t>
            </w:r>
          </w:p>
        </w:tc>
        <w:tc>
          <w:tcPr>
            <w:tcW w:w="1540" w:type="dxa"/>
            <w:tcBorders>
              <w:top w:val="nil"/>
              <w:left w:val="nil"/>
              <w:bottom w:val="single" w:sz="4" w:space="0" w:color="auto"/>
              <w:right w:val="single" w:sz="4" w:space="0" w:color="auto"/>
            </w:tcBorders>
          </w:tcPr>
          <w:p w14:paraId="71B91B2A"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-2 400 000</w:t>
            </w:r>
          </w:p>
        </w:tc>
        <w:tc>
          <w:tcPr>
            <w:tcW w:w="1649" w:type="dxa"/>
            <w:tcBorders>
              <w:top w:val="nil"/>
              <w:left w:val="nil"/>
              <w:bottom w:val="single" w:sz="4" w:space="0" w:color="auto"/>
              <w:right w:val="single" w:sz="4" w:space="0" w:color="auto"/>
            </w:tcBorders>
            <w:noWrap/>
            <w:vAlign w:val="bottom"/>
          </w:tcPr>
          <w:p w14:paraId="6554063A" w14:textId="77777777"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sz w:val="24"/>
                <w:szCs w:val="24"/>
                <w:lang w:eastAsia="sk-SK"/>
              </w:rPr>
              <w:t> </w:t>
            </w:r>
          </w:p>
        </w:tc>
      </w:tr>
      <w:tr w:rsidR="00BD372F" w:rsidRPr="00BD372F" w14:paraId="345E4825" w14:textId="77777777" w:rsidTr="00154BAB">
        <w:trPr>
          <w:trHeight w:val="255"/>
        </w:trPr>
        <w:tc>
          <w:tcPr>
            <w:tcW w:w="7070" w:type="dxa"/>
            <w:tcBorders>
              <w:top w:val="nil"/>
              <w:left w:val="single" w:sz="4" w:space="0" w:color="auto"/>
              <w:bottom w:val="single" w:sz="4" w:space="0" w:color="auto"/>
              <w:right w:val="single" w:sz="4" w:space="0" w:color="auto"/>
            </w:tcBorders>
          </w:tcPr>
          <w:p w14:paraId="3A2FA2EA" w14:textId="77777777" w:rsidR="00BD372F" w:rsidRPr="00BD372F" w:rsidRDefault="00BD372F" w:rsidP="00BD372F">
            <w:pPr>
              <w:spacing w:after="0" w:line="240" w:lineRule="auto"/>
              <w:rPr>
                <w:rFonts w:ascii="Times New Roman" w:hAnsi="Times New Roman"/>
                <w:sz w:val="20"/>
                <w:szCs w:val="20"/>
                <w:lang w:eastAsia="sk-SK"/>
              </w:rPr>
            </w:pPr>
            <w:r w:rsidRPr="00BD372F">
              <w:rPr>
                <w:rFonts w:ascii="Times New Roman" w:hAnsi="Times New Roman"/>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14:paraId="5089C30C"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1650" w:type="dxa"/>
            <w:tcBorders>
              <w:top w:val="nil"/>
              <w:left w:val="nil"/>
              <w:bottom w:val="single" w:sz="4" w:space="0" w:color="auto"/>
              <w:right w:val="single" w:sz="4" w:space="0" w:color="auto"/>
            </w:tcBorders>
          </w:tcPr>
          <w:p w14:paraId="500C8D9B"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14:paraId="0CA162E1"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14:paraId="265B16F9"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1649" w:type="dxa"/>
            <w:tcBorders>
              <w:top w:val="nil"/>
              <w:left w:val="nil"/>
              <w:bottom w:val="single" w:sz="4" w:space="0" w:color="auto"/>
              <w:right w:val="single" w:sz="4" w:space="0" w:color="auto"/>
            </w:tcBorders>
            <w:noWrap/>
            <w:vAlign w:val="bottom"/>
          </w:tcPr>
          <w:p w14:paraId="0F8D2201" w14:textId="77777777"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sz w:val="24"/>
                <w:szCs w:val="24"/>
                <w:lang w:eastAsia="sk-SK"/>
              </w:rPr>
              <w:t> </w:t>
            </w:r>
          </w:p>
        </w:tc>
      </w:tr>
      <w:tr w:rsidR="00BD372F" w:rsidRPr="00BD372F" w14:paraId="07C1D535" w14:textId="77777777" w:rsidTr="00154BAB">
        <w:trPr>
          <w:trHeight w:val="255"/>
        </w:trPr>
        <w:tc>
          <w:tcPr>
            <w:tcW w:w="7070" w:type="dxa"/>
            <w:tcBorders>
              <w:top w:val="nil"/>
              <w:left w:val="single" w:sz="4" w:space="0" w:color="auto"/>
              <w:bottom w:val="single" w:sz="4" w:space="0" w:color="auto"/>
              <w:right w:val="single" w:sz="4" w:space="0" w:color="auto"/>
            </w:tcBorders>
          </w:tcPr>
          <w:p w14:paraId="20028DBB" w14:textId="77777777" w:rsidR="00BD372F" w:rsidRPr="00BD372F" w:rsidRDefault="00BD372F" w:rsidP="00BD372F">
            <w:pPr>
              <w:spacing w:after="0" w:line="240" w:lineRule="auto"/>
              <w:rPr>
                <w:rFonts w:ascii="Times New Roman" w:hAnsi="Times New Roman"/>
                <w:sz w:val="20"/>
                <w:szCs w:val="20"/>
                <w:vertAlign w:val="superscript"/>
                <w:lang w:eastAsia="sk-SK"/>
              </w:rPr>
            </w:pPr>
            <w:r w:rsidRPr="00BD372F">
              <w:rPr>
                <w:rFonts w:ascii="Times New Roman" w:hAnsi="Times New Roman"/>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14:paraId="1D04140E"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1650" w:type="dxa"/>
            <w:tcBorders>
              <w:top w:val="nil"/>
              <w:left w:val="nil"/>
              <w:bottom w:val="single" w:sz="4" w:space="0" w:color="auto"/>
              <w:right w:val="single" w:sz="4" w:space="0" w:color="auto"/>
            </w:tcBorders>
          </w:tcPr>
          <w:p w14:paraId="40821DC0"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14:paraId="5ABC1F39"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14:paraId="7E06AAB1"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1649" w:type="dxa"/>
            <w:tcBorders>
              <w:top w:val="nil"/>
              <w:left w:val="nil"/>
              <w:bottom w:val="single" w:sz="4" w:space="0" w:color="auto"/>
              <w:right w:val="single" w:sz="4" w:space="0" w:color="auto"/>
            </w:tcBorders>
            <w:noWrap/>
            <w:vAlign w:val="bottom"/>
          </w:tcPr>
          <w:p w14:paraId="60CF3219" w14:textId="77777777"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sz w:val="24"/>
                <w:szCs w:val="24"/>
                <w:lang w:eastAsia="sk-SK"/>
              </w:rPr>
              <w:t> </w:t>
            </w:r>
          </w:p>
        </w:tc>
      </w:tr>
      <w:tr w:rsidR="00BD372F" w:rsidRPr="00BD372F" w14:paraId="14ECD001" w14:textId="77777777" w:rsidTr="00154BAB">
        <w:trPr>
          <w:trHeight w:val="255"/>
        </w:trPr>
        <w:tc>
          <w:tcPr>
            <w:tcW w:w="7070" w:type="dxa"/>
            <w:tcBorders>
              <w:top w:val="nil"/>
              <w:left w:val="single" w:sz="4" w:space="0" w:color="auto"/>
              <w:bottom w:val="single" w:sz="4" w:space="0" w:color="auto"/>
              <w:right w:val="single" w:sz="4" w:space="0" w:color="auto"/>
            </w:tcBorders>
          </w:tcPr>
          <w:p w14:paraId="321D09DA" w14:textId="77777777" w:rsidR="00BD372F" w:rsidRPr="00BD372F" w:rsidRDefault="00BD372F" w:rsidP="00BD372F">
            <w:pPr>
              <w:spacing w:after="0" w:line="240" w:lineRule="auto"/>
              <w:rPr>
                <w:rFonts w:ascii="Times New Roman" w:hAnsi="Times New Roman"/>
                <w:sz w:val="20"/>
                <w:szCs w:val="20"/>
                <w:lang w:eastAsia="sk-SK"/>
              </w:rPr>
            </w:pPr>
            <w:r w:rsidRPr="00BD372F">
              <w:rPr>
                <w:rFonts w:ascii="Times New Roman" w:hAnsi="Times New Roman"/>
                <w:sz w:val="20"/>
                <w:szCs w:val="20"/>
                <w:lang w:eastAsia="sk-SK"/>
              </w:rPr>
              <w:t xml:space="preserve">  Tovary a služby (630)</w:t>
            </w:r>
            <w:r w:rsidRPr="00BD372F">
              <w:rPr>
                <w:rFonts w:ascii="Times New Roman" w:hAnsi="Times New Roman"/>
                <w:sz w:val="20"/>
                <w:szCs w:val="20"/>
                <w:vertAlign w:val="superscript"/>
                <w:lang w:eastAsia="sk-SK"/>
              </w:rPr>
              <w:t>2</w:t>
            </w:r>
            <w:r w:rsidRPr="00BD372F">
              <w:rPr>
                <w:rFonts w:ascii="Times New Roman" w:hAnsi="Times New Roman"/>
                <w:sz w:val="20"/>
                <w:szCs w:val="20"/>
                <w:lang w:eastAsia="sk-SK"/>
              </w:rPr>
              <w:t xml:space="preserve"> – v tom 074 04 Výkon ďalších funkcií MF SR</w:t>
            </w:r>
          </w:p>
        </w:tc>
        <w:tc>
          <w:tcPr>
            <w:tcW w:w="1430" w:type="dxa"/>
            <w:tcBorders>
              <w:top w:val="nil"/>
              <w:left w:val="nil"/>
              <w:bottom w:val="single" w:sz="4" w:space="0" w:color="auto"/>
              <w:right w:val="single" w:sz="4" w:space="0" w:color="auto"/>
            </w:tcBorders>
          </w:tcPr>
          <w:p w14:paraId="1F0FC17F"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Times New Roman" w:hAnsi="Times New Roman"/>
                <w:sz w:val="20"/>
                <w:szCs w:val="20"/>
                <w:lang w:eastAsia="sk-SK"/>
              </w:rPr>
              <w:t>-473 788</w:t>
            </w:r>
          </w:p>
        </w:tc>
        <w:tc>
          <w:tcPr>
            <w:tcW w:w="1650" w:type="dxa"/>
            <w:tcBorders>
              <w:top w:val="nil"/>
              <w:left w:val="nil"/>
              <w:bottom w:val="single" w:sz="4" w:space="0" w:color="auto"/>
              <w:right w:val="single" w:sz="4" w:space="0" w:color="auto"/>
            </w:tcBorders>
          </w:tcPr>
          <w:p w14:paraId="3A7EDBAF"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Times New Roman" w:hAnsi="Times New Roman"/>
                <w:sz w:val="20"/>
                <w:szCs w:val="20"/>
                <w:lang w:eastAsia="sk-SK"/>
              </w:rPr>
              <w:t>-1 200 000</w:t>
            </w:r>
          </w:p>
        </w:tc>
        <w:tc>
          <w:tcPr>
            <w:tcW w:w="1540" w:type="dxa"/>
            <w:tcBorders>
              <w:top w:val="nil"/>
              <w:left w:val="nil"/>
              <w:bottom w:val="single" w:sz="4" w:space="0" w:color="auto"/>
              <w:right w:val="single" w:sz="4" w:space="0" w:color="auto"/>
            </w:tcBorders>
          </w:tcPr>
          <w:p w14:paraId="2FBEAB68"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Times New Roman" w:hAnsi="Times New Roman"/>
                <w:sz w:val="20"/>
                <w:szCs w:val="20"/>
                <w:lang w:eastAsia="sk-SK"/>
              </w:rPr>
              <w:t>-2 400 000</w:t>
            </w:r>
          </w:p>
        </w:tc>
        <w:tc>
          <w:tcPr>
            <w:tcW w:w="1540" w:type="dxa"/>
            <w:tcBorders>
              <w:top w:val="nil"/>
              <w:left w:val="nil"/>
              <w:bottom w:val="single" w:sz="4" w:space="0" w:color="auto"/>
              <w:right w:val="single" w:sz="4" w:space="0" w:color="auto"/>
            </w:tcBorders>
          </w:tcPr>
          <w:p w14:paraId="40C27EA9"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Times New Roman" w:hAnsi="Times New Roman"/>
                <w:sz w:val="20"/>
                <w:szCs w:val="20"/>
                <w:lang w:eastAsia="sk-SK"/>
              </w:rPr>
              <w:t>-2 400 000</w:t>
            </w:r>
          </w:p>
        </w:tc>
        <w:tc>
          <w:tcPr>
            <w:tcW w:w="1649" w:type="dxa"/>
            <w:tcBorders>
              <w:top w:val="nil"/>
              <w:left w:val="nil"/>
              <w:bottom w:val="single" w:sz="4" w:space="0" w:color="auto"/>
              <w:right w:val="single" w:sz="4" w:space="0" w:color="auto"/>
            </w:tcBorders>
            <w:noWrap/>
            <w:vAlign w:val="bottom"/>
          </w:tcPr>
          <w:p w14:paraId="0081F6FC" w14:textId="77777777"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sz w:val="24"/>
                <w:szCs w:val="24"/>
                <w:lang w:eastAsia="sk-SK"/>
              </w:rPr>
              <w:t> </w:t>
            </w:r>
          </w:p>
        </w:tc>
      </w:tr>
      <w:tr w:rsidR="00BD372F" w:rsidRPr="00BD372F" w14:paraId="6100F181" w14:textId="77777777" w:rsidTr="00154BAB">
        <w:trPr>
          <w:trHeight w:val="255"/>
        </w:trPr>
        <w:tc>
          <w:tcPr>
            <w:tcW w:w="7070" w:type="dxa"/>
            <w:tcBorders>
              <w:top w:val="nil"/>
              <w:left w:val="single" w:sz="4" w:space="0" w:color="auto"/>
              <w:bottom w:val="single" w:sz="4" w:space="0" w:color="auto"/>
              <w:right w:val="single" w:sz="4" w:space="0" w:color="auto"/>
            </w:tcBorders>
          </w:tcPr>
          <w:p w14:paraId="5BF48184" w14:textId="77777777" w:rsidR="00BD372F" w:rsidRPr="00BD372F" w:rsidRDefault="00BD372F" w:rsidP="00BD372F">
            <w:pPr>
              <w:spacing w:after="0" w:line="240" w:lineRule="auto"/>
              <w:rPr>
                <w:rFonts w:ascii="Times New Roman" w:hAnsi="Times New Roman"/>
                <w:sz w:val="20"/>
                <w:szCs w:val="20"/>
                <w:lang w:eastAsia="sk-SK"/>
              </w:rPr>
            </w:pPr>
            <w:r w:rsidRPr="00BD372F">
              <w:rPr>
                <w:rFonts w:ascii="Times New Roman" w:hAnsi="Times New Roman"/>
                <w:sz w:val="20"/>
                <w:szCs w:val="20"/>
                <w:lang w:eastAsia="sk-SK"/>
              </w:rPr>
              <w:t xml:space="preserve">  Bežné transfery (640)</w:t>
            </w:r>
            <w:r w:rsidRPr="00BD372F">
              <w:rPr>
                <w:rFonts w:ascii="Times New Roman" w:hAnsi="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4E199169"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1650" w:type="dxa"/>
            <w:tcBorders>
              <w:top w:val="nil"/>
              <w:left w:val="nil"/>
              <w:bottom w:val="single" w:sz="4" w:space="0" w:color="auto"/>
              <w:right w:val="single" w:sz="4" w:space="0" w:color="auto"/>
            </w:tcBorders>
          </w:tcPr>
          <w:p w14:paraId="45EC533E"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14:paraId="16425328"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14:paraId="097CF303"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1649" w:type="dxa"/>
            <w:tcBorders>
              <w:top w:val="nil"/>
              <w:left w:val="nil"/>
              <w:bottom w:val="single" w:sz="4" w:space="0" w:color="auto"/>
              <w:right w:val="single" w:sz="4" w:space="0" w:color="auto"/>
            </w:tcBorders>
            <w:noWrap/>
            <w:vAlign w:val="bottom"/>
          </w:tcPr>
          <w:p w14:paraId="19836686" w14:textId="77777777"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sz w:val="24"/>
                <w:szCs w:val="24"/>
                <w:lang w:eastAsia="sk-SK"/>
              </w:rPr>
              <w:t> </w:t>
            </w:r>
          </w:p>
        </w:tc>
      </w:tr>
      <w:tr w:rsidR="00BD372F" w:rsidRPr="00BD372F" w14:paraId="7C402623" w14:textId="77777777" w:rsidTr="00154BAB">
        <w:trPr>
          <w:trHeight w:val="255"/>
        </w:trPr>
        <w:tc>
          <w:tcPr>
            <w:tcW w:w="7070" w:type="dxa"/>
            <w:tcBorders>
              <w:top w:val="nil"/>
              <w:left w:val="single" w:sz="4" w:space="0" w:color="auto"/>
              <w:bottom w:val="single" w:sz="4" w:space="0" w:color="auto"/>
              <w:right w:val="single" w:sz="4" w:space="0" w:color="auto"/>
            </w:tcBorders>
            <w:vAlign w:val="center"/>
          </w:tcPr>
          <w:p w14:paraId="7C3DBEFF" w14:textId="77777777" w:rsidR="00BD372F" w:rsidRPr="00BD372F" w:rsidRDefault="00BD372F" w:rsidP="00BD372F">
            <w:pPr>
              <w:spacing w:after="0" w:line="240" w:lineRule="auto"/>
              <w:rPr>
                <w:rFonts w:ascii="Times New Roman" w:hAnsi="Times New Roman"/>
                <w:sz w:val="20"/>
                <w:szCs w:val="20"/>
                <w:lang w:eastAsia="sk-SK"/>
              </w:rPr>
            </w:pPr>
            <w:r w:rsidRPr="00BD372F">
              <w:rPr>
                <w:rFonts w:ascii="Times New Roman" w:hAnsi="Times New Roman"/>
                <w:sz w:val="20"/>
                <w:szCs w:val="20"/>
                <w:lang w:eastAsia="sk-SK"/>
              </w:rPr>
              <w:t xml:space="preserve">  Splácanie úrokov a ostatné platby súvisiace s </w:t>
            </w:r>
            <w:r w:rsidRPr="00BD372F">
              <w:rPr>
                <w:rFonts w:ascii="Calibri" w:eastAsia="Calibri" w:hAnsi="Calibri"/>
                <w:szCs w:val="22"/>
              </w:rPr>
              <w:t xml:space="preserve"> </w:t>
            </w:r>
            <w:r w:rsidRPr="00BD372F">
              <w:rPr>
                <w:rFonts w:ascii="Times New Roman" w:hAnsi="Times New Roman"/>
                <w:sz w:val="20"/>
                <w:szCs w:val="20"/>
                <w:lang w:eastAsia="sk-SK"/>
              </w:rPr>
              <w:t>úverom, pôžičkou, návratnou finančnou výpomocou a finančným prenájmom (650)</w:t>
            </w:r>
            <w:r w:rsidRPr="00BD372F">
              <w:rPr>
                <w:rFonts w:ascii="Times New Roman" w:hAnsi="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67D5345F"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1650" w:type="dxa"/>
            <w:tcBorders>
              <w:top w:val="nil"/>
              <w:left w:val="nil"/>
              <w:bottom w:val="single" w:sz="4" w:space="0" w:color="auto"/>
              <w:right w:val="single" w:sz="4" w:space="0" w:color="auto"/>
            </w:tcBorders>
          </w:tcPr>
          <w:p w14:paraId="7947048A"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14:paraId="34860EC8"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14:paraId="15F1D0D2"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1649" w:type="dxa"/>
            <w:tcBorders>
              <w:top w:val="nil"/>
              <w:left w:val="nil"/>
              <w:bottom w:val="single" w:sz="4" w:space="0" w:color="auto"/>
              <w:right w:val="single" w:sz="4" w:space="0" w:color="auto"/>
            </w:tcBorders>
            <w:noWrap/>
            <w:vAlign w:val="bottom"/>
          </w:tcPr>
          <w:p w14:paraId="78E4CAAC" w14:textId="77777777" w:rsidR="00BD372F" w:rsidRPr="00BD372F" w:rsidRDefault="00BD372F" w:rsidP="00BD372F">
            <w:pPr>
              <w:spacing w:after="0" w:line="240" w:lineRule="auto"/>
              <w:rPr>
                <w:rFonts w:ascii="Times New Roman" w:hAnsi="Times New Roman"/>
                <w:sz w:val="24"/>
                <w:szCs w:val="24"/>
                <w:lang w:eastAsia="sk-SK"/>
              </w:rPr>
            </w:pPr>
          </w:p>
        </w:tc>
      </w:tr>
      <w:tr w:rsidR="00BD372F" w:rsidRPr="00BD372F" w14:paraId="2B27DF85" w14:textId="77777777" w:rsidTr="00154BAB">
        <w:trPr>
          <w:trHeight w:val="255"/>
        </w:trPr>
        <w:tc>
          <w:tcPr>
            <w:tcW w:w="7070" w:type="dxa"/>
            <w:tcBorders>
              <w:top w:val="nil"/>
              <w:left w:val="single" w:sz="4" w:space="0" w:color="auto"/>
              <w:bottom w:val="single" w:sz="4" w:space="0" w:color="auto"/>
              <w:right w:val="single" w:sz="4" w:space="0" w:color="auto"/>
            </w:tcBorders>
          </w:tcPr>
          <w:p w14:paraId="4403FE15" w14:textId="77777777" w:rsidR="00BD372F" w:rsidRPr="00BD372F" w:rsidRDefault="00BD372F" w:rsidP="00BD372F">
            <w:pPr>
              <w:spacing w:after="0" w:line="240" w:lineRule="auto"/>
              <w:rPr>
                <w:rFonts w:ascii="Times New Roman" w:hAnsi="Times New Roman"/>
                <w:b/>
                <w:bCs/>
                <w:sz w:val="20"/>
                <w:szCs w:val="20"/>
                <w:lang w:eastAsia="sk-SK"/>
              </w:rPr>
            </w:pPr>
            <w:r w:rsidRPr="00BD372F">
              <w:rPr>
                <w:rFonts w:ascii="Times New Roman" w:hAnsi="Times New Roman"/>
                <w:b/>
                <w:bCs/>
                <w:sz w:val="20"/>
                <w:szCs w:val="20"/>
                <w:lang w:eastAsia="sk-SK"/>
              </w:rPr>
              <w:t>Kapitálové výdavky (700)</w:t>
            </w:r>
          </w:p>
        </w:tc>
        <w:tc>
          <w:tcPr>
            <w:tcW w:w="1430" w:type="dxa"/>
            <w:tcBorders>
              <w:top w:val="nil"/>
              <w:left w:val="nil"/>
              <w:bottom w:val="single" w:sz="4" w:space="0" w:color="auto"/>
              <w:right w:val="single" w:sz="4" w:space="0" w:color="auto"/>
            </w:tcBorders>
          </w:tcPr>
          <w:p w14:paraId="68373EB9"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0</w:t>
            </w:r>
          </w:p>
        </w:tc>
        <w:tc>
          <w:tcPr>
            <w:tcW w:w="1650" w:type="dxa"/>
            <w:tcBorders>
              <w:top w:val="nil"/>
              <w:left w:val="nil"/>
              <w:bottom w:val="single" w:sz="4" w:space="0" w:color="auto"/>
              <w:right w:val="single" w:sz="4" w:space="0" w:color="auto"/>
            </w:tcBorders>
          </w:tcPr>
          <w:p w14:paraId="2A6E29E8"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cPr>
          <w:p w14:paraId="5F4A75EE"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cPr>
          <w:p w14:paraId="469B24B2"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0</w:t>
            </w:r>
          </w:p>
        </w:tc>
        <w:tc>
          <w:tcPr>
            <w:tcW w:w="1649" w:type="dxa"/>
            <w:tcBorders>
              <w:top w:val="nil"/>
              <w:left w:val="nil"/>
              <w:bottom w:val="single" w:sz="4" w:space="0" w:color="auto"/>
              <w:right w:val="single" w:sz="4" w:space="0" w:color="auto"/>
            </w:tcBorders>
            <w:noWrap/>
            <w:vAlign w:val="bottom"/>
          </w:tcPr>
          <w:p w14:paraId="48DB9675" w14:textId="77777777"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sz w:val="24"/>
                <w:szCs w:val="24"/>
                <w:lang w:eastAsia="sk-SK"/>
              </w:rPr>
              <w:t> </w:t>
            </w:r>
          </w:p>
        </w:tc>
      </w:tr>
      <w:tr w:rsidR="00BD372F" w:rsidRPr="00BD372F" w14:paraId="3CC44E79" w14:textId="77777777" w:rsidTr="00154BAB">
        <w:trPr>
          <w:trHeight w:val="255"/>
        </w:trPr>
        <w:tc>
          <w:tcPr>
            <w:tcW w:w="7070" w:type="dxa"/>
            <w:tcBorders>
              <w:top w:val="nil"/>
              <w:left w:val="single" w:sz="4" w:space="0" w:color="auto"/>
              <w:bottom w:val="single" w:sz="4" w:space="0" w:color="auto"/>
              <w:right w:val="single" w:sz="4" w:space="0" w:color="auto"/>
            </w:tcBorders>
          </w:tcPr>
          <w:p w14:paraId="33B6C310" w14:textId="77777777" w:rsidR="00BD372F" w:rsidRPr="00BD372F" w:rsidRDefault="00BD372F" w:rsidP="00BD372F">
            <w:pPr>
              <w:spacing w:after="0" w:line="240" w:lineRule="auto"/>
              <w:rPr>
                <w:rFonts w:ascii="Times New Roman" w:hAnsi="Times New Roman"/>
                <w:sz w:val="20"/>
                <w:szCs w:val="20"/>
                <w:lang w:eastAsia="sk-SK"/>
              </w:rPr>
            </w:pPr>
            <w:r w:rsidRPr="00BD372F">
              <w:rPr>
                <w:rFonts w:ascii="Times New Roman" w:hAnsi="Times New Roman"/>
                <w:sz w:val="20"/>
                <w:szCs w:val="20"/>
                <w:lang w:eastAsia="sk-SK"/>
              </w:rPr>
              <w:t xml:space="preserve">  Obstarávanie kapitálových aktív (710)</w:t>
            </w:r>
            <w:r w:rsidRPr="00BD372F">
              <w:rPr>
                <w:rFonts w:ascii="Times New Roman" w:hAnsi="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05661D2D"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1650" w:type="dxa"/>
            <w:tcBorders>
              <w:top w:val="nil"/>
              <w:left w:val="nil"/>
              <w:bottom w:val="single" w:sz="4" w:space="0" w:color="auto"/>
              <w:right w:val="single" w:sz="4" w:space="0" w:color="auto"/>
            </w:tcBorders>
          </w:tcPr>
          <w:p w14:paraId="3979EB17"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14:paraId="153C9D7C"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14:paraId="51726680"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1649" w:type="dxa"/>
            <w:tcBorders>
              <w:top w:val="nil"/>
              <w:left w:val="nil"/>
              <w:bottom w:val="single" w:sz="4" w:space="0" w:color="auto"/>
              <w:right w:val="single" w:sz="4" w:space="0" w:color="auto"/>
            </w:tcBorders>
            <w:noWrap/>
            <w:vAlign w:val="bottom"/>
          </w:tcPr>
          <w:p w14:paraId="2CD32F24" w14:textId="77777777"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sz w:val="24"/>
                <w:szCs w:val="24"/>
                <w:lang w:eastAsia="sk-SK"/>
              </w:rPr>
              <w:t> </w:t>
            </w:r>
          </w:p>
        </w:tc>
      </w:tr>
      <w:tr w:rsidR="00BD372F" w:rsidRPr="00BD372F" w14:paraId="07015839" w14:textId="77777777" w:rsidTr="00154BAB">
        <w:trPr>
          <w:trHeight w:val="255"/>
        </w:trPr>
        <w:tc>
          <w:tcPr>
            <w:tcW w:w="7070" w:type="dxa"/>
            <w:tcBorders>
              <w:top w:val="nil"/>
              <w:left w:val="single" w:sz="4" w:space="0" w:color="auto"/>
              <w:bottom w:val="single" w:sz="4" w:space="0" w:color="auto"/>
              <w:right w:val="single" w:sz="4" w:space="0" w:color="auto"/>
            </w:tcBorders>
          </w:tcPr>
          <w:p w14:paraId="52033BFE" w14:textId="77777777" w:rsidR="00BD372F" w:rsidRPr="00BD372F" w:rsidRDefault="00BD372F" w:rsidP="00BD372F">
            <w:pPr>
              <w:spacing w:after="0" w:line="240" w:lineRule="auto"/>
              <w:rPr>
                <w:rFonts w:ascii="Times New Roman" w:hAnsi="Times New Roman"/>
                <w:sz w:val="20"/>
                <w:szCs w:val="20"/>
                <w:lang w:eastAsia="sk-SK"/>
              </w:rPr>
            </w:pPr>
            <w:r w:rsidRPr="00BD372F">
              <w:rPr>
                <w:rFonts w:ascii="Times New Roman" w:hAnsi="Times New Roman"/>
                <w:sz w:val="20"/>
                <w:szCs w:val="20"/>
                <w:lang w:eastAsia="sk-SK"/>
              </w:rPr>
              <w:t xml:space="preserve">  Kapitálové transfery (720)</w:t>
            </w:r>
            <w:r w:rsidRPr="00BD372F">
              <w:rPr>
                <w:rFonts w:ascii="Times New Roman" w:hAnsi="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6121566A"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1650" w:type="dxa"/>
            <w:tcBorders>
              <w:top w:val="nil"/>
              <w:left w:val="nil"/>
              <w:bottom w:val="single" w:sz="4" w:space="0" w:color="auto"/>
              <w:right w:val="single" w:sz="4" w:space="0" w:color="auto"/>
            </w:tcBorders>
          </w:tcPr>
          <w:p w14:paraId="56FD03DD"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14:paraId="438A0994"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14:paraId="219E59DE" w14:textId="77777777" w:rsidR="00BD372F" w:rsidRPr="00BD372F" w:rsidRDefault="00BD372F" w:rsidP="00BD372F">
            <w:pPr>
              <w:spacing w:after="0" w:line="240" w:lineRule="auto"/>
              <w:jc w:val="center"/>
              <w:rPr>
                <w:rFonts w:ascii="Times New Roman" w:hAnsi="Times New Roman"/>
                <w:sz w:val="20"/>
                <w:szCs w:val="20"/>
                <w:lang w:eastAsia="sk-SK"/>
              </w:rPr>
            </w:pPr>
          </w:p>
        </w:tc>
        <w:tc>
          <w:tcPr>
            <w:tcW w:w="1649" w:type="dxa"/>
            <w:tcBorders>
              <w:top w:val="nil"/>
              <w:left w:val="nil"/>
              <w:bottom w:val="single" w:sz="4" w:space="0" w:color="auto"/>
              <w:right w:val="single" w:sz="4" w:space="0" w:color="auto"/>
            </w:tcBorders>
            <w:noWrap/>
            <w:vAlign w:val="bottom"/>
          </w:tcPr>
          <w:p w14:paraId="52EA7117" w14:textId="77777777"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sz w:val="24"/>
                <w:szCs w:val="24"/>
                <w:lang w:eastAsia="sk-SK"/>
              </w:rPr>
              <w:t> </w:t>
            </w:r>
          </w:p>
        </w:tc>
      </w:tr>
      <w:tr w:rsidR="00BD372F" w:rsidRPr="00BD372F" w14:paraId="22CA0474" w14:textId="77777777" w:rsidTr="00154BAB">
        <w:trPr>
          <w:trHeight w:val="255"/>
        </w:trPr>
        <w:tc>
          <w:tcPr>
            <w:tcW w:w="7070" w:type="dxa"/>
            <w:tcBorders>
              <w:top w:val="nil"/>
              <w:left w:val="single" w:sz="4" w:space="0" w:color="auto"/>
              <w:bottom w:val="single" w:sz="4" w:space="0" w:color="auto"/>
              <w:right w:val="single" w:sz="4" w:space="0" w:color="auto"/>
            </w:tcBorders>
          </w:tcPr>
          <w:p w14:paraId="59A24684" w14:textId="77777777" w:rsidR="00BD372F" w:rsidRPr="00BD372F" w:rsidRDefault="00BD372F" w:rsidP="00BD372F">
            <w:pPr>
              <w:spacing w:after="0" w:line="240" w:lineRule="auto"/>
              <w:rPr>
                <w:rFonts w:ascii="Times New Roman" w:hAnsi="Times New Roman"/>
                <w:b/>
                <w:bCs/>
                <w:sz w:val="20"/>
                <w:szCs w:val="20"/>
                <w:lang w:eastAsia="sk-SK"/>
              </w:rPr>
            </w:pPr>
            <w:r w:rsidRPr="00BD372F">
              <w:rPr>
                <w:rFonts w:ascii="Times New Roman" w:hAnsi="Times New Roman"/>
                <w:b/>
                <w:bCs/>
                <w:sz w:val="20"/>
                <w:szCs w:val="20"/>
                <w:lang w:eastAsia="sk-SK"/>
              </w:rPr>
              <w:t>Výdavky z transakcií s finančnými aktívami a finančnými pasívami (800)</w:t>
            </w:r>
          </w:p>
        </w:tc>
        <w:tc>
          <w:tcPr>
            <w:tcW w:w="1430" w:type="dxa"/>
            <w:tcBorders>
              <w:top w:val="nil"/>
              <w:left w:val="nil"/>
              <w:bottom w:val="single" w:sz="4" w:space="0" w:color="auto"/>
              <w:right w:val="single" w:sz="4" w:space="0" w:color="auto"/>
            </w:tcBorders>
          </w:tcPr>
          <w:p w14:paraId="41781E8E"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 </w:t>
            </w:r>
          </w:p>
        </w:tc>
        <w:tc>
          <w:tcPr>
            <w:tcW w:w="1650" w:type="dxa"/>
            <w:tcBorders>
              <w:top w:val="nil"/>
              <w:left w:val="nil"/>
              <w:bottom w:val="single" w:sz="4" w:space="0" w:color="auto"/>
              <w:right w:val="single" w:sz="4" w:space="0" w:color="auto"/>
            </w:tcBorders>
          </w:tcPr>
          <w:p w14:paraId="3838F6F1"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tcPr>
          <w:p w14:paraId="7C664EB8"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tcPr>
          <w:p w14:paraId="7BE6DA82"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hAnsi="Times New Roman"/>
                <w:b/>
                <w:bCs/>
                <w:sz w:val="20"/>
                <w:szCs w:val="20"/>
                <w:lang w:eastAsia="sk-SK"/>
              </w:rPr>
              <w:t> </w:t>
            </w:r>
          </w:p>
        </w:tc>
        <w:tc>
          <w:tcPr>
            <w:tcW w:w="1649" w:type="dxa"/>
            <w:tcBorders>
              <w:top w:val="nil"/>
              <w:left w:val="nil"/>
              <w:bottom w:val="single" w:sz="4" w:space="0" w:color="auto"/>
              <w:right w:val="single" w:sz="4" w:space="0" w:color="auto"/>
            </w:tcBorders>
            <w:noWrap/>
            <w:vAlign w:val="bottom"/>
          </w:tcPr>
          <w:p w14:paraId="62599C32" w14:textId="77777777"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sz w:val="24"/>
                <w:szCs w:val="24"/>
                <w:lang w:eastAsia="sk-SK"/>
              </w:rPr>
              <w:t> </w:t>
            </w:r>
          </w:p>
        </w:tc>
      </w:tr>
      <w:tr w:rsidR="00BD372F" w:rsidRPr="00BD372F" w14:paraId="779CDE06" w14:textId="77777777" w:rsidTr="00BD372F">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cPr>
          <w:p w14:paraId="3B19AB43" w14:textId="77777777" w:rsidR="00BD372F" w:rsidRPr="00BD372F" w:rsidRDefault="00BD372F" w:rsidP="00BD372F">
            <w:pPr>
              <w:spacing w:after="0" w:line="240" w:lineRule="auto"/>
              <w:rPr>
                <w:rFonts w:ascii="Times New Roman" w:hAnsi="Times New Roman"/>
                <w:b/>
                <w:bCs/>
                <w:sz w:val="20"/>
                <w:szCs w:val="20"/>
                <w:lang w:eastAsia="sk-SK"/>
              </w:rPr>
            </w:pPr>
            <w:r w:rsidRPr="00BD372F">
              <w:rPr>
                <w:rFonts w:ascii="Times New Roman" w:hAnsi="Times New Roman"/>
                <w:b/>
                <w:bCs/>
                <w:sz w:val="20"/>
                <w:szCs w:val="20"/>
                <w:lang w:eastAsia="sk-SK"/>
              </w:rPr>
              <w:t>Vplyv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cPr>
          <w:p w14:paraId="62CBEA00"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eastAsia="Calibri" w:hAnsi="Times New Roman"/>
                <w:b/>
                <w:sz w:val="20"/>
                <w:szCs w:val="20"/>
              </w:rPr>
              <w:t>-473 788</w:t>
            </w:r>
          </w:p>
        </w:tc>
        <w:tc>
          <w:tcPr>
            <w:tcW w:w="1650" w:type="dxa"/>
            <w:tcBorders>
              <w:top w:val="single" w:sz="4" w:space="0" w:color="auto"/>
              <w:left w:val="nil"/>
              <w:bottom w:val="single" w:sz="4" w:space="0" w:color="auto"/>
              <w:right w:val="single" w:sz="4" w:space="0" w:color="auto"/>
            </w:tcBorders>
            <w:shd w:val="clear" w:color="auto" w:fill="BFBFBF"/>
          </w:tcPr>
          <w:p w14:paraId="43DCF8D6"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eastAsia="Calibri" w:hAnsi="Times New Roman"/>
                <w:b/>
                <w:sz w:val="20"/>
                <w:szCs w:val="20"/>
              </w:rPr>
              <w:t>-1 200 000</w:t>
            </w:r>
          </w:p>
        </w:tc>
        <w:tc>
          <w:tcPr>
            <w:tcW w:w="1540" w:type="dxa"/>
            <w:tcBorders>
              <w:top w:val="single" w:sz="4" w:space="0" w:color="auto"/>
              <w:left w:val="nil"/>
              <w:bottom w:val="single" w:sz="4" w:space="0" w:color="auto"/>
              <w:right w:val="single" w:sz="4" w:space="0" w:color="auto"/>
            </w:tcBorders>
            <w:shd w:val="clear" w:color="auto" w:fill="BFBFBF"/>
          </w:tcPr>
          <w:p w14:paraId="0F4306BB"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eastAsia="Calibri" w:hAnsi="Times New Roman"/>
                <w:b/>
                <w:sz w:val="20"/>
                <w:szCs w:val="20"/>
              </w:rPr>
              <w:t>-2 400 000</w:t>
            </w:r>
          </w:p>
        </w:tc>
        <w:tc>
          <w:tcPr>
            <w:tcW w:w="1540" w:type="dxa"/>
            <w:tcBorders>
              <w:top w:val="single" w:sz="4" w:space="0" w:color="auto"/>
              <w:left w:val="nil"/>
              <w:bottom w:val="single" w:sz="4" w:space="0" w:color="auto"/>
              <w:right w:val="single" w:sz="4" w:space="0" w:color="auto"/>
            </w:tcBorders>
            <w:shd w:val="clear" w:color="auto" w:fill="BFBFBF"/>
          </w:tcPr>
          <w:p w14:paraId="1965F75F" w14:textId="77777777" w:rsidR="00BD372F" w:rsidRPr="00BD372F" w:rsidRDefault="00BD372F" w:rsidP="00BD372F">
            <w:pPr>
              <w:spacing w:after="0" w:line="240" w:lineRule="auto"/>
              <w:jc w:val="center"/>
              <w:rPr>
                <w:rFonts w:ascii="Times New Roman" w:hAnsi="Times New Roman"/>
                <w:b/>
                <w:bCs/>
                <w:sz w:val="20"/>
                <w:szCs w:val="20"/>
                <w:lang w:eastAsia="sk-SK"/>
              </w:rPr>
            </w:pPr>
            <w:r w:rsidRPr="00BD372F">
              <w:rPr>
                <w:rFonts w:ascii="Times New Roman" w:eastAsia="Calibri" w:hAnsi="Times New Roman"/>
                <w:b/>
                <w:sz w:val="20"/>
                <w:szCs w:val="20"/>
              </w:rPr>
              <w:t>-2 400 000</w:t>
            </w:r>
          </w:p>
        </w:tc>
        <w:tc>
          <w:tcPr>
            <w:tcW w:w="1649" w:type="dxa"/>
            <w:tcBorders>
              <w:top w:val="single" w:sz="4" w:space="0" w:color="auto"/>
              <w:left w:val="nil"/>
              <w:bottom w:val="single" w:sz="4" w:space="0" w:color="auto"/>
              <w:right w:val="single" w:sz="4" w:space="0" w:color="auto"/>
            </w:tcBorders>
            <w:shd w:val="clear" w:color="auto" w:fill="BFBFBF"/>
            <w:noWrap/>
            <w:vAlign w:val="bottom"/>
          </w:tcPr>
          <w:p w14:paraId="77CFBD44" w14:textId="77777777"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sz w:val="24"/>
                <w:szCs w:val="24"/>
                <w:lang w:eastAsia="sk-SK"/>
              </w:rPr>
              <w:t> </w:t>
            </w:r>
          </w:p>
        </w:tc>
      </w:tr>
    </w:tbl>
    <w:p w14:paraId="57FE83FD" w14:textId="18F0D6A5" w:rsidR="00BD372F" w:rsidRPr="00BD372F" w:rsidRDefault="00BD372F" w:rsidP="00681B35">
      <w:pPr>
        <w:spacing w:after="0" w:line="240" w:lineRule="auto"/>
        <w:ind w:left="-709"/>
        <w:jc w:val="both"/>
        <w:rPr>
          <w:rFonts w:ascii="Times New Roman" w:hAnsi="Times New Roman"/>
          <w:bCs/>
          <w:sz w:val="20"/>
          <w:szCs w:val="20"/>
          <w:lang w:eastAsia="sk-SK"/>
        </w:rPr>
      </w:pPr>
      <w:r w:rsidRPr="00BD372F">
        <w:rPr>
          <w:rFonts w:ascii="Times New Roman" w:hAnsi="Times New Roman"/>
          <w:bCs/>
          <w:sz w:val="20"/>
          <w:szCs w:val="20"/>
          <w:lang w:eastAsia="sk-SK"/>
        </w:rPr>
        <w:t>2 –  výdavky rozpísať až do položiek platnej ekonomickej klasifikácie</w:t>
      </w:r>
    </w:p>
    <w:p w14:paraId="5A1A6BD5" w14:textId="77777777" w:rsidR="00BD372F" w:rsidRPr="00BD372F" w:rsidRDefault="00BD372F" w:rsidP="00BD372F">
      <w:pPr>
        <w:spacing w:after="0" w:line="240" w:lineRule="auto"/>
        <w:jc w:val="both"/>
        <w:rPr>
          <w:rFonts w:ascii="Times New Roman" w:hAnsi="Times New Roman"/>
          <w:bCs/>
          <w:sz w:val="20"/>
          <w:szCs w:val="20"/>
          <w:lang w:eastAsia="sk-SK"/>
        </w:rPr>
      </w:pPr>
    </w:p>
    <w:p w14:paraId="42A7ABF0" w14:textId="77777777" w:rsidR="00BD372F" w:rsidRPr="00BD372F" w:rsidRDefault="00BD372F" w:rsidP="00BD372F">
      <w:pPr>
        <w:spacing w:after="0" w:line="240" w:lineRule="auto"/>
        <w:jc w:val="both"/>
        <w:rPr>
          <w:rFonts w:ascii="Times New Roman" w:hAnsi="Times New Roman"/>
          <w:bCs/>
          <w:sz w:val="20"/>
          <w:szCs w:val="20"/>
          <w:lang w:eastAsia="sk-SK"/>
        </w:rPr>
      </w:pPr>
    </w:p>
    <w:p w14:paraId="357BDCB2" w14:textId="77777777" w:rsidR="00BD372F" w:rsidRPr="00BD372F" w:rsidRDefault="00BD372F" w:rsidP="00BD372F">
      <w:pPr>
        <w:spacing w:after="0" w:line="240" w:lineRule="auto"/>
        <w:jc w:val="both"/>
        <w:rPr>
          <w:rFonts w:ascii="Times New Roman" w:hAnsi="Times New Roman"/>
          <w:bCs/>
          <w:sz w:val="20"/>
          <w:szCs w:val="20"/>
          <w:lang w:eastAsia="sk-SK"/>
        </w:rPr>
      </w:pPr>
    </w:p>
    <w:p w14:paraId="6BCE6F94" w14:textId="77777777" w:rsidR="00BD372F" w:rsidRPr="00BD372F" w:rsidRDefault="00BD372F" w:rsidP="00BD372F">
      <w:pPr>
        <w:spacing w:after="0" w:line="240" w:lineRule="auto"/>
        <w:jc w:val="both"/>
        <w:rPr>
          <w:rFonts w:ascii="Times New Roman" w:hAnsi="Times New Roman"/>
          <w:bCs/>
          <w:sz w:val="20"/>
          <w:szCs w:val="20"/>
          <w:lang w:eastAsia="sk-SK"/>
        </w:rPr>
      </w:pPr>
    </w:p>
    <w:p w14:paraId="699B7594" w14:textId="77777777" w:rsidR="00BD372F" w:rsidRPr="00BD372F" w:rsidRDefault="00BD372F" w:rsidP="00BD372F">
      <w:pPr>
        <w:spacing w:after="0" w:line="240" w:lineRule="auto"/>
        <w:jc w:val="both"/>
        <w:rPr>
          <w:rFonts w:ascii="Times New Roman" w:hAnsi="Times New Roman"/>
          <w:bCs/>
          <w:sz w:val="20"/>
          <w:szCs w:val="20"/>
          <w:lang w:eastAsia="sk-SK"/>
        </w:rPr>
      </w:pPr>
    </w:p>
    <w:p w14:paraId="0BFA8F80" w14:textId="77777777" w:rsidR="00BD372F" w:rsidRPr="00BD372F" w:rsidRDefault="00BD372F" w:rsidP="00BD372F">
      <w:pPr>
        <w:spacing w:after="0" w:line="240" w:lineRule="auto"/>
        <w:jc w:val="both"/>
        <w:rPr>
          <w:rFonts w:ascii="Times New Roman" w:hAnsi="Times New Roman"/>
          <w:bCs/>
          <w:sz w:val="20"/>
          <w:szCs w:val="20"/>
          <w:lang w:eastAsia="sk-SK"/>
        </w:rPr>
      </w:pPr>
    </w:p>
    <w:p w14:paraId="265FE816" w14:textId="77777777" w:rsidR="00BD372F" w:rsidRPr="00BD372F" w:rsidRDefault="00BD372F" w:rsidP="00BD372F">
      <w:pPr>
        <w:spacing w:after="0" w:line="240" w:lineRule="auto"/>
        <w:jc w:val="both"/>
        <w:rPr>
          <w:rFonts w:ascii="Times New Roman" w:hAnsi="Times New Roman"/>
          <w:bCs/>
          <w:sz w:val="20"/>
          <w:szCs w:val="20"/>
          <w:lang w:eastAsia="sk-SK"/>
        </w:rPr>
      </w:pPr>
    </w:p>
    <w:p w14:paraId="48574B84" w14:textId="77777777" w:rsidR="00BD372F" w:rsidRPr="00BD372F" w:rsidRDefault="00BD372F" w:rsidP="00BD372F">
      <w:pPr>
        <w:spacing w:after="0" w:line="240" w:lineRule="auto"/>
        <w:jc w:val="both"/>
        <w:rPr>
          <w:rFonts w:ascii="Times New Roman" w:hAnsi="Times New Roman"/>
          <w:bCs/>
          <w:sz w:val="20"/>
          <w:szCs w:val="20"/>
          <w:lang w:eastAsia="sk-SK"/>
        </w:rPr>
      </w:pPr>
    </w:p>
    <w:p w14:paraId="57F8D148" w14:textId="77777777" w:rsidR="00BD372F" w:rsidRPr="00BD372F" w:rsidRDefault="00BD372F" w:rsidP="00BD372F">
      <w:pPr>
        <w:spacing w:after="0" w:line="240" w:lineRule="auto"/>
        <w:jc w:val="both"/>
        <w:rPr>
          <w:rFonts w:ascii="Times New Roman" w:hAnsi="Times New Roman"/>
          <w:bCs/>
          <w:sz w:val="20"/>
          <w:szCs w:val="20"/>
          <w:lang w:eastAsia="sk-SK"/>
        </w:rPr>
      </w:pPr>
    </w:p>
    <w:p w14:paraId="7F81982F" w14:textId="77777777" w:rsidR="00BD372F" w:rsidRPr="00BD372F" w:rsidRDefault="00BD372F" w:rsidP="00BD372F">
      <w:pPr>
        <w:spacing w:after="0" w:line="240" w:lineRule="auto"/>
        <w:jc w:val="both"/>
        <w:rPr>
          <w:rFonts w:ascii="Times New Roman" w:hAnsi="Times New Roman"/>
          <w:bCs/>
          <w:sz w:val="20"/>
          <w:szCs w:val="20"/>
          <w:lang w:eastAsia="sk-SK"/>
        </w:rPr>
      </w:pPr>
    </w:p>
    <w:p w14:paraId="29B84BE5" w14:textId="77777777" w:rsidR="00BD372F" w:rsidRPr="00BD372F" w:rsidRDefault="00BD372F" w:rsidP="00BD372F">
      <w:pPr>
        <w:spacing w:after="0" w:line="240" w:lineRule="auto"/>
        <w:jc w:val="both"/>
        <w:rPr>
          <w:rFonts w:ascii="Times New Roman" w:hAnsi="Times New Roman"/>
          <w:bCs/>
          <w:sz w:val="20"/>
          <w:szCs w:val="20"/>
          <w:lang w:eastAsia="sk-SK"/>
        </w:rPr>
      </w:pPr>
    </w:p>
    <w:p w14:paraId="1E445DBF" w14:textId="77777777" w:rsidR="00BD372F" w:rsidRPr="00BD372F" w:rsidRDefault="00BD372F" w:rsidP="00BD372F">
      <w:pPr>
        <w:spacing w:after="0" w:line="240" w:lineRule="auto"/>
        <w:jc w:val="both"/>
        <w:rPr>
          <w:rFonts w:ascii="Times New Roman" w:hAnsi="Times New Roman"/>
          <w:bCs/>
          <w:sz w:val="20"/>
          <w:szCs w:val="20"/>
          <w:lang w:eastAsia="sk-SK"/>
        </w:rPr>
      </w:pPr>
    </w:p>
    <w:p w14:paraId="3FCD1BCA" w14:textId="77777777" w:rsidR="00BD372F" w:rsidRPr="00BD372F" w:rsidRDefault="00BD372F" w:rsidP="00BD372F">
      <w:pPr>
        <w:spacing w:after="0" w:line="240" w:lineRule="auto"/>
        <w:jc w:val="both"/>
        <w:rPr>
          <w:rFonts w:ascii="Times New Roman" w:hAnsi="Times New Roman"/>
          <w:bCs/>
          <w:sz w:val="20"/>
          <w:szCs w:val="20"/>
          <w:lang w:eastAsia="sk-SK"/>
        </w:rPr>
      </w:pPr>
    </w:p>
    <w:p w14:paraId="3AAFDF16" w14:textId="77777777" w:rsidR="00BD372F" w:rsidRPr="00BD372F" w:rsidRDefault="00BD372F" w:rsidP="00BD372F">
      <w:pPr>
        <w:spacing w:after="0" w:line="240" w:lineRule="auto"/>
        <w:jc w:val="both"/>
        <w:rPr>
          <w:rFonts w:ascii="Times New Roman" w:hAnsi="Times New Roman"/>
          <w:bCs/>
          <w:sz w:val="20"/>
          <w:szCs w:val="20"/>
          <w:lang w:eastAsia="sk-SK"/>
        </w:rPr>
      </w:pPr>
    </w:p>
    <w:p w14:paraId="080E2C82" w14:textId="77777777" w:rsidR="00BD372F" w:rsidRPr="00BD372F" w:rsidRDefault="00BD372F" w:rsidP="00BD372F">
      <w:pPr>
        <w:spacing w:after="0" w:line="240" w:lineRule="auto"/>
        <w:jc w:val="both"/>
        <w:rPr>
          <w:rFonts w:ascii="Times New Roman" w:hAnsi="Times New Roman"/>
          <w:bCs/>
          <w:sz w:val="20"/>
          <w:szCs w:val="20"/>
          <w:lang w:eastAsia="sk-SK"/>
        </w:rPr>
      </w:pPr>
    </w:p>
    <w:p w14:paraId="22CE1EB7" w14:textId="77777777" w:rsidR="00BD372F" w:rsidRPr="00BD372F" w:rsidRDefault="00BD372F" w:rsidP="00BD372F">
      <w:pPr>
        <w:spacing w:after="0" w:line="240" w:lineRule="auto"/>
        <w:jc w:val="both"/>
        <w:rPr>
          <w:rFonts w:ascii="Times New Roman" w:hAnsi="Times New Roman"/>
          <w:bCs/>
          <w:sz w:val="20"/>
          <w:szCs w:val="20"/>
          <w:lang w:eastAsia="sk-SK"/>
        </w:rPr>
      </w:pPr>
    </w:p>
    <w:p w14:paraId="02620927" w14:textId="77777777" w:rsidR="007C72FC" w:rsidRDefault="007C72FC" w:rsidP="00BD372F">
      <w:pPr>
        <w:spacing w:after="0" w:line="240" w:lineRule="auto"/>
        <w:jc w:val="both"/>
        <w:rPr>
          <w:rFonts w:ascii="Times New Roman" w:hAnsi="Times New Roman"/>
          <w:bCs/>
          <w:sz w:val="20"/>
          <w:szCs w:val="20"/>
          <w:lang w:eastAsia="sk-SK"/>
        </w:rPr>
      </w:pPr>
    </w:p>
    <w:p w14:paraId="16A20503" w14:textId="77777777" w:rsidR="007C72FC" w:rsidRDefault="007C72FC" w:rsidP="007C72FC">
      <w:pPr>
        <w:spacing w:after="0" w:line="240" w:lineRule="auto"/>
        <w:jc w:val="right"/>
        <w:rPr>
          <w:rFonts w:ascii="Times New Roman" w:hAnsi="Times New Roman"/>
          <w:bCs/>
          <w:sz w:val="20"/>
          <w:szCs w:val="20"/>
          <w:lang w:eastAsia="sk-SK"/>
        </w:rPr>
      </w:pPr>
    </w:p>
    <w:p w14:paraId="4491FDAC" w14:textId="77777777" w:rsidR="00E15476" w:rsidRDefault="00E15476" w:rsidP="007C72FC">
      <w:pPr>
        <w:spacing w:after="0" w:line="240" w:lineRule="auto"/>
        <w:jc w:val="right"/>
        <w:rPr>
          <w:rFonts w:ascii="Times New Roman" w:hAnsi="Times New Roman"/>
          <w:bCs/>
          <w:sz w:val="20"/>
          <w:szCs w:val="20"/>
          <w:lang w:eastAsia="sk-SK"/>
        </w:rPr>
      </w:pPr>
    </w:p>
    <w:p w14:paraId="69CCFC9C" w14:textId="705694A9" w:rsidR="00BD372F" w:rsidRPr="00BD372F" w:rsidRDefault="00BD372F" w:rsidP="007C72FC">
      <w:pPr>
        <w:spacing w:after="0" w:line="240" w:lineRule="auto"/>
        <w:jc w:val="right"/>
        <w:rPr>
          <w:rFonts w:ascii="Times New Roman" w:hAnsi="Times New Roman"/>
          <w:bCs/>
          <w:sz w:val="20"/>
          <w:szCs w:val="20"/>
          <w:lang w:eastAsia="sk-SK"/>
        </w:rPr>
      </w:pPr>
      <w:r w:rsidRPr="00BD372F">
        <w:rPr>
          <w:rFonts w:ascii="Times New Roman" w:hAnsi="Times New Roman"/>
          <w:bCs/>
          <w:sz w:val="20"/>
          <w:szCs w:val="20"/>
          <w:lang w:eastAsia="sk-SK"/>
        </w:rPr>
        <w:t>Tabuľka č. 4/B</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BD372F" w:rsidRPr="00BD372F" w14:paraId="0BC6AC65" w14:textId="77777777" w:rsidTr="00BD372F">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14:paraId="7803DC9D"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r w:rsidRPr="00BD372F">
              <w:rPr>
                <w:rFonts w:ascii="Times New Roman" w:hAnsi="Times New Roman"/>
                <w:b/>
                <w:bCs/>
                <w:color w:val="000000"/>
                <w:sz w:val="20"/>
                <w:szCs w:val="20"/>
                <w:lang w:eastAsia="sk-SK"/>
              </w:rPr>
              <w:t>Vplyvy (v metodike ESA 2010)</w:t>
            </w:r>
          </w:p>
          <w:p w14:paraId="47335B1C"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r w:rsidRPr="00BD372F">
              <w:rPr>
                <w:rFonts w:ascii="Times New Roman" w:hAnsi="Times New Roman"/>
                <w:b/>
                <w:bCs/>
                <w:sz w:val="20"/>
                <w:szCs w:val="20"/>
                <w:lang w:eastAsia="sk-SK"/>
              </w:rPr>
              <w:t>Štátna pokladnica</w:t>
            </w:r>
          </w:p>
        </w:tc>
        <w:tc>
          <w:tcPr>
            <w:tcW w:w="6160" w:type="dxa"/>
            <w:gridSpan w:val="4"/>
            <w:tcBorders>
              <w:top w:val="single" w:sz="4" w:space="0" w:color="auto"/>
              <w:left w:val="nil"/>
              <w:bottom w:val="single" w:sz="4" w:space="0" w:color="auto"/>
              <w:right w:val="single" w:sz="4" w:space="0" w:color="auto"/>
            </w:tcBorders>
            <w:shd w:val="clear" w:color="auto" w:fill="BFBFBF"/>
          </w:tcPr>
          <w:p w14:paraId="183B268D"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r w:rsidRPr="00BD372F">
              <w:rPr>
                <w:rFonts w:ascii="Times New Roman" w:hAnsi="Times New Roman"/>
                <w:b/>
                <w:bCs/>
                <w:color w:val="000000"/>
                <w:sz w:val="20"/>
                <w:szCs w:val="20"/>
                <w:lang w:eastAsia="sk-SK"/>
              </w:rPr>
              <w:t>Vplyv na limit verejných výdavkov subjektu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3042BFD9" w14:textId="77777777" w:rsidR="00BD372F" w:rsidRPr="00BD372F" w:rsidRDefault="00BD372F" w:rsidP="00BD372F">
            <w:pPr>
              <w:spacing w:after="0" w:line="240" w:lineRule="auto"/>
              <w:jc w:val="center"/>
              <w:rPr>
                <w:rFonts w:ascii="Times New Roman" w:hAnsi="Times New Roman"/>
                <w:b/>
                <w:bCs/>
                <w:color w:val="000000"/>
                <w:sz w:val="24"/>
                <w:szCs w:val="24"/>
                <w:lang w:eastAsia="sk-SK"/>
              </w:rPr>
            </w:pPr>
            <w:r w:rsidRPr="00BD372F">
              <w:rPr>
                <w:rFonts w:ascii="Times New Roman" w:hAnsi="Times New Roman"/>
                <w:b/>
                <w:bCs/>
                <w:color w:val="000000"/>
                <w:sz w:val="24"/>
                <w:szCs w:val="24"/>
                <w:lang w:eastAsia="sk-SK"/>
              </w:rPr>
              <w:t>poznámka</w:t>
            </w:r>
          </w:p>
        </w:tc>
      </w:tr>
      <w:tr w:rsidR="00BD372F" w:rsidRPr="00BD372F" w14:paraId="439E4E5B" w14:textId="77777777" w:rsidTr="00BD372F">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5FD059E2" w14:textId="77777777" w:rsidR="00BD372F" w:rsidRPr="00BD372F" w:rsidRDefault="00BD372F" w:rsidP="00BD372F">
            <w:pPr>
              <w:spacing w:after="0" w:line="240" w:lineRule="auto"/>
              <w:rPr>
                <w:rFonts w:ascii="Times New Roman" w:hAnsi="Times New Roman"/>
                <w:b/>
                <w:bCs/>
                <w:color w:val="000000"/>
                <w:sz w:val="20"/>
                <w:szCs w:val="20"/>
                <w:lang w:eastAsia="sk-SK"/>
              </w:rPr>
            </w:pPr>
          </w:p>
        </w:tc>
        <w:tc>
          <w:tcPr>
            <w:tcW w:w="1430" w:type="dxa"/>
            <w:tcBorders>
              <w:top w:val="nil"/>
              <w:left w:val="nil"/>
              <w:bottom w:val="single" w:sz="4" w:space="0" w:color="auto"/>
              <w:right w:val="single" w:sz="4" w:space="0" w:color="auto"/>
            </w:tcBorders>
            <w:shd w:val="clear" w:color="auto" w:fill="BFBFBF"/>
          </w:tcPr>
          <w:p w14:paraId="57151FF9"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r w:rsidRPr="00BD372F">
              <w:rPr>
                <w:rFonts w:ascii="Times New Roman" w:hAnsi="Times New Roman"/>
                <w:b/>
                <w:bCs/>
                <w:color w:val="000000"/>
                <w:sz w:val="20"/>
                <w:szCs w:val="20"/>
                <w:lang w:eastAsia="sk-SK"/>
              </w:rPr>
              <w:t>2025</w:t>
            </w:r>
          </w:p>
        </w:tc>
        <w:tc>
          <w:tcPr>
            <w:tcW w:w="1650" w:type="dxa"/>
            <w:tcBorders>
              <w:top w:val="nil"/>
              <w:left w:val="nil"/>
              <w:bottom w:val="single" w:sz="4" w:space="0" w:color="auto"/>
              <w:right w:val="single" w:sz="4" w:space="0" w:color="auto"/>
            </w:tcBorders>
            <w:shd w:val="clear" w:color="auto" w:fill="BFBFBF"/>
          </w:tcPr>
          <w:p w14:paraId="60786A5F"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r w:rsidRPr="00BD372F">
              <w:rPr>
                <w:rFonts w:ascii="Times New Roman" w:hAnsi="Times New Roman"/>
                <w:b/>
                <w:bCs/>
                <w:color w:val="000000"/>
                <w:sz w:val="20"/>
                <w:szCs w:val="20"/>
                <w:lang w:eastAsia="sk-SK"/>
              </w:rPr>
              <w:t>2026</w:t>
            </w:r>
          </w:p>
        </w:tc>
        <w:tc>
          <w:tcPr>
            <w:tcW w:w="1540" w:type="dxa"/>
            <w:tcBorders>
              <w:top w:val="nil"/>
              <w:left w:val="nil"/>
              <w:bottom w:val="single" w:sz="4" w:space="0" w:color="auto"/>
              <w:right w:val="single" w:sz="4" w:space="0" w:color="auto"/>
            </w:tcBorders>
            <w:shd w:val="clear" w:color="auto" w:fill="BFBFBF"/>
          </w:tcPr>
          <w:p w14:paraId="0695B354"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r w:rsidRPr="00BD372F">
              <w:rPr>
                <w:rFonts w:ascii="Times New Roman" w:hAnsi="Times New Roman"/>
                <w:b/>
                <w:bCs/>
                <w:color w:val="000000"/>
                <w:sz w:val="20"/>
                <w:szCs w:val="20"/>
                <w:lang w:eastAsia="sk-SK"/>
              </w:rPr>
              <w:t>2027</w:t>
            </w:r>
          </w:p>
        </w:tc>
        <w:tc>
          <w:tcPr>
            <w:tcW w:w="1540" w:type="dxa"/>
            <w:tcBorders>
              <w:top w:val="nil"/>
              <w:left w:val="nil"/>
              <w:bottom w:val="single" w:sz="4" w:space="0" w:color="auto"/>
              <w:right w:val="single" w:sz="4" w:space="0" w:color="auto"/>
            </w:tcBorders>
            <w:shd w:val="clear" w:color="auto" w:fill="BFBFBF"/>
          </w:tcPr>
          <w:p w14:paraId="380D57D0" w14:textId="77777777" w:rsidR="00BD372F" w:rsidRPr="00BD372F" w:rsidRDefault="00BD372F" w:rsidP="00BD372F">
            <w:pPr>
              <w:spacing w:after="0" w:line="240" w:lineRule="auto"/>
              <w:jc w:val="center"/>
              <w:rPr>
                <w:rFonts w:ascii="Times New Roman" w:hAnsi="Times New Roman"/>
                <w:b/>
                <w:bCs/>
                <w:color w:val="000000"/>
                <w:sz w:val="24"/>
                <w:szCs w:val="24"/>
                <w:lang w:eastAsia="sk-SK"/>
              </w:rPr>
            </w:pPr>
            <w:r w:rsidRPr="00BD372F">
              <w:rPr>
                <w:rFonts w:ascii="Times New Roman" w:hAnsi="Times New Roman"/>
                <w:b/>
                <w:bCs/>
                <w:color w:val="000000"/>
                <w:sz w:val="20"/>
                <w:szCs w:val="20"/>
                <w:lang w:eastAsia="sk-SK"/>
              </w:rPr>
              <w:t>2028</w:t>
            </w:r>
          </w:p>
        </w:tc>
        <w:tc>
          <w:tcPr>
            <w:tcW w:w="1649" w:type="dxa"/>
            <w:vMerge/>
            <w:tcBorders>
              <w:top w:val="single" w:sz="4" w:space="0" w:color="auto"/>
              <w:left w:val="single" w:sz="4" w:space="0" w:color="auto"/>
              <w:bottom w:val="single" w:sz="4" w:space="0" w:color="auto"/>
              <w:right w:val="single" w:sz="4" w:space="0" w:color="auto"/>
            </w:tcBorders>
            <w:vAlign w:val="center"/>
          </w:tcPr>
          <w:p w14:paraId="72EE862D" w14:textId="77777777" w:rsidR="00BD372F" w:rsidRPr="00BD372F" w:rsidRDefault="00BD372F" w:rsidP="00BD372F">
            <w:pPr>
              <w:spacing w:after="0" w:line="240" w:lineRule="auto"/>
              <w:rPr>
                <w:rFonts w:ascii="Times New Roman" w:hAnsi="Times New Roman"/>
                <w:b/>
                <w:bCs/>
                <w:color w:val="000000"/>
                <w:sz w:val="24"/>
                <w:szCs w:val="24"/>
                <w:lang w:eastAsia="sk-SK"/>
              </w:rPr>
            </w:pPr>
          </w:p>
        </w:tc>
      </w:tr>
      <w:tr w:rsidR="00BD372F" w:rsidRPr="00BD372F" w14:paraId="7B415FF5" w14:textId="77777777" w:rsidTr="00154BAB">
        <w:trPr>
          <w:trHeight w:val="255"/>
        </w:trPr>
        <w:tc>
          <w:tcPr>
            <w:tcW w:w="7070" w:type="dxa"/>
            <w:tcBorders>
              <w:top w:val="nil"/>
              <w:left w:val="single" w:sz="4" w:space="0" w:color="auto"/>
              <w:bottom w:val="single" w:sz="4" w:space="0" w:color="auto"/>
              <w:right w:val="single" w:sz="4" w:space="0" w:color="auto"/>
            </w:tcBorders>
          </w:tcPr>
          <w:p w14:paraId="2B30C304" w14:textId="77777777" w:rsidR="00BD372F" w:rsidRPr="00BD372F" w:rsidRDefault="00BD372F" w:rsidP="00BD372F">
            <w:pPr>
              <w:spacing w:after="0" w:line="240" w:lineRule="auto"/>
              <w:rPr>
                <w:rFonts w:ascii="Times New Roman" w:hAnsi="Times New Roman"/>
                <w:b/>
                <w:bCs/>
                <w:color w:val="000000"/>
                <w:sz w:val="20"/>
                <w:szCs w:val="20"/>
                <w:lang w:eastAsia="sk-SK"/>
              </w:rPr>
            </w:pPr>
            <w:r w:rsidRPr="00BD372F">
              <w:rPr>
                <w:rFonts w:ascii="Times New Roman" w:hAnsi="Times New Roman"/>
                <w:b/>
                <w:bCs/>
                <w:color w:val="000000"/>
                <w:sz w:val="20"/>
                <w:szCs w:val="20"/>
                <w:lang w:eastAsia="sk-SK"/>
              </w:rPr>
              <w:t>Kapitálové príjmy (230)</w:t>
            </w:r>
          </w:p>
        </w:tc>
        <w:tc>
          <w:tcPr>
            <w:tcW w:w="1430" w:type="dxa"/>
            <w:tcBorders>
              <w:top w:val="nil"/>
              <w:left w:val="nil"/>
              <w:bottom w:val="single" w:sz="4" w:space="0" w:color="auto"/>
              <w:right w:val="single" w:sz="4" w:space="0" w:color="auto"/>
            </w:tcBorders>
          </w:tcPr>
          <w:p w14:paraId="08B62EA6"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p>
        </w:tc>
        <w:tc>
          <w:tcPr>
            <w:tcW w:w="1650" w:type="dxa"/>
            <w:tcBorders>
              <w:top w:val="nil"/>
              <w:left w:val="nil"/>
              <w:bottom w:val="single" w:sz="4" w:space="0" w:color="auto"/>
              <w:right w:val="single" w:sz="4" w:space="0" w:color="auto"/>
            </w:tcBorders>
          </w:tcPr>
          <w:p w14:paraId="502840A3"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p>
        </w:tc>
        <w:tc>
          <w:tcPr>
            <w:tcW w:w="1540" w:type="dxa"/>
            <w:tcBorders>
              <w:top w:val="nil"/>
              <w:left w:val="nil"/>
              <w:bottom w:val="single" w:sz="4" w:space="0" w:color="auto"/>
              <w:right w:val="single" w:sz="4" w:space="0" w:color="auto"/>
            </w:tcBorders>
          </w:tcPr>
          <w:p w14:paraId="33449F1B"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p>
        </w:tc>
        <w:tc>
          <w:tcPr>
            <w:tcW w:w="1540" w:type="dxa"/>
            <w:tcBorders>
              <w:top w:val="nil"/>
              <w:left w:val="nil"/>
              <w:bottom w:val="single" w:sz="4" w:space="0" w:color="auto"/>
              <w:right w:val="single" w:sz="4" w:space="0" w:color="auto"/>
            </w:tcBorders>
          </w:tcPr>
          <w:p w14:paraId="6A98AC3E"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p>
        </w:tc>
        <w:tc>
          <w:tcPr>
            <w:tcW w:w="1649" w:type="dxa"/>
            <w:tcBorders>
              <w:top w:val="nil"/>
              <w:left w:val="nil"/>
              <w:bottom w:val="single" w:sz="4" w:space="0" w:color="auto"/>
              <w:right w:val="single" w:sz="4" w:space="0" w:color="auto"/>
            </w:tcBorders>
            <w:noWrap/>
            <w:vAlign w:val="bottom"/>
          </w:tcPr>
          <w:p w14:paraId="7E14B3C4" w14:textId="77777777" w:rsidR="00BD372F" w:rsidRPr="00BD372F" w:rsidRDefault="00BD372F" w:rsidP="00BD372F">
            <w:pPr>
              <w:spacing w:after="0" w:line="240" w:lineRule="auto"/>
              <w:rPr>
                <w:rFonts w:ascii="Times New Roman" w:hAnsi="Times New Roman"/>
                <w:color w:val="000000"/>
                <w:sz w:val="24"/>
                <w:szCs w:val="24"/>
                <w:lang w:eastAsia="sk-SK"/>
              </w:rPr>
            </w:pPr>
          </w:p>
        </w:tc>
      </w:tr>
      <w:tr w:rsidR="00BD372F" w:rsidRPr="00BD372F" w14:paraId="7B650180" w14:textId="77777777" w:rsidTr="00154BAB">
        <w:trPr>
          <w:trHeight w:val="255"/>
        </w:trPr>
        <w:tc>
          <w:tcPr>
            <w:tcW w:w="7070" w:type="dxa"/>
            <w:tcBorders>
              <w:top w:val="nil"/>
              <w:left w:val="single" w:sz="4" w:space="0" w:color="auto"/>
              <w:bottom w:val="single" w:sz="4" w:space="0" w:color="auto"/>
              <w:right w:val="single" w:sz="4" w:space="0" w:color="auto"/>
            </w:tcBorders>
          </w:tcPr>
          <w:p w14:paraId="160B40A7" w14:textId="77777777" w:rsidR="00BD372F" w:rsidRPr="00BD372F" w:rsidRDefault="00BD372F" w:rsidP="00BD372F">
            <w:pPr>
              <w:spacing w:after="0" w:line="240" w:lineRule="auto"/>
              <w:rPr>
                <w:rFonts w:ascii="Times New Roman" w:hAnsi="Times New Roman"/>
                <w:b/>
                <w:bCs/>
                <w:color w:val="000000"/>
                <w:sz w:val="20"/>
                <w:szCs w:val="20"/>
                <w:lang w:eastAsia="sk-SK"/>
              </w:rPr>
            </w:pPr>
            <w:r w:rsidRPr="00BD372F">
              <w:rPr>
                <w:rFonts w:ascii="Times New Roman" w:hAnsi="Times New Roman"/>
                <w:b/>
                <w:bCs/>
                <w:color w:val="000000"/>
                <w:sz w:val="20"/>
                <w:szCs w:val="20"/>
                <w:lang w:eastAsia="sk-SK"/>
              </w:rPr>
              <w:t>Bežné výdavky (600)</w:t>
            </w:r>
          </w:p>
        </w:tc>
        <w:tc>
          <w:tcPr>
            <w:tcW w:w="1430" w:type="dxa"/>
            <w:tcBorders>
              <w:top w:val="nil"/>
              <w:left w:val="nil"/>
              <w:bottom w:val="single" w:sz="4" w:space="0" w:color="auto"/>
              <w:right w:val="single" w:sz="4" w:space="0" w:color="auto"/>
            </w:tcBorders>
          </w:tcPr>
          <w:p w14:paraId="48BC09E1"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p>
        </w:tc>
        <w:tc>
          <w:tcPr>
            <w:tcW w:w="1650" w:type="dxa"/>
            <w:tcBorders>
              <w:top w:val="nil"/>
              <w:left w:val="nil"/>
              <w:bottom w:val="single" w:sz="4" w:space="0" w:color="auto"/>
              <w:right w:val="single" w:sz="4" w:space="0" w:color="auto"/>
            </w:tcBorders>
          </w:tcPr>
          <w:p w14:paraId="70D3D3F4"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p>
        </w:tc>
        <w:tc>
          <w:tcPr>
            <w:tcW w:w="1540" w:type="dxa"/>
            <w:tcBorders>
              <w:top w:val="nil"/>
              <w:left w:val="nil"/>
              <w:bottom w:val="single" w:sz="4" w:space="0" w:color="auto"/>
              <w:right w:val="single" w:sz="4" w:space="0" w:color="auto"/>
            </w:tcBorders>
          </w:tcPr>
          <w:p w14:paraId="097721F8"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p>
        </w:tc>
        <w:tc>
          <w:tcPr>
            <w:tcW w:w="1540" w:type="dxa"/>
            <w:tcBorders>
              <w:top w:val="nil"/>
              <w:left w:val="nil"/>
              <w:bottom w:val="single" w:sz="4" w:space="0" w:color="auto"/>
              <w:right w:val="single" w:sz="4" w:space="0" w:color="auto"/>
            </w:tcBorders>
          </w:tcPr>
          <w:p w14:paraId="3A5ED0FB"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p>
        </w:tc>
        <w:tc>
          <w:tcPr>
            <w:tcW w:w="1649" w:type="dxa"/>
            <w:tcBorders>
              <w:top w:val="nil"/>
              <w:left w:val="nil"/>
              <w:bottom w:val="single" w:sz="4" w:space="0" w:color="auto"/>
              <w:right w:val="single" w:sz="4" w:space="0" w:color="auto"/>
            </w:tcBorders>
            <w:noWrap/>
            <w:vAlign w:val="bottom"/>
          </w:tcPr>
          <w:p w14:paraId="6283F543" w14:textId="77777777" w:rsidR="00BD372F" w:rsidRPr="00BD372F" w:rsidRDefault="00BD372F" w:rsidP="00BD372F">
            <w:pPr>
              <w:spacing w:after="0" w:line="240" w:lineRule="auto"/>
              <w:rPr>
                <w:rFonts w:ascii="Times New Roman" w:hAnsi="Times New Roman"/>
                <w:color w:val="000000"/>
                <w:sz w:val="24"/>
                <w:szCs w:val="24"/>
                <w:lang w:eastAsia="sk-SK"/>
              </w:rPr>
            </w:pPr>
            <w:r w:rsidRPr="00BD372F">
              <w:rPr>
                <w:rFonts w:ascii="Times New Roman" w:hAnsi="Times New Roman"/>
                <w:color w:val="000000"/>
                <w:sz w:val="24"/>
                <w:szCs w:val="24"/>
                <w:lang w:eastAsia="sk-SK"/>
              </w:rPr>
              <w:t> </w:t>
            </w:r>
          </w:p>
        </w:tc>
      </w:tr>
      <w:tr w:rsidR="00BD372F" w:rsidRPr="00BD372F" w14:paraId="5E4912B9" w14:textId="77777777" w:rsidTr="00154BAB">
        <w:trPr>
          <w:trHeight w:val="255"/>
        </w:trPr>
        <w:tc>
          <w:tcPr>
            <w:tcW w:w="7070" w:type="dxa"/>
            <w:tcBorders>
              <w:top w:val="nil"/>
              <w:left w:val="single" w:sz="4" w:space="0" w:color="auto"/>
              <w:bottom w:val="single" w:sz="4" w:space="0" w:color="auto"/>
              <w:right w:val="single" w:sz="4" w:space="0" w:color="auto"/>
            </w:tcBorders>
          </w:tcPr>
          <w:p w14:paraId="6CF7767F" w14:textId="77777777" w:rsidR="00BD372F" w:rsidRPr="00BD372F" w:rsidRDefault="00BD372F" w:rsidP="00BD372F">
            <w:pPr>
              <w:spacing w:after="0" w:line="240" w:lineRule="auto"/>
              <w:rPr>
                <w:rFonts w:ascii="Times New Roman" w:hAnsi="Times New Roman"/>
                <w:color w:val="000000"/>
                <w:sz w:val="20"/>
                <w:szCs w:val="20"/>
                <w:lang w:eastAsia="sk-SK"/>
              </w:rPr>
            </w:pPr>
            <w:r w:rsidRPr="00BD372F">
              <w:rPr>
                <w:rFonts w:ascii="Times New Roman" w:hAnsi="Times New Roman"/>
                <w:color w:val="000000"/>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14:paraId="6C89CEA9"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1650" w:type="dxa"/>
            <w:tcBorders>
              <w:top w:val="nil"/>
              <w:left w:val="nil"/>
              <w:bottom w:val="single" w:sz="4" w:space="0" w:color="auto"/>
              <w:right w:val="single" w:sz="4" w:space="0" w:color="auto"/>
            </w:tcBorders>
          </w:tcPr>
          <w:p w14:paraId="7DCA1237"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1540" w:type="dxa"/>
            <w:tcBorders>
              <w:top w:val="nil"/>
              <w:left w:val="nil"/>
              <w:bottom w:val="single" w:sz="4" w:space="0" w:color="auto"/>
              <w:right w:val="single" w:sz="4" w:space="0" w:color="auto"/>
            </w:tcBorders>
          </w:tcPr>
          <w:p w14:paraId="4C29CCAE"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1540" w:type="dxa"/>
            <w:tcBorders>
              <w:top w:val="nil"/>
              <w:left w:val="nil"/>
              <w:bottom w:val="single" w:sz="4" w:space="0" w:color="auto"/>
              <w:right w:val="single" w:sz="4" w:space="0" w:color="auto"/>
            </w:tcBorders>
          </w:tcPr>
          <w:p w14:paraId="7A9DFD0F"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1649" w:type="dxa"/>
            <w:tcBorders>
              <w:top w:val="nil"/>
              <w:left w:val="nil"/>
              <w:bottom w:val="single" w:sz="4" w:space="0" w:color="auto"/>
              <w:right w:val="single" w:sz="4" w:space="0" w:color="auto"/>
            </w:tcBorders>
            <w:noWrap/>
            <w:vAlign w:val="bottom"/>
          </w:tcPr>
          <w:p w14:paraId="1A021E17" w14:textId="77777777" w:rsidR="00BD372F" w:rsidRPr="00BD372F" w:rsidRDefault="00BD372F" w:rsidP="00BD372F">
            <w:pPr>
              <w:spacing w:after="0" w:line="240" w:lineRule="auto"/>
              <w:rPr>
                <w:rFonts w:ascii="Times New Roman" w:hAnsi="Times New Roman"/>
                <w:color w:val="000000"/>
                <w:sz w:val="24"/>
                <w:szCs w:val="24"/>
                <w:lang w:eastAsia="sk-SK"/>
              </w:rPr>
            </w:pPr>
            <w:r w:rsidRPr="00BD372F">
              <w:rPr>
                <w:rFonts w:ascii="Times New Roman" w:hAnsi="Times New Roman"/>
                <w:color w:val="000000"/>
                <w:sz w:val="24"/>
                <w:szCs w:val="24"/>
                <w:lang w:eastAsia="sk-SK"/>
              </w:rPr>
              <w:t> </w:t>
            </w:r>
          </w:p>
        </w:tc>
      </w:tr>
      <w:tr w:rsidR="00BD372F" w:rsidRPr="00BD372F" w14:paraId="21B705E2" w14:textId="77777777" w:rsidTr="00154BAB">
        <w:trPr>
          <w:trHeight w:val="255"/>
        </w:trPr>
        <w:tc>
          <w:tcPr>
            <w:tcW w:w="7070" w:type="dxa"/>
            <w:tcBorders>
              <w:top w:val="nil"/>
              <w:left w:val="single" w:sz="4" w:space="0" w:color="auto"/>
              <w:bottom w:val="single" w:sz="4" w:space="0" w:color="auto"/>
              <w:right w:val="single" w:sz="4" w:space="0" w:color="auto"/>
            </w:tcBorders>
          </w:tcPr>
          <w:p w14:paraId="34603027" w14:textId="77777777" w:rsidR="00BD372F" w:rsidRPr="00BD372F" w:rsidRDefault="00BD372F" w:rsidP="00BD372F">
            <w:pPr>
              <w:spacing w:after="0" w:line="240" w:lineRule="auto"/>
              <w:rPr>
                <w:rFonts w:ascii="Times New Roman" w:hAnsi="Times New Roman"/>
                <w:color w:val="000000"/>
                <w:sz w:val="20"/>
                <w:szCs w:val="20"/>
                <w:vertAlign w:val="superscript"/>
                <w:lang w:eastAsia="sk-SK"/>
              </w:rPr>
            </w:pPr>
            <w:r w:rsidRPr="00BD372F">
              <w:rPr>
                <w:rFonts w:ascii="Times New Roman" w:hAnsi="Times New Roman"/>
                <w:color w:val="000000"/>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14:paraId="6924260D"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1650" w:type="dxa"/>
            <w:tcBorders>
              <w:top w:val="nil"/>
              <w:left w:val="nil"/>
              <w:bottom w:val="single" w:sz="4" w:space="0" w:color="auto"/>
              <w:right w:val="single" w:sz="4" w:space="0" w:color="auto"/>
            </w:tcBorders>
          </w:tcPr>
          <w:p w14:paraId="2AD4B16B"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1540" w:type="dxa"/>
            <w:tcBorders>
              <w:top w:val="nil"/>
              <w:left w:val="nil"/>
              <w:bottom w:val="single" w:sz="4" w:space="0" w:color="auto"/>
              <w:right w:val="single" w:sz="4" w:space="0" w:color="auto"/>
            </w:tcBorders>
          </w:tcPr>
          <w:p w14:paraId="3CA7108A"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1540" w:type="dxa"/>
            <w:tcBorders>
              <w:top w:val="nil"/>
              <w:left w:val="nil"/>
              <w:bottom w:val="single" w:sz="4" w:space="0" w:color="auto"/>
              <w:right w:val="single" w:sz="4" w:space="0" w:color="auto"/>
            </w:tcBorders>
          </w:tcPr>
          <w:p w14:paraId="70326096"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1649" w:type="dxa"/>
            <w:tcBorders>
              <w:top w:val="nil"/>
              <w:left w:val="nil"/>
              <w:bottom w:val="single" w:sz="4" w:space="0" w:color="auto"/>
              <w:right w:val="single" w:sz="4" w:space="0" w:color="auto"/>
            </w:tcBorders>
            <w:noWrap/>
            <w:vAlign w:val="bottom"/>
          </w:tcPr>
          <w:p w14:paraId="57B04E41" w14:textId="77777777" w:rsidR="00BD372F" w:rsidRPr="00BD372F" w:rsidRDefault="00BD372F" w:rsidP="00BD372F">
            <w:pPr>
              <w:spacing w:after="0" w:line="240" w:lineRule="auto"/>
              <w:rPr>
                <w:rFonts w:ascii="Times New Roman" w:hAnsi="Times New Roman"/>
                <w:color w:val="000000"/>
                <w:sz w:val="24"/>
                <w:szCs w:val="24"/>
                <w:lang w:eastAsia="sk-SK"/>
              </w:rPr>
            </w:pPr>
            <w:r w:rsidRPr="00BD372F">
              <w:rPr>
                <w:rFonts w:ascii="Times New Roman" w:hAnsi="Times New Roman"/>
                <w:color w:val="000000"/>
                <w:sz w:val="24"/>
                <w:szCs w:val="24"/>
                <w:lang w:eastAsia="sk-SK"/>
              </w:rPr>
              <w:t> </w:t>
            </w:r>
          </w:p>
        </w:tc>
      </w:tr>
      <w:tr w:rsidR="00BD372F" w:rsidRPr="00BD372F" w14:paraId="752EA8ED" w14:textId="77777777" w:rsidTr="00154BAB">
        <w:trPr>
          <w:trHeight w:val="255"/>
        </w:trPr>
        <w:tc>
          <w:tcPr>
            <w:tcW w:w="7070" w:type="dxa"/>
            <w:tcBorders>
              <w:top w:val="nil"/>
              <w:left w:val="single" w:sz="4" w:space="0" w:color="auto"/>
              <w:bottom w:val="single" w:sz="4" w:space="0" w:color="auto"/>
              <w:right w:val="single" w:sz="4" w:space="0" w:color="auto"/>
            </w:tcBorders>
          </w:tcPr>
          <w:p w14:paraId="056962A8" w14:textId="77777777" w:rsidR="00BD372F" w:rsidRPr="00BD372F" w:rsidRDefault="00BD372F" w:rsidP="00BD372F">
            <w:pPr>
              <w:spacing w:after="0" w:line="240" w:lineRule="auto"/>
              <w:rPr>
                <w:rFonts w:ascii="Times New Roman" w:hAnsi="Times New Roman"/>
                <w:color w:val="000000"/>
                <w:sz w:val="20"/>
                <w:szCs w:val="20"/>
                <w:vertAlign w:val="superscript"/>
                <w:lang w:eastAsia="sk-SK"/>
              </w:rPr>
            </w:pPr>
            <w:r w:rsidRPr="00BD372F">
              <w:rPr>
                <w:rFonts w:ascii="Times New Roman" w:hAnsi="Times New Roman"/>
                <w:color w:val="000000"/>
                <w:sz w:val="20"/>
                <w:szCs w:val="20"/>
                <w:lang w:eastAsia="sk-SK"/>
              </w:rPr>
              <w:t xml:space="preserve">  Tovary a služby (630)</w:t>
            </w:r>
            <w:r w:rsidRPr="00BD372F">
              <w:rPr>
                <w:rFonts w:ascii="Times New Roman" w:hAnsi="Times New Roman"/>
                <w:color w:val="000000"/>
                <w:sz w:val="20"/>
                <w:szCs w:val="20"/>
                <w:vertAlign w:val="superscript"/>
                <w:lang w:eastAsia="sk-SK"/>
              </w:rPr>
              <w:t>2</w:t>
            </w:r>
          </w:p>
        </w:tc>
        <w:tc>
          <w:tcPr>
            <w:tcW w:w="1430" w:type="dxa"/>
            <w:tcBorders>
              <w:top w:val="nil"/>
              <w:left w:val="nil"/>
              <w:bottom w:val="single" w:sz="4" w:space="0" w:color="auto"/>
              <w:right w:val="single" w:sz="4" w:space="0" w:color="auto"/>
            </w:tcBorders>
          </w:tcPr>
          <w:p w14:paraId="36FA794F"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1650" w:type="dxa"/>
            <w:tcBorders>
              <w:top w:val="nil"/>
              <w:left w:val="nil"/>
              <w:bottom w:val="single" w:sz="4" w:space="0" w:color="auto"/>
              <w:right w:val="single" w:sz="4" w:space="0" w:color="auto"/>
            </w:tcBorders>
          </w:tcPr>
          <w:p w14:paraId="420CA0F8"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1540" w:type="dxa"/>
            <w:tcBorders>
              <w:top w:val="nil"/>
              <w:left w:val="nil"/>
              <w:bottom w:val="single" w:sz="4" w:space="0" w:color="auto"/>
              <w:right w:val="single" w:sz="4" w:space="0" w:color="auto"/>
            </w:tcBorders>
          </w:tcPr>
          <w:p w14:paraId="798818B1"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1540" w:type="dxa"/>
            <w:tcBorders>
              <w:top w:val="nil"/>
              <w:left w:val="nil"/>
              <w:bottom w:val="single" w:sz="4" w:space="0" w:color="auto"/>
              <w:right w:val="single" w:sz="4" w:space="0" w:color="auto"/>
            </w:tcBorders>
          </w:tcPr>
          <w:p w14:paraId="75282CE4"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1649" w:type="dxa"/>
            <w:tcBorders>
              <w:top w:val="nil"/>
              <w:left w:val="nil"/>
              <w:bottom w:val="single" w:sz="4" w:space="0" w:color="auto"/>
              <w:right w:val="single" w:sz="4" w:space="0" w:color="auto"/>
            </w:tcBorders>
            <w:noWrap/>
            <w:vAlign w:val="bottom"/>
          </w:tcPr>
          <w:p w14:paraId="214F2AEE" w14:textId="77777777" w:rsidR="00BD372F" w:rsidRPr="00BD372F" w:rsidRDefault="00BD372F" w:rsidP="00BD372F">
            <w:pPr>
              <w:spacing w:after="0" w:line="240" w:lineRule="auto"/>
              <w:rPr>
                <w:rFonts w:ascii="Times New Roman" w:hAnsi="Times New Roman"/>
                <w:color w:val="000000"/>
                <w:sz w:val="24"/>
                <w:szCs w:val="24"/>
                <w:lang w:eastAsia="sk-SK"/>
              </w:rPr>
            </w:pPr>
            <w:r w:rsidRPr="00BD372F">
              <w:rPr>
                <w:rFonts w:ascii="Times New Roman" w:hAnsi="Times New Roman"/>
                <w:color w:val="000000"/>
                <w:sz w:val="24"/>
                <w:szCs w:val="24"/>
                <w:lang w:eastAsia="sk-SK"/>
              </w:rPr>
              <w:t> </w:t>
            </w:r>
          </w:p>
        </w:tc>
      </w:tr>
      <w:tr w:rsidR="00BD372F" w:rsidRPr="00BD372F" w14:paraId="08E250D4" w14:textId="77777777" w:rsidTr="00154BAB">
        <w:trPr>
          <w:trHeight w:val="255"/>
        </w:trPr>
        <w:tc>
          <w:tcPr>
            <w:tcW w:w="7070" w:type="dxa"/>
            <w:tcBorders>
              <w:top w:val="nil"/>
              <w:left w:val="single" w:sz="4" w:space="0" w:color="auto"/>
              <w:bottom w:val="single" w:sz="4" w:space="0" w:color="auto"/>
              <w:right w:val="single" w:sz="4" w:space="0" w:color="auto"/>
            </w:tcBorders>
          </w:tcPr>
          <w:p w14:paraId="1A137C58" w14:textId="77777777" w:rsidR="00BD372F" w:rsidRPr="00BD372F" w:rsidRDefault="00BD372F" w:rsidP="00BD372F">
            <w:pPr>
              <w:spacing w:after="0" w:line="240" w:lineRule="auto"/>
              <w:rPr>
                <w:rFonts w:ascii="Times New Roman" w:hAnsi="Times New Roman"/>
                <w:color w:val="000000"/>
                <w:sz w:val="20"/>
                <w:szCs w:val="20"/>
                <w:lang w:eastAsia="sk-SK"/>
              </w:rPr>
            </w:pPr>
            <w:r w:rsidRPr="00BD372F">
              <w:rPr>
                <w:rFonts w:ascii="Times New Roman" w:hAnsi="Times New Roman"/>
                <w:color w:val="000000"/>
                <w:sz w:val="20"/>
                <w:szCs w:val="20"/>
                <w:lang w:eastAsia="sk-SK"/>
              </w:rPr>
              <w:t xml:space="preserve">  Bežné transfery (640)</w:t>
            </w:r>
            <w:r w:rsidRPr="00BD372F">
              <w:rPr>
                <w:rFonts w:ascii="Times New Roman" w:hAnsi="Times New Roman"/>
                <w:color w:val="000000"/>
                <w:sz w:val="20"/>
                <w:szCs w:val="20"/>
                <w:vertAlign w:val="superscript"/>
                <w:lang w:eastAsia="sk-SK"/>
              </w:rPr>
              <w:t>2</w:t>
            </w:r>
          </w:p>
        </w:tc>
        <w:tc>
          <w:tcPr>
            <w:tcW w:w="1430" w:type="dxa"/>
            <w:tcBorders>
              <w:top w:val="nil"/>
              <w:left w:val="nil"/>
              <w:bottom w:val="single" w:sz="4" w:space="0" w:color="auto"/>
              <w:right w:val="single" w:sz="4" w:space="0" w:color="auto"/>
            </w:tcBorders>
          </w:tcPr>
          <w:p w14:paraId="7895F356"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1650" w:type="dxa"/>
            <w:tcBorders>
              <w:top w:val="nil"/>
              <w:left w:val="nil"/>
              <w:bottom w:val="single" w:sz="4" w:space="0" w:color="auto"/>
              <w:right w:val="single" w:sz="4" w:space="0" w:color="auto"/>
            </w:tcBorders>
          </w:tcPr>
          <w:p w14:paraId="2BA5335D"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1540" w:type="dxa"/>
            <w:tcBorders>
              <w:top w:val="nil"/>
              <w:left w:val="nil"/>
              <w:bottom w:val="single" w:sz="4" w:space="0" w:color="auto"/>
              <w:right w:val="single" w:sz="4" w:space="0" w:color="auto"/>
            </w:tcBorders>
          </w:tcPr>
          <w:p w14:paraId="7BB039D8"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1540" w:type="dxa"/>
            <w:tcBorders>
              <w:top w:val="nil"/>
              <w:left w:val="nil"/>
              <w:bottom w:val="single" w:sz="4" w:space="0" w:color="auto"/>
              <w:right w:val="single" w:sz="4" w:space="0" w:color="auto"/>
            </w:tcBorders>
          </w:tcPr>
          <w:p w14:paraId="32A8031D"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1649" w:type="dxa"/>
            <w:tcBorders>
              <w:top w:val="nil"/>
              <w:left w:val="nil"/>
              <w:bottom w:val="single" w:sz="4" w:space="0" w:color="auto"/>
              <w:right w:val="single" w:sz="4" w:space="0" w:color="auto"/>
            </w:tcBorders>
            <w:noWrap/>
            <w:vAlign w:val="bottom"/>
          </w:tcPr>
          <w:p w14:paraId="728C3BE2" w14:textId="77777777" w:rsidR="00BD372F" w:rsidRPr="00BD372F" w:rsidRDefault="00BD372F" w:rsidP="00BD372F">
            <w:pPr>
              <w:spacing w:after="0" w:line="240" w:lineRule="auto"/>
              <w:rPr>
                <w:rFonts w:ascii="Times New Roman" w:hAnsi="Times New Roman"/>
                <w:color w:val="000000"/>
                <w:sz w:val="24"/>
                <w:szCs w:val="24"/>
                <w:lang w:eastAsia="sk-SK"/>
              </w:rPr>
            </w:pPr>
            <w:r w:rsidRPr="00BD372F">
              <w:rPr>
                <w:rFonts w:ascii="Times New Roman" w:hAnsi="Times New Roman"/>
                <w:color w:val="000000"/>
                <w:sz w:val="24"/>
                <w:szCs w:val="24"/>
                <w:lang w:eastAsia="sk-SK"/>
              </w:rPr>
              <w:t> </w:t>
            </w:r>
          </w:p>
        </w:tc>
      </w:tr>
      <w:tr w:rsidR="00BD372F" w:rsidRPr="00BD372F" w14:paraId="5AA7853C" w14:textId="77777777" w:rsidTr="00154BAB">
        <w:trPr>
          <w:trHeight w:val="255"/>
        </w:trPr>
        <w:tc>
          <w:tcPr>
            <w:tcW w:w="7070" w:type="dxa"/>
            <w:tcBorders>
              <w:top w:val="nil"/>
              <w:left w:val="single" w:sz="4" w:space="0" w:color="auto"/>
              <w:bottom w:val="single" w:sz="4" w:space="0" w:color="auto"/>
              <w:right w:val="single" w:sz="4" w:space="0" w:color="auto"/>
            </w:tcBorders>
            <w:vAlign w:val="center"/>
          </w:tcPr>
          <w:p w14:paraId="6D439514" w14:textId="77777777" w:rsidR="00BD372F" w:rsidRPr="00BD372F" w:rsidRDefault="00BD372F" w:rsidP="00BD372F">
            <w:pPr>
              <w:spacing w:after="0" w:line="240" w:lineRule="auto"/>
              <w:rPr>
                <w:rFonts w:ascii="Times New Roman" w:hAnsi="Times New Roman"/>
                <w:color w:val="000000"/>
                <w:sz w:val="20"/>
                <w:szCs w:val="20"/>
                <w:lang w:eastAsia="sk-SK"/>
              </w:rPr>
            </w:pPr>
            <w:r w:rsidRPr="00BD372F">
              <w:rPr>
                <w:rFonts w:ascii="Times New Roman" w:hAnsi="Times New Roman"/>
                <w:color w:val="000000"/>
                <w:sz w:val="20"/>
                <w:szCs w:val="20"/>
                <w:lang w:eastAsia="sk-SK"/>
              </w:rPr>
              <w:t xml:space="preserve">  Splácanie úrokov a ostatné platby súvisiace s </w:t>
            </w:r>
            <w:r w:rsidRPr="00BD372F">
              <w:rPr>
                <w:rFonts w:ascii="Calibri" w:eastAsia="Calibri" w:hAnsi="Calibri"/>
                <w:color w:val="000000"/>
                <w:szCs w:val="22"/>
              </w:rPr>
              <w:t xml:space="preserve"> </w:t>
            </w:r>
            <w:r w:rsidRPr="00BD372F">
              <w:rPr>
                <w:rFonts w:ascii="Times New Roman" w:hAnsi="Times New Roman"/>
                <w:color w:val="000000"/>
                <w:sz w:val="20"/>
                <w:szCs w:val="20"/>
                <w:lang w:eastAsia="sk-SK"/>
              </w:rPr>
              <w:t>úverom, pôžičkou, návratnou finančnou výpomocou a finančným prenájmom (650)</w:t>
            </w:r>
            <w:r w:rsidRPr="00BD372F">
              <w:rPr>
                <w:rFonts w:ascii="Times New Roman" w:hAnsi="Times New Roman"/>
                <w:color w:val="000000"/>
                <w:sz w:val="20"/>
                <w:szCs w:val="20"/>
                <w:vertAlign w:val="superscript"/>
                <w:lang w:eastAsia="sk-SK"/>
              </w:rPr>
              <w:t>2</w:t>
            </w:r>
          </w:p>
        </w:tc>
        <w:tc>
          <w:tcPr>
            <w:tcW w:w="1430" w:type="dxa"/>
            <w:tcBorders>
              <w:top w:val="nil"/>
              <w:left w:val="nil"/>
              <w:bottom w:val="single" w:sz="4" w:space="0" w:color="auto"/>
              <w:right w:val="single" w:sz="4" w:space="0" w:color="auto"/>
            </w:tcBorders>
          </w:tcPr>
          <w:p w14:paraId="54BB05B8"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1650" w:type="dxa"/>
            <w:tcBorders>
              <w:top w:val="nil"/>
              <w:left w:val="nil"/>
              <w:bottom w:val="single" w:sz="4" w:space="0" w:color="auto"/>
              <w:right w:val="single" w:sz="4" w:space="0" w:color="auto"/>
            </w:tcBorders>
          </w:tcPr>
          <w:p w14:paraId="25D73B96"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1540" w:type="dxa"/>
            <w:tcBorders>
              <w:top w:val="nil"/>
              <w:left w:val="nil"/>
              <w:bottom w:val="single" w:sz="4" w:space="0" w:color="auto"/>
              <w:right w:val="single" w:sz="4" w:space="0" w:color="auto"/>
            </w:tcBorders>
          </w:tcPr>
          <w:p w14:paraId="4D15B7DE"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1540" w:type="dxa"/>
            <w:tcBorders>
              <w:top w:val="nil"/>
              <w:left w:val="nil"/>
              <w:bottom w:val="single" w:sz="4" w:space="0" w:color="auto"/>
              <w:right w:val="single" w:sz="4" w:space="0" w:color="auto"/>
            </w:tcBorders>
          </w:tcPr>
          <w:p w14:paraId="553B9956"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1649" w:type="dxa"/>
            <w:tcBorders>
              <w:top w:val="nil"/>
              <w:left w:val="nil"/>
              <w:bottom w:val="single" w:sz="4" w:space="0" w:color="auto"/>
              <w:right w:val="single" w:sz="4" w:space="0" w:color="auto"/>
            </w:tcBorders>
            <w:noWrap/>
            <w:vAlign w:val="bottom"/>
          </w:tcPr>
          <w:p w14:paraId="6A766257" w14:textId="77777777" w:rsidR="00BD372F" w:rsidRPr="00BD372F" w:rsidRDefault="00BD372F" w:rsidP="00BD372F">
            <w:pPr>
              <w:spacing w:after="0" w:line="240" w:lineRule="auto"/>
              <w:rPr>
                <w:rFonts w:ascii="Times New Roman" w:hAnsi="Times New Roman"/>
                <w:color w:val="000000"/>
                <w:sz w:val="24"/>
                <w:szCs w:val="24"/>
                <w:lang w:eastAsia="sk-SK"/>
              </w:rPr>
            </w:pPr>
          </w:p>
        </w:tc>
      </w:tr>
      <w:tr w:rsidR="00BD372F" w:rsidRPr="00BD372F" w14:paraId="72C1E5C2" w14:textId="77777777" w:rsidTr="00154BAB">
        <w:trPr>
          <w:trHeight w:val="255"/>
        </w:trPr>
        <w:tc>
          <w:tcPr>
            <w:tcW w:w="7070" w:type="dxa"/>
            <w:tcBorders>
              <w:top w:val="nil"/>
              <w:left w:val="single" w:sz="4" w:space="0" w:color="auto"/>
              <w:bottom w:val="single" w:sz="4" w:space="0" w:color="auto"/>
              <w:right w:val="single" w:sz="4" w:space="0" w:color="auto"/>
            </w:tcBorders>
          </w:tcPr>
          <w:p w14:paraId="67AF42A2" w14:textId="77777777" w:rsidR="00BD372F" w:rsidRPr="00BD372F" w:rsidRDefault="00BD372F" w:rsidP="00BD372F">
            <w:pPr>
              <w:spacing w:after="0" w:line="240" w:lineRule="auto"/>
              <w:rPr>
                <w:rFonts w:ascii="Times New Roman" w:hAnsi="Times New Roman"/>
                <w:b/>
                <w:bCs/>
                <w:color w:val="000000"/>
                <w:sz w:val="20"/>
                <w:szCs w:val="20"/>
                <w:lang w:eastAsia="sk-SK"/>
              </w:rPr>
            </w:pPr>
            <w:r w:rsidRPr="00BD372F">
              <w:rPr>
                <w:rFonts w:ascii="Times New Roman" w:hAnsi="Times New Roman"/>
                <w:b/>
                <w:bCs/>
                <w:sz w:val="20"/>
                <w:szCs w:val="20"/>
                <w:lang w:eastAsia="sk-SK"/>
              </w:rPr>
              <w:t>Kapitálové výdavky (700)</w:t>
            </w:r>
          </w:p>
        </w:tc>
        <w:tc>
          <w:tcPr>
            <w:tcW w:w="1430" w:type="dxa"/>
            <w:tcBorders>
              <w:top w:val="nil"/>
              <w:left w:val="nil"/>
              <w:bottom w:val="single" w:sz="4" w:space="0" w:color="auto"/>
              <w:right w:val="single" w:sz="4" w:space="0" w:color="auto"/>
            </w:tcBorders>
          </w:tcPr>
          <w:p w14:paraId="499C3A03"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r w:rsidRPr="00BD372F">
              <w:rPr>
                <w:rFonts w:ascii="Times New Roman" w:eastAsia="Calibri" w:hAnsi="Times New Roman"/>
                <w:b/>
                <w:bCs/>
                <w:sz w:val="20"/>
                <w:szCs w:val="20"/>
              </w:rPr>
              <w:t>473 788</w:t>
            </w:r>
          </w:p>
        </w:tc>
        <w:tc>
          <w:tcPr>
            <w:tcW w:w="1650" w:type="dxa"/>
            <w:tcBorders>
              <w:top w:val="nil"/>
              <w:left w:val="nil"/>
              <w:bottom w:val="single" w:sz="4" w:space="0" w:color="auto"/>
              <w:right w:val="single" w:sz="4" w:space="0" w:color="auto"/>
            </w:tcBorders>
          </w:tcPr>
          <w:p w14:paraId="096A53EB"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r w:rsidRPr="00BD372F">
              <w:rPr>
                <w:rFonts w:ascii="Times New Roman" w:eastAsia="Calibri" w:hAnsi="Times New Roman"/>
                <w:b/>
                <w:bCs/>
                <w:sz w:val="20"/>
                <w:szCs w:val="20"/>
              </w:rPr>
              <w:t>1 200 000</w:t>
            </w:r>
          </w:p>
        </w:tc>
        <w:tc>
          <w:tcPr>
            <w:tcW w:w="1540" w:type="dxa"/>
            <w:tcBorders>
              <w:top w:val="nil"/>
              <w:left w:val="nil"/>
              <w:bottom w:val="single" w:sz="4" w:space="0" w:color="auto"/>
              <w:right w:val="single" w:sz="4" w:space="0" w:color="auto"/>
            </w:tcBorders>
          </w:tcPr>
          <w:p w14:paraId="4F221525"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r w:rsidRPr="00BD372F">
              <w:rPr>
                <w:rFonts w:ascii="Times New Roman" w:eastAsia="Calibri" w:hAnsi="Times New Roman"/>
                <w:b/>
                <w:bCs/>
                <w:sz w:val="20"/>
                <w:szCs w:val="20"/>
              </w:rPr>
              <w:t>2 400 000</w:t>
            </w:r>
          </w:p>
        </w:tc>
        <w:tc>
          <w:tcPr>
            <w:tcW w:w="1540" w:type="dxa"/>
            <w:tcBorders>
              <w:top w:val="nil"/>
              <w:left w:val="nil"/>
              <w:bottom w:val="single" w:sz="4" w:space="0" w:color="auto"/>
              <w:right w:val="single" w:sz="4" w:space="0" w:color="auto"/>
            </w:tcBorders>
          </w:tcPr>
          <w:p w14:paraId="6991FDD0"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r w:rsidRPr="00BD372F">
              <w:rPr>
                <w:rFonts w:ascii="Times New Roman" w:eastAsia="Calibri" w:hAnsi="Times New Roman"/>
                <w:b/>
                <w:bCs/>
                <w:sz w:val="20"/>
                <w:szCs w:val="20"/>
              </w:rPr>
              <w:t>2 400 000</w:t>
            </w:r>
          </w:p>
        </w:tc>
        <w:tc>
          <w:tcPr>
            <w:tcW w:w="1649" w:type="dxa"/>
            <w:tcBorders>
              <w:top w:val="nil"/>
              <w:left w:val="nil"/>
              <w:bottom w:val="single" w:sz="4" w:space="0" w:color="auto"/>
              <w:right w:val="single" w:sz="4" w:space="0" w:color="auto"/>
            </w:tcBorders>
            <w:noWrap/>
            <w:vAlign w:val="bottom"/>
          </w:tcPr>
          <w:p w14:paraId="20C2F872" w14:textId="77777777" w:rsidR="00BD372F" w:rsidRPr="00BD372F" w:rsidRDefault="00BD372F" w:rsidP="00BD372F">
            <w:pPr>
              <w:spacing w:after="0" w:line="240" w:lineRule="auto"/>
              <w:rPr>
                <w:rFonts w:ascii="Times New Roman" w:hAnsi="Times New Roman"/>
                <w:color w:val="000000"/>
                <w:sz w:val="24"/>
                <w:szCs w:val="24"/>
                <w:lang w:eastAsia="sk-SK"/>
              </w:rPr>
            </w:pPr>
            <w:r w:rsidRPr="00BD372F">
              <w:rPr>
                <w:rFonts w:ascii="Times New Roman" w:hAnsi="Times New Roman"/>
                <w:color w:val="000000"/>
                <w:sz w:val="24"/>
                <w:szCs w:val="24"/>
                <w:lang w:eastAsia="sk-SK"/>
              </w:rPr>
              <w:t> </w:t>
            </w:r>
          </w:p>
        </w:tc>
      </w:tr>
      <w:tr w:rsidR="00BD372F" w:rsidRPr="00BD372F" w14:paraId="53E590E8" w14:textId="77777777" w:rsidTr="00154BAB">
        <w:trPr>
          <w:trHeight w:val="255"/>
        </w:trPr>
        <w:tc>
          <w:tcPr>
            <w:tcW w:w="7070" w:type="dxa"/>
            <w:tcBorders>
              <w:top w:val="nil"/>
              <w:left w:val="single" w:sz="4" w:space="0" w:color="auto"/>
              <w:bottom w:val="single" w:sz="4" w:space="0" w:color="auto"/>
              <w:right w:val="single" w:sz="4" w:space="0" w:color="auto"/>
            </w:tcBorders>
          </w:tcPr>
          <w:p w14:paraId="13983419" w14:textId="77777777" w:rsidR="00BD372F" w:rsidRPr="00BD372F" w:rsidRDefault="00BD372F" w:rsidP="00BD372F">
            <w:pPr>
              <w:spacing w:after="0" w:line="240" w:lineRule="auto"/>
              <w:rPr>
                <w:rFonts w:ascii="Times New Roman" w:hAnsi="Times New Roman"/>
                <w:color w:val="000000"/>
                <w:sz w:val="20"/>
                <w:szCs w:val="20"/>
                <w:lang w:eastAsia="sk-SK"/>
              </w:rPr>
            </w:pPr>
            <w:r w:rsidRPr="00BD372F">
              <w:rPr>
                <w:rFonts w:ascii="Times New Roman" w:hAnsi="Times New Roman"/>
                <w:sz w:val="20"/>
                <w:szCs w:val="20"/>
                <w:lang w:eastAsia="sk-SK"/>
              </w:rPr>
              <w:t xml:space="preserve">  Obstarávanie kapitálových aktív (710)</w:t>
            </w:r>
            <w:r w:rsidRPr="00BD372F">
              <w:rPr>
                <w:rFonts w:ascii="Times New Roman" w:hAnsi="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511356DB" w14:textId="77777777" w:rsidR="00BD372F" w:rsidRPr="00BD372F" w:rsidRDefault="00BD372F" w:rsidP="00BD372F">
            <w:pPr>
              <w:spacing w:after="0" w:line="240" w:lineRule="auto"/>
              <w:jc w:val="center"/>
              <w:rPr>
                <w:rFonts w:ascii="Times New Roman" w:hAnsi="Times New Roman"/>
                <w:color w:val="000000"/>
                <w:sz w:val="20"/>
                <w:szCs w:val="20"/>
                <w:lang w:eastAsia="sk-SK"/>
              </w:rPr>
            </w:pPr>
            <w:r w:rsidRPr="00BD372F">
              <w:rPr>
                <w:rFonts w:ascii="Times New Roman" w:eastAsia="Calibri" w:hAnsi="Times New Roman"/>
                <w:sz w:val="20"/>
                <w:szCs w:val="20"/>
              </w:rPr>
              <w:t>473 788</w:t>
            </w:r>
          </w:p>
        </w:tc>
        <w:tc>
          <w:tcPr>
            <w:tcW w:w="1650" w:type="dxa"/>
            <w:tcBorders>
              <w:top w:val="nil"/>
              <w:left w:val="nil"/>
              <w:bottom w:val="single" w:sz="4" w:space="0" w:color="auto"/>
              <w:right w:val="single" w:sz="4" w:space="0" w:color="auto"/>
            </w:tcBorders>
          </w:tcPr>
          <w:p w14:paraId="6DF7FD1A" w14:textId="77777777" w:rsidR="00BD372F" w:rsidRPr="00BD372F" w:rsidRDefault="00BD372F" w:rsidP="00BD372F">
            <w:pPr>
              <w:spacing w:after="0" w:line="240" w:lineRule="auto"/>
              <w:jc w:val="center"/>
              <w:rPr>
                <w:rFonts w:ascii="Times New Roman" w:hAnsi="Times New Roman"/>
                <w:color w:val="000000"/>
                <w:sz w:val="20"/>
                <w:szCs w:val="20"/>
                <w:lang w:eastAsia="sk-SK"/>
              </w:rPr>
            </w:pPr>
            <w:r w:rsidRPr="00BD372F">
              <w:rPr>
                <w:rFonts w:ascii="Times New Roman" w:eastAsia="Calibri" w:hAnsi="Times New Roman"/>
                <w:sz w:val="20"/>
                <w:szCs w:val="20"/>
              </w:rPr>
              <w:t>1 200 000</w:t>
            </w:r>
          </w:p>
        </w:tc>
        <w:tc>
          <w:tcPr>
            <w:tcW w:w="1540" w:type="dxa"/>
            <w:tcBorders>
              <w:top w:val="nil"/>
              <w:left w:val="nil"/>
              <w:bottom w:val="single" w:sz="4" w:space="0" w:color="auto"/>
              <w:right w:val="single" w:sz="4" w:space="0" w:color="auto"/>
            </w:tcBorders>
          </w:tcPr>
          <w:p w14:paraId="5DB5BDB6" w14:textId="77777777" w:rsidR="00BD372F" w:rsidRPr="00BD372F" w:rsidRDefault="00BD372F" w:rsidP="00BD372F">
            <w:pPr>
              <w:spacing w:after="0" w:line="240" w:lineRule="auto"/>
              <w:jc w:val="center"/>
              <w:rPr>
                <w:rFonts w:ascii="Times New Roman" w:hAnsi="Times New Roman"/>
                <w:color w:val="000000"/>
                <w:sz w:val="20"/>
                <w:szCs w:val="20"/>
                <w:lang w:eastAsia="sk-SK"/>
              </w:rPr>
            </w:pPr>
            <w:r w:rsidRPr="00BD372F">
              <w:rPr>
                <w:rFonts w:ascii="Times New Roman" w:eastAsia="Calibri" w:hAnsi="Times New Roman"/>
                <w:sz w:val="20"/>
                <w:szCs w:val="20"/>
              </w:rPr>
              <w:t>2 400 000</w:t>
            </w:r>
          </w:p>
        </w:tc>
        <w:tc>
          <w:tcPr>
            <w:tcW w:w="1540" w:type="dxa"/>
            <w:tcBorders>
              <w:top w:val="nil"/>
              <w:left w:val="nil"/>
              <w:bottom w:val="single" w:sz="4" w:space="0" w:color="auto"/>
              <w:right w:val="single" w:sz="4" w:space="0" w:color="auto"/>
            </w:tcBorders>
          </w:tcPr>
          <w:p w14:paraId="203BE548" w14:textId="77777777" w:rsidR="00BD372F" w:rsidRPr="00BD372F" w:rsidRDefault="00BD372F" w:rsidP="00BD372F">
            <w:pPr>
              <w:spacing w:after="0" w:line="240" w:lineRule="auto"/>
              <w:jc w:val="center"/>
              <w:rPr>
                <w:rFonts w:ascii="Times New Roman" w:hAnsi="Times New Roman"/>
                <w:color w:val="000000"/>
                <w:sz w:val="20"/>
                <w:szCs w:val="20"/>
                <w:lang w:eastAsia="sk-SK"/>
              </w:rPr>
            </w:pPr>
            <w:r w:rsidRPr="00BD372F">
              <w:rPr>
                <w:rFonts w:ascii="Times New Roman" w:eastAsia="Calibri" w:hAnsi="Times New Roman"/>
                <w:sz w:val="20"/>
                <w:szCs w:val="20"/>
              </w:rPr>
              <w:t>2 400 000</w:t>
            </w:r>
          </w:p>
        </w:tc>
        <w:tc>
          <w:tcPr>
            <w:tcW w:w="1649" w:type="dxa"/>
            <w:tcBorders>
              <w:top w:val="nil"/>
              <w:left w:val="nil"/>
              <w:bottom w:val="single" w:sz="4" w:space="0" w:color="auto"/>
              <w:right w:val="single" w:sz="4" w:space="0" w:color="auto"/>
            </w:tcBorders>
            <w:noWrap/>
            <w:vAlign w:val="bottom"/>
          </w:tcPr>
          <w:p w14:paraId="34D7BFCB" w14:textId="77777777" w:rsidR="00BD372F" w:rsidRPr="00BD372F" w:rsidRDefault="00BD372F" w:rsidP="00BD372F">
            <w:pPr>
              <w:spacing w:after="0" w:line="240" w:lineRule="auto"/>
              <w:rPr>
                <w:rFonts w:ascii="Times New Roman" w:hAnsi="Times New Roman"/>
                <w:color w:val="000000"/>
                <w:sz w:val="24"/>
                <w:szCs w:val="24"/>
                <w:lang w:eastAsia="sk-SK"/>
              </w:rPr>
            </w:pPr>
            <w:r w:rsidRPr="00BD372F">
              <w:rPr>
                <w:rFonts w:ascii="Times New Roman" w:hAnsi="Times New Roman"/>
                <w:color w:val="000000"/>
                <w:sz w:val="24"/>
                <w:szCs w:val="24"/>
                <w:lang w:eastAsia="sk-SK"/>
              </w:rPr>
              <w:t> </w:t>
            </w:r>
          </w:p>
        </w:tc>
      </w:tr>
      <w:tr w:rsidR="00BD372F" w:rsidRPr="00BD372F" w14:paraId="4473D816" w14:textId="77777777" w:rsidTr="00154BAB">
        <w:trPr>
          <w:trHeight w:val="255"/>
        </w:trPr>
        <w:tc>
          <w:tcPr>
            <w:tcW w:w="7070" w:type="dxa"/>
            <w:tcBorders>
              <w:top w:val="nil"/>
              <w:left w:val="single" w:sz="4" w:space="0" w:color="auto"/>
              <w:bottom w:val="single" w:sz="4" w:space="0" w:color="auto"/>
              <w:right w:val="single" w:sz="4" w:space="0" w:color="auto"/>
            </w:tcBorders>
          </w:tcPr>
          <w:p w14:paraId="28F4FD08" w14:textId="77777777" w:rsidR="00BD372F" w:rsidRPr="00BD372F" w:rsidRDefault="00BD372F" w:rsidP="00BD372F">
            <w:pPr>
              <w:spacing w:after="0" w:line="240" w:lineRule="auto"/>
              <w:rPr>
                <w:rFonts w:ascii="Times New Roman" w:hAnsi="Times New Roman"/>
                <w:color w:val="000000"/>
                <w:sz w:val="20"/>
                <w:szCs w:val="20"/>
                <w:lang w:eastAsia="sk-SK"/>
              </w:rPr>
            </w:pPr>
            <w:r w:rsidRPr="00BD372F">
              <w:rPr>
                <w:rFonts w:ascii="Times New Roman" w:hAnsi="Times New Roman"/>
                <w:sz w:val="20"/>
                <w:szCs w:val="20"/>
                <w:lang w:eastAsia="sk-SK"/>
              </w:rPr>
              <w:t xml:space="preserve">      v tom: (718 006)  rekonštrukcia a modernizácia softvéru – funkčné rozšírenie IS pre systém Štátnej pokladnice, 0EK 0D IT financované zo ŠR</w:t>
            </w:r>
          </w:p>
        </w:tc>
        <w:tc>
          <w:tcPr>
            <w:tcW w:w="1430" w:type="dxa"/>
            <w:tcBorders>
              <w:top w:val="nil"/>
              <w:left w:val="nil"/>
              <w:bottom w:val="single" w:sz="4" w:space="0" w:color="auto"/>
              <w:right w:val="single" w:sz="4" w:space="0" w:color="auto"/>
            </w:tcBorders>
          </w:tcPr>
          <w:p w14:paraId="599BF332" w14:textId="77777777" w:rsidR="00BD372F" w:rsidRPr="00BD372F" w:rsidRDefault="00BD372F" w:rsidP="00BD372F">
            <w:pPr>
              <w:spacing w:after="0" w:line="240" w:lineRule="auto"/>
              <w:jc w:val="center"/>
              <w:rPr>
                <w:rFonts w:ascii="Times New Roman" w:hAnsi="Times New Roman"/>
                <w:color w:val="000000"/>
                <w:sz w:val="20"/>
                <w:szCs w:val="20"/>
                <w:lang w:eastAsia="sk-SK"/>
              </w:rPr>
            </w:pPr>
            <w:r w:rsidRPr="00BD372F">
              <w:rPr>
                <w:rFonts w:ascii="Times New Roman" w:eastAsia="Calibri" w:hAnsi="Times New Roman"/>
                <w:sz w:val="20"/>
                <w:szCs w:val="20"/>
              </w:rPr>
              <w:t>473 788</w:t>
            </w:r>
          </w:p>
        </w:tc>
        <w:tc>
          <w:tcPr>
            <w:tcW w:w="1650" w:type="dxa"/>
            <w:tcBorders>
              <w:top w:val="nil"/>
              <w:left w:val="nil"/>
              <w:bottom w:val="single" w:sz="4" w:space="0" w:color="auto"/>
              <w:right w:val="single" w:sz="4" w:space="0" w:color="auto"/>
            </w:tcBorders>
          </w:tcPr>
          <w:p w14:paraId="4ECDB674" w14:textId="77777777" w:rsidR="00BD372F" w:rsidRPr="00BD372F" w:rsidRDefault="00BD372F" w:rsidP="00BD372F">
            <w:pPr>
              <w:spacing w:after="0" w:line="240" w:lineRule="auto"/>
              <w:jc w:val="center"/>
              <w:rPr>
                <w:rFonts w:ascii="Times New Roman" w:hAnsi="Times New Roman"/>
                <w:color w:val="000000"/>
                <w:sz w:val="20"/>
                <w:szCs w:val="20"/>
                <w:lang w:eastAsia="sk-SK"/>
              </w:rPr>
            </w:pPr>
            <w:r w:rsidRPr="00BD372F">
              <w:rPr>
                <w:rFonts w:ascii="Times New Roman" w:eastAsia="Calibri" w:hAnsi="Times New Roman"/>
                <w:sz w:val="20"/>
                <w:szCs w:val="20"/>
              </w:rPr>
              <w:t>1 200 000</w:t>
            </w:r>
          </w:p>
        </w:tc>
        <w:tc>
          <w:tcPr>
            <w:tcW w:w="1540" w:type="dxa"/>
            <w:tcBorders>
              <w:top w:val="nil"/>
              <w:left w:val="nil"/>
              <w:bottom w:val="single" w:sz="4" w:space="0" w:color="auto"/>
              <w:right w:val="single" w:sz="4" w:space="0" w:color="auto"/>
            </w:tcBorders>
          </w:tcPr>
          <w:p w14:paraId="44DD728E" w14:textId="77777777" w:rsidR="00BD372F" w:rsidRPr="00BD372F" w:rsidRDefault="00BD372F" w:rsidP="00BD372F">
            <w:pPr>
              <w:spacing w:after="0" w:line="240" w:lineRule="auto"/>
              <w:jc w:val="center"/>
              <w:rPr>
                <w:rFonts w:ascii="Times New Roman" w:hAnsi="Times New Roman"/>
                <w:color w:val="000000"/>
                <w:sz w:val="20"/>
                <w:szCs w:val="20"/>
                <w:lang w:eastAsia="sk-SK"/>
              </w:rPr>
            </w:pPr>
            <w:r w:rsidRPr="00BD372F">
              <w:rPr>
                <w:rFonts w:ascii="Times New Roman" w:eastAsia="Calibri" w:hAnsi="Times New Roman"/>
                <w:sz w:val="20"/>
                <w:szCs w:val="20"/>
              </w:rPr>
              <w:t>2 400 000</w:t>
            </w:r>
          </w:p>
        </w:tc>
        <w:tc>
          <w:tcPr>
            <w:tcW w:w="1540" w:type="dxa"/>
            <w:tcBorders>
              <w:top w:val="nil"/>
              <w:left w:val="nil"/>
              <w:bottom w:val="single" w:sz="4" w:space="0" w:color="auto"/>
              <w:right w:val="single" w:sz="4" w:space="0" w:color="auto"/>
            </w:tcBorders>
          </w:tcPr>
          <w:p w14:paraId="7E80996F" w14:textId="77777777" w:rsidR="00BD372F" w:rsidRPr="00BD372F" w:rsidRDefault="00BD372F" w:rsidP="00BD372F">
            <w:pPr>
              <w:spacing w:after="0" w:line="240" w:lineRule="auto"/>
              <w:jc w:val="center"/>
              <w:rPr>
                <w:rFonts w:ascii="Times New Roman" w:hAnsi="Times New Roman"/>
                <w:color w:val="000000"/>
                <w:sz w:val="20"/>
                <w:szCs w:val="20"/>
                <w:lang w:eastAsia="sk-SK"/>
              </w:rPr>
            </w:pPr>
            <w:r w:rsidRPr="00BD372F">
              <w:rPr>
                <w:rFonts w:ascii="Times New Roman" w:eastAsia="Calibri" w:hAnsi="Times New Roman"/>
                <w:sz w:val="20"/>
                <w:szCs w:val="20"/>
              </w:rPr>
              <w:t>2 400 000</w:t>
            </w:r>
          </w:p>
        </w:tc>
        <w:tc>
          <w:tcPr>
            <w:tcW w:w="1649" w:type="dxa"/>
            <w:tcBorders>
              <w:top w:val="nil"/>
              <w:left w:val="nil"/>
              <w:bottom w:val="single" w:sz="4" w:space="0" w:color="auto"/>
              <w:right w:val="single" w:sz="4" w:space="0" w:color="auto"/>
            </w:tcBorders>
            <w:noWrap/>
            <w:vAlign w:val="bottom"/>
          </w:tcPr>
          <w:p w14:paraId="268B2E16" w14:textId="77777777" w:rsidR="00BD372F" w:rsidRPr="00BD372F" w:rsidRDefault="00BD372F" w:rsidP="00BD372F">
            <w:pPr>
              <w:spacing w:after="0" w:line="240" w:lineRule="auto"/>
              <w:rPr>
                <w:rFonts w:ascii="Times New Roman" w:hAnsi="Times New Roman"/>
                <w:color w:val="000000"/>
                <w:sz w:val="24"/>
                <w:szCs w:val="24"/>
                <w:lang w:eastAsia="sk-SK"/>
              </w:rPr>
            </w:pPr>
          </w:p>
        </w:tc>
      </w:tr>
      <w:tr w:rsidR="00BD372F" w:rsidRPr="00BD372F" w14:paraId="16B82ABA" w14:textId="77777777" w:rsidTr="00154BAB">
        <w:trPr>
          <w:trHeight w:val="255"/>
        </w:trPr>
        <w:tc>
          <w:tcPr>
            <w:tcW w:w="7070" w:type="dxa"/>
            <w:tcBorders>
              <w:top w:val="nil"/>
              <w:left w:val="single" w:sz="4" w:space="0" w:color="auto"/>
              <w:bottom w:val="single" w:sz="4" w:space="0" w:color="auto"/>
              <w:right w:val="single" w:sz="4" w:space="0" w:color="auto"/>
            </w:tcBorders>
          </w:tcPr>
          <w:p w14:paraId="2B359285" w14:textId="77777777" w:rsidR="00BD372F" w:rsidRPr="00BD372F" w:rsidRDefault="00BD372F" w:rsidP="00BD372F">
            <w:pPr>
              <w:spacing w:after="0" w:line="240" w:lineRule="auto"/>
              <w:rPr>
                <w:rFonts w:ascii="Times New Roman" w:hAnsi="Times New Roman"/>
                <w:color w:val="000000"/>
                <w:sz w:val="20"/>
                <w:szCs w:val="20"/>
                <w:lang w:eastAsia="sk-SK"/>
              </w:rPr>
            </w:pPr>
            <w:r w:rsidRPr="00BD372F">
              <w:rPr>
                <w:rFonts w:ascii="Times New Roman" w:hAnsi="Times New Roman"/>
                <w:color w:val="000000"/>
                <w:sz w:val="20"/>
                <w:szCs w:val="20"/>
                <w:lang w:eastAsia="sk-SK"/>
              </w:rPr>
              <w:t xml:space="preserve">  Kapitálové transfery (720)</w:t>
            </w:r>
            <w:r w:rsidRPr="00BD372F">
              <w:rPr>
                <w:rFonts w:ascii="Times New Roman" w:hAnsi="Times New Roman"/>
                <w:color w:val="000000"/>
                <w:sz w:val="20"/>
                <w:szCs w:val="20"/>
                <w:vertAlign w:val="superscript"/>
                <w:lang w:eastAsia="sk-SK"/>
              </w:rPr>
              <w:t>2</w:t>
            </w:r>
          </w:p>
        </w:tc>
        <w:tc>
          <w:tcPr>
            <w:tcW w:w="1430" w:type="dxa"/>
            <w:tcBorders>
              <w:top w:val="nil"/>
              <w:left w:val="nil"/>
              <w:bottom w:val="single" w:sz="4" w:space="0" w:color="auto"/>
              <w:right w:val="single" w:sz="4" w:space="0" w:color="auto"/>
            </w:tcBorders>
          </w:tcPr>
          <w:p w14:paraId="4142B994"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1650" w:type="dxa"/>
            <w:tcBorders>
              <w:top w:val="nil"/>
              <w:left w:val="nil"/>
              <w:bottom w:val="single" w:sz="4" w:space="0" w:color="auto"/>
              <w:right w:val="single" w:sz="4" w:space="0" w:color="auto"/>
            </w:tcBorders>
          </w:tcPr>
          <w:p w14:paraId="37D6449F"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1540" w:type="dxa"/>
            <w:tcBorders>
              <w:top w:val="nil"/>
              <w:left w:val="nil"/>
              <w:bottom w:val="single" w:sz="4" w:space="0" w:color="auto"/>
              <w:right w:val="single" w:sz="4" w:space="0" w:color="auto"/>
            </w:tcBorders>
          </w:tcPr>
          <w:p w14:paraId="32136A25"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1540" w:type="dxa"/>
            <w:tcBorders>
              <w:top w:val="nil"/>
              <w:left w:val="nil"/>
              <w:bottom w:val="single" w:sz="4" w:space="0" w:color="auto"/>
              <w:right w:val="single" w:sz="4" w:space="0" w:color="auto"/>
            </w:tcBorders>
          </w:tcPr>
          <w:p w14:paraId="2DDBD3E0"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1649" w:type="dxa"/>
            <w:tcBorders>
              <w:top w:val="nil"/>
              <w:left w:val="nil"/>
              <w:bottom w:val="single" w:sz="4" w:space="0" w:color="auto"/>
              <w:right w:val="single" w:sz="4" w:space="0" w:color="auto"/>
            </w:tcBorders>
            <w:noWrap/>
            <w:vAlign w:val="bottom"/>
          </w:tcPr>
          <w:p w14:paraId="655C0852" w14:textId="77777777" w:rsidR="00BD372F" w:rsidRPr="00BD372F" w:rsidRDefault="00BD372F" w:rsidP="00BD372F">
            <w:pPr>
              <w:spacing w:after="0" w:line="240" w:lineRule="auto"/>
              <w:rPr>
                <w:rFonts w:ascii="Times New Roman" w:hAnsi="Times New Roman"/>
                <w:color w:val="000000"/>
                <w:sz w:val="24"/>
                <w:szCs w:val="24"/>
                <w:lang w:eastAsia="sk-SK"/>
              </w:rPr>
            </w:pPr>
            <w:r w:rsidRPr="00BD372F">
              <w:rPr>
                <w:rFonts w:ascii="Times New Roman" w:hAnsi="Times New Roman"/>
                <w:color w:val="000000"/>
                <w:sz w:val="24"/>
                <w:szCs w:val="24"/>
                <w:lang w:eastAsia="sk-SK"/>
              </w:rPr>
              <w:t> </w:t>
            </w:r>
          </w:p>
        </w:tc>
      </w:tr>
      <w:tr w:rsidR="00BD372F" w:rsidRPr="00BD372F" w14:paraId="4A8923B3" w14:textId="77777777" w:rsidTr="00BD372F">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cPr>
          <w:p w14:paraId="324BDB7E" w14:textId="77777777" w:rsidR="00BD372F" w:rsidRPr="00BD372F" w:rsidRDefault="00BD372F" w:rsidP="00BD372F">
            <w:pPr>
              <w:spacing w:after="0" w:line="240" w:lineRule="auto"/>
              <w:rPr>
                <w:rFonts w:ascii="Times New Roman" w:hAnsi="Times New Roman"/>
                <w:b/>
                <w:bCs/>
                <w:color w:val="000000"/>
                <w:sz w:val="20"/>
                <w:szCs w:val="20"/>
                <w:lang w:eastAsia="sk-SK"/>
              </w:rPr>
            </w:pPr>
            <w:r w:rsidRPr="00BD372F">
              <w:rPr>
                <w:rFonts w:ascii="Times New Roman" w:hAnsi="Times New Roman"/>
                <w:b/>
                <w:bCs/>
                <w:color w:val="000000"/>
                <w:sz w:val="20"/>
                <w:szCs w:val="20"/>
                <w:lang w:eastAsia="sk-SK"/>
              </w:rPr>
              <w:t>Vplyv na limit verejných výdavkov subjektu verejnej správy celkom</w:t>
            </w:r>
          </w:p>
        </w:tc>
        <w:tc>
          <w:tcPr>
            <w:tcW w:w="1430" w:type="dxa"/>
            <w:tcBorders>
              <w:top w:val="single" w:sz="4" w:space="0" w:color="auto"/>
              <w:left w:val="nil"/>
              <w:bottom w:val="single" w:sz="4" w:space="0" w:color="auto"/>
              <w:right w:val="single" w:sz="4" w:space="0" w:color="auto"/>
            </w:tcBorders>
            <w:shd w:val="clear" w:color="auto" w:fill="BFBFBF"/>
          </w:tcPr>
          <w:p w14:paraId="233033E9"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r w:rsidRPr="00BD372F">
              <w:rPr>
                <w:rFonts w:ascii="Times New Roman" w:hAnsi="Times New Roman"/>
                <w:b/>
                <w:bCs/>
                <w:color w:val="000000"/>
                <w:sz w:val="20"/>
                <w:szCs w:val="20"/>
                <w:lang w:eastAsia="sk-SK"/>
              </w:rPr>
              <w:t>473 788</w:t>
            </w:r>
          </w:p>
        </w:tc>
        <w:tc>
          <w:tcPr>
            <w:tcW w:w="1650" w:type="dxa"/>
            <w:tcBorders>
              <w:top w:val="single" w:sz="4" w:space="0" w:color="auto"/>
              <w:left w:val="nil"/>
              <w:bottom w:val="single" w:sz="4" w:space="0" w:color="auto"/>
              <w:right w:val="single" w:sz="4" w:space="0" w:color="auto"/>
            </w:tcBorders>
            <w:shd w:val="clear" w:color="auto" w:fill="BFBFBF"/>
          </w:tcPr>
          <w:p w14:paraId="0B4441E5"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r w:rsidRPr="00BD372F">
              <w:rPr>
                <w:rFonts w:ascii="Times New Roman" w:hAnsi="Times New Roman"/>
                <w:b/>
                <w:bCs/>
                <w:color w:val="000000"/>
                <w:sz w:val="20"/>
                <w:szCs w:val="20"/>
                <w:lang w:eastAsia="sk-SK"/>
              </w:rPr>
              <w:t>1 200 000</w:t>
            </w:r>
          </w:p>
        </w:tc>
        <w:tc>
          <w:tcPr>
            <w:tcW w:w="1540" w:type="dxa"/>
            <w:tcBorders>
              <w:top w:val="single" w:sz="4" w:space="0" w:color="auto"/>
              <w:left w:val="nil"/>
              <w:bottom w:val="single" w:sz="4" w:space="0" w:color="auto"/>
              <w:right w:val="single" w:sz="4" w:space="0" w:color="auto"/>
            </w:tcBorders>
            <w:shd w:val="clear" w:color="auto" w:fill="BFBFBF"/>
          </w:tcPr>
          <w:p w14:paraId="54A0B646"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r w:rsidRPr="00BD372F">
              <w:rPr>
                <w:rFonts w:ascii="Times New Roman" w:hAnsi="Times New Roman"/>
                <w:b/>
                <w:bCs/>
                <w:color w:val="000000"/>
                <w:sz w:val="20"/>
                <w:szCs w:val="20"/>
                <w:lang w:eastAsia="sk-SK"/>
              </w:rPr>
              <w:t>2 400 000</w:t>
            </w:r>
          </w:p>
        </w:tc>
        <w:tc>
          <w:tcPr>
            <w:tcW w:w="1540" w:type="dxa"/>
            <w:tcBorders>
              <w:top w:val="single" w:sz="4" w:space="0" w:color="auto"/>
              <w:left w:val="nil"/>
              <w:bottom w:val="single" w:sz="4" w:space="0" w:color="auto"/>
              <w:right w:val="single" w:sz="4" w:space="0" w:color="auto"/>
            </w:tcBorders>
            <w:shd w:val="clear" w:color="auto" w:fill="BFBFBF"/>
          </w:tcPr>
          <w:p w14:paraId="347D6B3B"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r w:rsidRPr="00BD372F">
              <w:rPr>
                <w:rFonts w:ascii="Times New Roman" w:hAnsi="Times New Roman"/>
                <w:b/>
                <w:bCs/>
                <w:color w:val="000000"/>
                <w:sz w:val="20"/>
                <w:szCs w:val="20"/>
                <w:lang w:eastAsia="sk-SK"/>
              </w:rPr>
              <w:t>2 400 000</w:t>
            </w:r>
          </w:p>
        </w:tc>
        <w:tc>
          <w:tcPr>
            <w:tcW w:w="1649" w:type="dxa"/>
            <w:tcBorders>
              <w:top w:val="single" w:sz="4" w:space="0" w:color="auto"/>
              <w:left w:val="nil"/>
              <w:bottom w:val="single" w:sz="4" w:space="0" w:color="auto"/>
              <w:right w:val="single" w:sz="4" w:space="0" w:color="auto"/>
            </w:tcBorders>
            <w:shd w:val="clear" w:color="auto" w:fill="BFBFBF"/>
            <w:noWrap/>
            <w:vAlign w:val="bottom"/>
          </w:tcPr>
          <w:p w14:paraId="4A877B11" w14:textId="77777777" w:rsidR="00BD372F" w:rsidRPr="00BD372F" w:rsidRDefault="00BD372F" w:rsidP="00BD372F">
            <w:pPr>
              <w:spacing w:after="0" w:line="240" w:lineRule="auto"/>
              <w:rPr>
                <w:rFonts w:ascii="Times New Roman" w:hAnsi="Times New Roman"/>
                <w:color w:val="000000"/>
                <w:sz w:val="24"/>
                <w:szCs w:val="24"/>
                <w:lang w:eastAsia="sk-SK"/>
              </w:rPr>
            </w:pPr>
            <w:r w:rsidRPr="00BD372F">
              <w:rPr>
                <w:rFonts w:ascii="Times New Roman" w:hAnsi="Times New Roman"/>
                <w:color w:val="000000"/>
                <w:sz w:val="24"/>
                <w:szCs w:val="24"/>
                <w:lang w:eastAsia="sk-SK"/>
              </w:rPr>
              <w:t> </w:t>
            </w:r>
          </w:p>
        </w:tc>
      </w:tr>
    </w:tbl>
    <w:p w14:paraId="0A2B72C8" w14:textId="168B906C" w:rsidR="00BD372F" w:rsidRPr="00BD372F" w:rsidRDefault="00BD372F" w:rsidP="007945DE">
      <w:pPr>
        <w:spacing w:after="0" w:line="240" w:lineRule="auto"/>
        <w:ind w:left="-709"/>
        <w:jc w:val="both"/>
        <w:rPr>
          <w:rFonts w:ascii="Times New Roman" w:hAnsi="Times New Roman"/>
          <w:bCs/>
          <w:sz w:val="20"/>
          <w:szCs w:val="20"/>
          <w:lang w:eastAsia="sk-SK"/>
        </w:rPr>
      </w:pPr>
      <w:r w:rsidRPr="00BD372F">
        <w:rPr>
          <w:rFonts w:ascii="Times New Roman" w:hAnsi="Times New Roman"/>
          <w:bCs/>
          <w:color w:val="000000"/>
          <w:sz w:val="20"/>
          <w:szCs w:val="20"/>
          <w:lang w:eastAsia="sk-SK"/>
        </w:rPr>
        <w:t>2 –  výdavky rozpísať až do podpo</w:t>
      </w:r>
      <w:r w:rsidRPr="00BD372F">
        <w:rPr>
          <w:rFonts w:ascii="Times New Roman" w:hAnsi="Times New Roman"/>
          <w:bCs/>
          <w:sz w:val="20"/>
          <w:szCs w:val="20"/>
          <w:lang w:eastAsia="sk-SK"/>
        </w:rPr>
        <w:t>ložiek platnej ekonomickej klasifikácie</w:t>
      </w:r>
    </w:p>
    <w:p w14:paraId="3FDF1396" w14:textId="77777777" w:rsidR="00BD372F" w:rsidRPr="00BD372F" w:rsidRDefault="00BD372F" w:rsidP="007945DE">
      <w:pPr>
        <w:spacing w:after="0" w:line="240" w:lineRule="auto"/>
        <w:ind w:left="-709"/>
        <w:jc w:val="both"/>
        <w:rPr>
          <w:rFonts w:ascii="Times New Roman" w:hAnsi="Times New Roman"/>
          <w:bCs/>
          <w:sz w:val="24"/>
          <w:szCs w:val="20"/>
          <w:lang w:eastAsia="sk-SK"/>
        </w:rPr>
      </w:pPr>
    </w:p>
    <w:p w14:paraId="6BFF2C6B" w14:textId="6A194D2B" w:rsidR="00BD372F" w:rsidRPr="00BD372F" w:rsidRDefault="00BD372F" w:rsidP="007945DE">
      <w:pPr>
        <w:spacing w:after="0" w:line="240" w:lineRule="auto"/>
        <w:ind w:left="-709"/>
        <w:jc w:val="both"/>
        <w:rPr>
          <w:rFonts w:ascii="Times New Roman" w:hAnsi="Times New Roman"/>
          <w:b/>
          <w:bCs/>
          <w:sz w:val="20"/>
          <w:szCs w:val="20"/>
          <w:lang w:eastAsia="sk-SK"/>
        </w:rPr>
      </w:pPr>
      <w:r w:rsidRPr="00BD372F">
        <w:rPr>
          <w:rFonts w:ascii="Times New Roman" w:hAnsi="Times New Roman"/>
          <w:b/>
          <w:bCs/>
          <w:sz w:val="24"/>
          <w:szCs w:val="20"/>
          <w:lang w:eastAsia="sk-SK"/>
        </w:rPr>
        <w:t>Poznámka:</w:t>
      </w:r>
    </w:p>
    <w:p w14:paraId="3757F74A" w14:textId="3F82EE51" w:rsidR="00BD372F" w:rsidRPr="00BD372F" w:rsidRDefault="00BD372F" w:rsidP="007945DE">
      <w:pPr>
        <w:spacing w:after="0" w:line="240" w:lineRule="auto"/>
        <w:ind w:left="-709"/>
        <w:jc w:val="both"/>
        <w:rPr>
          <w:rFonts w:ascii="Times New Roman" w:hAnsi="Times New Roman"/>
          <w:bCs/>
          <w:sz w:val="20"/>
          <w:szCs w:val="20"/>
          <w:lang w:eastAsia="sk-SK"/>
        </w:rPr>
      </w:pPr>
      <w:r w:rsidRPr="00BD372F">
        <w:rPr>
          <w:rFonts w:ascii="Times New Roman" w:hAnsi="Times New Roman"/>
          <w:bCs/>
          <w:sz w:val="24"/>
          <w:szCs w:val="20"/>
          <w:lang w:eastAsia="sk-SK"/>
        </w:rPr>
        <w:t>Ak sa vplyv týka viacerých subjektov verejnej správy, vypĺňa sa samostatná tabuľka za každý subjekt.</w:t>
      </w:r>
    </w:p>
    <w:p w14:paraId="44B69372" w14:textId="77777777" w:rsidR="00BD372F" w:rsidRPr="00BD372F" w:rsidRDefault="00BD372F" w:rsidP="00BD372F">
      <w:pPr>
        <w:spacing w:after="0" w:line="240" w:lineRule="auto"/>
        <w:jc w:val="both"/>
        <w:rPr>
          <w:rFonts w:ascii="Times New Roman" w:hAnsi="Times New Roman"/>
          <w:bCs/>
          <w:sz w:val="20"/>
          <w:szCs w:val="20"/>
          <w:lang w:eastAsia="sk-SK"/>
        </w:rPr>
      </w:pPr>
    </w:p>
    <w:p w14:paraId="2B4353C8" w14:textId="77777777" w:rsidR="00BD372F" w:rsidRPr="00BD372F" w:rsidRDefault="00BD372F" w:rsidP="00BD372F">
      <w:pPr>
        <w:spacing w:after="0" w:line="240" w:lineRule="auto"/>
        <w:jc w:val="both"/>
        <w:rPr>
          <w:rFonts w:ascii="Times New Roman" w:hAnsi="Times New Roman"/>
          <w:bCs/>
          <w:sz w:val="20"/>
          <w:szCs w:val="20"/>
          <w:lang w:eastAsia="sk-SK"/>
        </w:rPr>
      </w:pPr>
    </w:p>
    <w:p w14:paraId="50F1F18D" w14:textId="77777777" w:rsidR="00BD372F" w:rsidRPr="00BD372F" w:rsidRDefault="00BD372F" w:rsidP="00BD372F">
      <w:pPr>
        <w:spacing w:after="0" w:line="240" w:lineRule="auto"/>
        <w:jc w:val="both"/>
        <w:rPr>
          <w:rFonts w:ascii="Times New Roman" w:hAnsi="Times New Roman"/>
          <w:bCs/>
          <w:sz w:val="20"/>
          <w:szCs w:val="20"/>
          <w:lang w:eastAsia="sk-SK"/>
        </w:rPr>
      </w:pPr>
    </w:p>
    <w:p w14:paraId="6CCC9C84" w14:textId="77777777" w:rsidR="00BD372F" w:rsidRPr="00BD372F" w:rsidRDefault="00BD372F" w:rsidP="00BD372F">
      <w:pPr>
        <w:spacing w:after="0" w:line="240" w:lineRule="auto"/>
        <w:jc w:val="both"/>
        <w:rPr>
          <w:rFonts w:ascii="Times New Roman" w:hAnsi="Times New Roman"/>
          <w:bCs/>
          <w:sz w:val="20"/>
          <w:szCs w:val="20"/>
          <w:lang w:eastAsia="sk-SK"/>
        </w:rPr>
      </w:pPr>
    </w:p>
    <w:p w14:paraId="009D5C2F" w14:textId="77777777" w:rsidR="00BD372F" w:rsidRPr="00BD372F" w:rsidRDefault="00BD372F" w:rsidP="00BD372F">
      <w:pPr>
        <w:spacing w:after="0" w:line="240" w:lineRule="auto"/>
        <w:jc w:val="both"/>
        <w:rPr>
          <w:rFonts w:ascii="Times New Roman" w:hAnsi="Times New Roman"/>
          <w:bCs/>
          <w:sz w:val="20"/>
          <w:szCs w:val="20"/>
          <w:lang w:eastAsia="sk-SK"/>
        </w:rPr>
      </w:pPr>
    </w:p>
    <w:p w14:paraId="2FE61DAA" w14:textId="77777777" w:rsidR="00BD372F" w:rsidRPr="00BD372F" w:rsidRDefault="00BD372F" w:rsidP="00BD372F">
      <w:pPr>
        <w:spacing w:after="0" w:line="240" w:lineRule="auto"/>
        <w:jc w:val="both"/>
        <w:rPr>
          <w:rFonts w:ascii="Times New Roman" w:hAnsi="Times New Roman"/>
          <w:bCs/>
          <w:sz w:val="20"/>
          <w:szCs w:val="20"/>
          <w:lang w:eastAsia="sk-SK"/>
        </w:rPr>
      </w:pPr>
    </w:p>
    <w:p w14:paraId="2A0CCB24" w14:textId="77777777" w:rsidR="00BD372F" w:rsidRPr="00BD372F" w:rsidRDefault="00BD372F" w:rsidP="00BD372F">
      <w:pPr>
        <w:spacing w:after="0" w:line="240" w:lineRule="auto"/>
        <w:jc w:val="both"/>
        <w:rPr>
          <w:rFonts w:ascii="Times New Roman" w:hAnsi="Times New Roman"/>
          <w:bCs/>
          <w:sz w:val="20"/>
          <w:szCs w:val="20"/>
          <w:lang w:eastAsia="sk-SK"/>
        </w:rPr>
      </w:pPr>
    </w:p>
    <w:p w14:paraId="47D9F4E3" w14:textId="77777777" w:rsidR="00BD372F" w:rsidRPr="00BD372F" w:rsidRDefault="00BD372F" w:rsidP="00BD372F">
      <w:pPr>
        <w:spacing w:after="0" w:line="240" w:lineRule="auto"/>
        <w:jc w:val="both"/>
        <w:rPr>
          <w:rFonts w:ascii="Times New Roman" w:hAnsi="Times New Roman"/>
          <w:bCs/>
          <w:sz w:val="20"/>
          <w:szCs w:val="20"/>
          <w:lang w:eastAsia="sk-SK"/>
        </w:rPr>
      </w:pPr>
    </w:p>
    <w:p w14:paraId="0F9491A1" w14:textId="77777777" w:rsidR="00BD372F" w:rsidRPr="00BD372F" w:rsidRDefault="00BD372F" w:rsidP="00BD372F">
      <w:pPr>
        <w:spacing w:after="0" w:line="240" w:lineRule="auto"/>
        <w:jc w:val="both"/>
        <w:rPr>
          <w:rFonts w:ascii="Times New Roman" w:hAnsi="Times New Roman"/>
          <w:bCs/>
          <w:sz w:val="20"/>
          <w:szCs w:val="20"/>
          <w:lang w:eastAsia="sk-SK"/>
        </w:rPr>
      </w:pPr>
    </w:p>
    <w:p w14:paraId="51A39186" w14:textId="77777777" w:rsidR="00BD372F" w:rsidRPr="00BD372F" w:rsidRDefault="00BD372F" w:rsidP="00BD372F">
      <w:pPr>
        <w:spacing w:after="0" w:line="240" w:lineRule="auto"/>
        <w:jc w:val="both"/>
        <w:rPr>
          <w:rFonts w:ascii="Times New Roman" w:hAnsi="Times New Roman"/>
          <w:bCs/>
          <w:sz w:val="20"/>
          <w:szCs w:val="20"/>
          <w:lang w:eastAsia="sk-SK"/>
        </w:rPr>
      </w:pPr>
    </w:p>
    <w:p w14:paraId="0B1298D3" w14:textId="77777777" w:rsidR="00BD372F" w:rsidRPr="00BD372F" w:rsidRDefault="00BD372F" w:rsidP="00BD372F">
      <w:pPr>
        <w:spacing w:after="0" w:line="240" w:lineRule="auto"/>
        <w:jc w:val="both"/>
        <w:rPr>
          <w:rFonts w:ascii="Times New Roman" w:hAnsi="Times New Roman"/>
          <w:bCs/>
          <w:sz w:val="20"/>
          <w:szCs w:val="20"/>
          <w:lang w:eastAsia="sk-SK"/>
        </w:rPr>
      </w:pPr>
    </w:p>
    <w:p w14:paraId="637D93A4" w14:textId="77777777" w:rsidR="00BD372F" w:rsidRPr="00BD372F" w:rsidRDefault="00BD372F" w:rsidP="00BD372F">
      <w:pPr>
        <w:rPr>
          <w:rFonts w:ascii="Times New Roman" w:hAnsi="Times New Roman"/>
          <w:bCs/>
          <w:sz w:val="20"/>
          <w:szCs w:val="20"/>
          <w:lang w:eastAsia="sk-SK"/>
        </w:rPr>
      </w:pPr>
      <w:r w:rsidRPr="00BD372F">
        <w:rPr>
          <w:rFonts w:ascii="Times New Roman" w:hAnsi="Times New Roman"/>
          <w:bCs/>
          <w:sz w:val="20"/>
          <w:szCs w:val="20"/>
          <w:lang w:eastAsia="sk-SK"/>
        </w:rPr>
        <w:br w:type="page"/>
      </w:r>
    </w:p>
    <w:p w14:paraId="6395F53C" w14:textId="271C8763" w:rsidR="00BD372F" w:rsidRPr="00BD372F" w:rsidRDefault="00BD372F" w:rsidP="007C72FC">
      <w:pPr>
        <w:spacing w:after="0" w:line="240" w:lineRule="auto"/>
        <w:jc w:val="right"/>
        <w:rPr>
          <w:rFonts w:ascii="Times New Roman" w:hAnsi="Times New Roman"/>
          <w:bCs/>
          <w:sz w:val="20"/>
          <w:szCs w:val="20"/>
          <w:lang w:eastAsia="sk-SK"/>
        </w:rPr>
      </w:pPr>
      <w:r w:rsidRPr="00BD372F">
        <w:rPr>
          <w:rFonts w:ascii="Times New Roman" w:hAnsi="Times New Roman"/>
          <w:bCs/>
          <w:sz w:val="20"/>
          <w:szCs w:val="20"/>
          <w:lang w:eastAsia="sk-SK"/>
        </w:rPr>
        <w:t>Tabuľka č. 4/B</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6831"/>
        <w:gridCol w:w="1394"/>
        <w:gridCol w:w="1605"/>
        <w:gridCol w:w="1499"/>
        <w:gridCol w:w="1499"/>
        <w:gridCol w:w="2051"/>
      </w:tblGrid>
      <w:tr w:rsidR="00BD372F" w:rsidRPr="00BD372F" w14:paraId="01C0A917" w14:textId="77777777" w:rsidTr="00BD372F">
        <w:trPr>
          <w:cantSplit/>
          <w:trHeight w:val="255"/>
        </w:trPr>
        <w:tc>
          <w:tcPr>
            <w:tcW w:w="6831"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14:paraId="0AEDE5E7"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r w:rsidRPr="00BD372F">
              <w:rPr>
                <w:rFonts w:ascii="Times New Roman" w:hAnsi="Times New Roman"/>
                <w:b/>
                <w:bCs/>
                <w:color w:val="000000"/>
                <w:sz w:val="20"/>
                <w:szCs w:val="20"/>
                <w:lang w:eastAsia="sk-SK"/>
              </w:rPr>
              <w:t>Vplyvy (v metodike ESA 2010)</w:t>
            </w:r>
          </w:p>
          <w:p w14:paraId="63997FFF"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r w:rsidRPr="00BD372F">
              <w:rPr>
                <w:rFonts w:ascii="Times New Roman" w:hAnsi="Times New Roman"/>
                <w:b/>
                <w:bCs/>
                <w:sz w:val="20"/>
                <w:szCs w:val="20"/>
                <w:lang w:eastAsia="sk-SK"/>
              </w:rPr>
              <w:t>Úrad vládneho auditu</w:t>
            </w:r>
          </w:p>
        </w:tc>
        <w:tc>
          <w:tcPr>
            <w:tcW w:w="5997" w:type="dxa"/>
            <w:gridSpan w:val="4"/>
            <w:tcBorders>
              <w:top w:val="single" w:sz="4" w:space="0" w:color="auto"/>
              <w:left w:val="nil"/>
              <w:bottom w:val="single" w:sz="4" w:space="0" w:color="auto"/>
              <w:right w:val="single" w:sz="4" w:space="0" w:color="auto"/>
            </w:tcBorders>
            <w:shd w:val="clear" w:color="auto" w:fill="BFBFBF"/>
          </w:tcPr>
          <w:p w14:paraId="12D03281"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r w:rsidRPr="00BD372F">
              <w:rPr>
                <w:rFonts w:ascii="Times New Roman" w:hAnsi="Times New Roman"/>
                <w:b/>
                <w:bCs/>
                <w:color w:val="000000"/>
                <w:sz w:val="20"/>
                <w:szCs w:val="20"/>
                <w:lang w:eastAsia="sk-SK"/>
              </w:rPr>
              <w:t>Vplyv na limit verejných výdavkov subjektu verejnej správy</w:t>
            </w:r>
          </w:p>
        </w:tc>
        <w:tc>
          <w:tcPr>
            <w:tcW w:w="2051"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582E42AC" w14:textId="77777777" w:rsidR="00BD372F" w:rsidRPr="00BD372F" w:rsidRDefault="00BD372F" w:rsidP="00BD372F">
            <w:pPr>
              <w:spacing w:after="0" w:line="240" w:lineRule="auto"/>
              <w:jc w:val="center"/>
              <w:rPr>
                <w:rFonts w:ascii="Times New Roman" w:hAnsi="Times New Roman"/>
                <w:b/>
                <w:bCs/>
                <w:color w:val="000000"/>
                <w:sz w:val="24"/>
                <w:szCs w:val="24"/>
                <w:lang w:eastAsia="sk-SK"/>
              </w:rPr>
            </w:pPr>
            <w:r w:rsidRPr="00BD372F">
              <w:rPr>
                <w:rFonts w:ascii="Times New Roman" w:hAnsi="Times New Roman"/>
                <w:b/>
                <w:bCs/>
                <w:color w:val="000000"/>
                <w:sz w:val="24"/>
                <w:szCs w:val="24"/>
                <w:lang w:eastAsia="sk-SK"/>
              </w:rPr>
              <w:t>poznámka</w:t>
            </w:r>
          </w:p>
        </w:tc>
      </w:tr>
      <w:tr w:rsidR="00BD372F" w:rsidRPr="00BD372F" w14:paraId="0715353E" w14:textId="77777777" w:rsidTr="00BD372F">
        <w:trPr>
          <w:cantSplit/>
          <w:trHeight w:val="255"/>
        </w:trPr>
        <w:tc>
          <w:tcPr>
            <w:tcW w:w="6831" w:type="dxa"/>
            <w:vMerge/>
            <w:tcBorders>
              <w:top w:val="single" w:sz="4" w:space="0" w:color="auto"/>
              <w:left w:val="single" w:sz="4" w:space="0" w:color="auto"/>
              <w:bottom w:val="single" w:sz="4" w:space="0" w:color="000000"/>
              <w:right w:val="single" w:sz="4" w:space="0" w:color="auto"/>
            </w:tcBorders>
            <w:vAlign w:val="center"/>
          </w:tcPr>
          <w:p w14:paraId="57237A59" w14:textId="77777777" w:rsidR="00BD372F" w:rsidRPr="00BD372F" w:rsidRDefault="00BD372F" w:rsidP="00BD372F">
            <w:pPr>
              <w:spacing w:after="0" w:line="240" w:lineRule="auto"/>
              <w:rPr>
                <w:rFonts w:ascii="Times New Roman" w:hAnsi="Times New Roman"/>
                <w:b/>
                <w:bCs/>
                <w:color w:val="000000"/>
                <w:sz w:val="20"/>
                <w:szCs w:val="20"/>
                <w:lang w:eastAsia="sk-SK"/>
              </w:rPr>
            </w:pPr>
          </w:p>
        </w:tc>
        <w:tc>
          <w:tcPr>
            <w:tcW w:w="1394" w:type="dxa"/>
            <w:tcBorders>
              <w:top w:val="nil"/>
              <w:left w:val="nil"/>
              <w:bottom w:val="single" w:sz="4" w:space="0" w:color="auto"/>
              <w:right w:val="single" w:sz="4" w:space="0" w:color="auto"/>
            </w:tcBorders>
            <w:shd w:val="clear" w:color="auto" w:fill="BFBFBF"/>
          </w:tcPr>
          <w:p w14:paraId="07197B82"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r w:rsidRPr="00BD372F">
              <w:rPr>
                <w:rFonts w:ascii="Times New Roman" w:hAnsi="Times New Roman"/>
                <w:b/>
                <w:bCs/>
                <w:color w:val="000000"/>
                <w:sz w:val="20"/>
                <w:szCs w:val="20"/>
                <w:lang w:eastAsia="sk-SK"/>
              </w:rPr>
              <w:t>2025</w:t>
            </w:r>
          </w:p>
        </w:tc>
        <w:tc>
          <w:tcPr>
            <w:tcW w:w="1605" w:type="dxa"/>
            <w:tcBorders>
              <w:top w:val="nil"/>
              <w:left w:val="nil"/>
              <w:bottom w:val="single" w:sz="4" w:space="0" w:color="auto"/>
              <w:right w:val="single" w:sz="4" w:space="0" w:color="auto"/>
            </w:tcBorders>
            <w:shd w:val="clear" w:color="auto" w:fill="BFBFBF"/>
          </w:tcPr>
          <w:p w14:paraId="77A3E62B"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r w:rsidRPr="00BD372F">
              <w:rPr>
                <w:rFonts w:ascii="Times New Roman" w:hAnsi="Times New Roman"/>
                <w:b/>
                <w:bCs/>
                <w:color w:val="000000"/>
                <w:sz w:val="20"/>
                <w:szCs w:val="20"/>
                <w:lang w:eastAsia="sk-SK"/>
              </w:rPr>
              <w:t>2026</w:t>
            </w:r>
          </w:p>
        </w:tc>
        <w:tc>
          <w:tcPr>
            <w:tcW w:w="1499" w:type="dxa"/>
            <w:tcBorders>
              <w:top w:val="nil"/>
              <w:left w:val="nil"/>
              <w:bottom w:val="single" w:sz="4" w:space="0" w:color="auto"/>
              <w:right w:val="single" w:sz="4" w:space="0" w:color="auto"/>
            </w:tcBorders>
            <w:shd w:val="clear" w:color="auto" w:fill="BFBFBF"/>
          </w:tcPr>
          <w:p w14:paraId="65C1E572"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r w:rsidRPr="00BD372F">
              <w:rPr>
                <w:rFonts w:ascii="Times New Roman" w:hAnsi="Times New Roman"/>
                <w:b/>
                <w:bCs/>
                <w:color w:val="000000"/>
                <w:sz w:val="20"/>
                <w:szCs w:val="20"/>
                <w:lang w:eastAsia="sk-SK"/>
              </w:rPr>
              <w:t>2027</w:t>
            </w:r>
          </w:p>
        </w:tc>
        <w:tc>
          <w:tcPr>
            <w:tcW w:w="1499" w:type="dxa"/>
            <w:tcBorders>
              <w:top w:val="nil"/>
              <w:left w:val="nil"/>
              <w:bottom w:val="single" w:sz="4" w:space="0" w:color="auto"/>
              <w:right w:val="single" w:sz="4" w:space="0" w:color="auto"/>
            </w:tcBorders>
            <w:shd w:val="clear" w:color="auto" w:fill="BFBFBF"/>
          </w:tcPr>
          <w:p w14:paraId="5A8C40EC" w14:textId="77777777" w:rsidR="00BD372F" w:rsidRPr="00BD372F" w:rsidRDefault="00BD372F" w:rsidP="00BD372F">
            <w:pPr>
              <w:spacing w:after="0" w:line="240" w:lineRule="auto"/>
              <w:jc w:val="center"/>
              <w:rPr>
                <w:rFonts w:ascii="Times New Roman" w:hAnsi="Times New Roman"/>
                <w:b/>
                <w:bCs/>
                <w:color w:val="000000"/>
                <w:sz w:val="24"/>
                <w:szCs w:val="24"/>
                <w:lang w:eastAsia="sk-SK"/>
              </w:rPr>
            </w:pPr>
            <w:r w:rsidRPr="00BD372F">
              <w:rPr>
                <w:rFonts w:ascii="Times New Roman" w:hAnsi="Times New Roman"/>
                <w:b/>
                <w:bCs/>
                <w:color w:val="000000"/>
                <w:sz w:val="20"/>
                <w:szCs w:val="20"/>
                <w:lang w:eastAsia="sk-SK"/>
              </w:rPr>
              <w:t>2028</w:t>
            </w:r>
          </w:p>
        </w:tc>
        <w:tc>
          <w:tcPr>
            <w:tcW w:w="2051" w:type="dxa"/>
            <w:vMerge/>
            <w:tcBorders>
              <w:top w:val="single" w:sz="4" w:space="0" w:color="auto"/>
              <w:left w:val="single" w:sz="4" w:space="0" w:color="auto"/>
              <w:bottom w:val="single" w:sz="4" w:space="0" w:color="auto"/>
              <w:right w:val="single" w:sz="4" w:space="0" w:color="auto"/>
            </w:tcBorders>
            <w:vAlign w:val="center"/>
          </w:tcPr>
          <w:p w14:paraId="51A376E6" w14:textId="77777777" w:rsidR="00BD372F" w:rsidRPr="00BD372F" w:rsidRDefault="00BD372F" w:rsidP="00BD372F">
            <w:pPr>
              <w:spacing w:after="0" w:line="240" w:lineRule="auto"/>
              <w:rPr>
                <w:rFonts w:ascii="Times New Roman" w:hAnsi="Times New Roman"/>
                <w:b/>
                <w:bCs/>
                <w:color w:val="000000"/>
                <w:sz w:val="24"/>
                <w:szCs w:val="24"/>
                <w:lang w:eastAsia="sk-SK"/>
              </w:rPr>
            </w:pPr>
          </w:p>
        </w:tc>
      </w:tr>
      <w:tr w:rsidR="00BD372F" w:rsidRPr="00BD372F" w14:paraId="3D2C8C19" w14:textId="77777777" w:rsidTr="00154BAB">
        <w:trPr>
          <w:trHeight w:val="255"/>
        </w:trPr>
        <w:tc>
          <w:tcPr>
            <w:tcW w:w="6831" w:type="dxa"/>
            <w:tcBorders>
              <w:top w:val="nil"/>
              <w:left w:val="single" w:sz="4" w:space="0" w:color="auto"/>
              <w:bottom w:val="single" w:sz="4" w:space="0" w:color="auto"/>
              <w:right w:val="single" w:sz="4" w:space="0" w:color="auto"/>
            </w:tcBorders>
          </w:tcPr>
          <w:p w14:paraId="53A83D46" w14:textId="77777777" w:rsidR="00BD372F" w:rsidRPr="00BD372F" w:rsidRDefault="00BD372F" w:rsidP="00BD372F">
            <w:pPr>
              <w:spacing w:after="0" w:line="240" w:lineRule="auto"/>
              <w:rPr>
                <w:rFonts w:ascii="Times New Roman" w:hAnsi="Times New Roman"/>
                <w:b/>
                <w:bCs/>
                <w:color w:val="000000"/>
                <w:sz w:val="20"/>
                <w:szCs w:val="20"/>
                <w:lang w:eastAsia="sk-SK"/>
              </w:rPr>
            </w:pPr>
            <w:r w:rsidRPr="00BD372F">
              <w:rPr>
                <w:rFonts w:ascii="Times New Roman" w:hAnsi="Times New Roman"/>
                <w:b/>
                <w:bCs/>
                <w:color w:val="000000"/>
                <w:sz w:val="20"/>
                <w:szCs w:val="20"/>
                <w:lang w:eastAsia="sk-SK"/>
              </w:rPr>
              <w:t>Kapitálové príjmy (230)</w:t>
            </w:r>
          </w:p>
        </w:tc>
        <w:tc>
          <w:tcPr>
            <w:tcW w:w="1394" w:type="dxa"/>
            <w:tcBorders>
              <w:top w:val="nil"/>
              <w:left w:val="nil"/>
              <w:bottom w:val="single" w:sz="4" w:space="0" w:color="auto"/>
              <w:right w:val="single" w:sz="4" w:space="0" w:color="auto"/>
            </w:tcBorders>
          </w:tcPr>
          <w:p w14:paraId="784397A5"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p>
        </w:tc>
        <w:tc>
          <w:tcPr>
            <w:tcW w:w="1605" w:type="dxa"/>
            <w:tcBorders>
              <w:top w:val="nil"/>
              <w:left w:val="nil"/>
              <w:bottom w:val="single" w:sz="4" w:space="0" w:color="auto"/>
              <w:right w:val="single" w:sz="4" w:space="0" w:color="auto"/>
            </w:tcBorders>
          </w:tcPr>
          <w:p w14:paraId="541D8063"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p>
        </w:tc>
        <w:tc>
          <w:tcPr>
            <w:tcW w:w="1499" w:type="dxa"/>
            <w:tcBorders>
              <w:top w:val="nil"/>
              <w:left w:val="nil"/>
              <w:bottom w:val="single" w:sz="4" w:space="0" w:color="auto"/>
              <w:right w:val="single" w:sz="4" w:space="0" w:color="auto"/>
            </w:tcBorders>
          </w:tcPr>
          <w:p w14:paraId="0AD34217"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p>
        </w:tc>
        <w:tc>
          <w:tcPr>
            <w:tcW w:w="1499" w:type="dxa"/>
            <w:tcBorders>
              <w:top w:val="nil"/>
              <w:left w:val="nil"/>
              <w:bottom w:val="single" w:sz="4" w:space="0" w:color="auto"/>
              <w:right w:val="single" w:sz="4" w:space="0" w:color="auto"/>
            </w:tcBorders>
          </w:tcPr>
          <w:p w14:paraId="659B23F3"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p>
        </w:tc>
        <w:tc>
          <w:tcPr>
            <w:tcW w:w="2051" w:type="dxa"/>
            <w:vMerge w:val="restart"/>
            <w:tcBorders>
              <w:top w:val="nil"/>
              <w:left w:val="nil"/>
              <w:right w:val="single" w:sz="4" w:space="0" w:color="auto"/>
            </w:tcBorders>
            <w:noWrap/>
            <w:vAlign w:val="bottom"/>
          </w:tcPr>
          <w:p w14:paraId="0BBF18F1" w14:textId="77777777" w:rsidR="00BD372F" w:rsidRPr="00BD372F" w:rsidRDefault="00BD372F" w:rsidP="00BD372F">
            <w:pPr>
              <w:spacing w:after="0" w:line="240" w:lineRule="auto"/>
              <w:rPr>
                <w:rFonts w:ascii="Times New Roman" w:hAnsi="Times New Roman"/>
                <w:color w:val="000000"/>
                <w:sz w:val="24"/>
                <w:szCs w:val="24"/>
                <w:lang w:eastAsia="sk-SK"/>
              </w:rPr>
            </w:pPr>
            <w:r w:rsidRPr="00BD372F">
              <w:rPr>
                <w:rFonts w:ascii="Times New Roman" w:eastAsia="Calibri" w:hAnsi="Times New Roman"/>
                <w:sz w:val="20"/>
                <w:szCs w:val="20"/>
              </w:rPr>
              <w:t xml:space="preserve">Ide </w:t>
            </w:r>
            <w:r w:rsidRPr="00BD372F">
              <w:rPr>
                <w:rFonts w:ascii="Times New Roman" w:hAnsi="Times New Roman"/>
                <w:sz w:val="20"/>
                <w:szCs w:val="20"/>
                <w:lang w:eastAsia="sk-SK"/>
              </w:rPr>
              <w:t>o výdavky zahŕňajúce výdavkové tituly, ktoré priamo súvisia s dvoma štátnozamestnaneckými miestami vrátane odvodov, rekreačných a športových poukazov, školení, licencií na SW, telekomunikačných služieb, cestovných náhrad, príspevkov do sociálneho fondu a príspevkov na stravu; v roku 2026 je zahrnuté aj jednorazové vybavenie výpočtovou technikou.</w:t>
            </w:r>
          </w:p>
        </w:tc>
      </w:tr>
      <w:tr w:rsidR="00BD372F" w:rsidRPr="00BD372F" w14:paraId="5224F491" w14:textId="77777777" w:rsidTr="00154BAB">
        <w:trPr>
          <w:trHeight w:val="255"/>
        </w:trPr>
        <w:tc>
          <w:tcPr>
            <w:tcW w:w="6831" w:type="dxa"/>
            <w:tcBorders>
              <w:top w:val="nil"/>
              <w:left w:val="single" w:sz="4" w:space="0" w:color="auto"/>
              <w:bottom w:val="single" w:sz="4" w:space="0" w:color="auto"/>
              <w:right w:val="single" w:sz="4" w:space="0" w:color="auto"/>
            </w:tcBorders>
          </w:tcPr>
          <w:p w14:paraId="71077DE9" w14:textId="77777777" w:rsidR="00BD372F" w:rsidRPr="00BD372F" w:rsidRDefault="00BD372F" w:rsidP="00BD372F">
            <w:pPr>
              <w:spacing w:after="0" w:line="240" w:lineRule="auto"/>
              <w:rPr>
                <w:rFonts w:ascii="Times New Roman" w:hAnsi="Times New Roman"/>
                <w:b/>
                <w:bCs/>
                <w:color w:val="000000"/>
                <w:sz w:val="20"/>
                <w:szCs w:val="20"/>
                <w:lang w:eastAsia="sk-SK"/>
              </w:rPr>
            </w:pPr>
            <w:r w:rsidRPr="00BD372F">
              <w:rPr>
                <w:rFonts w:ascii="Times New Roman" w:hAnsi="Times New Roman"/>
                <w:b/>
                <w:bCs/>
                <w:color w:val="000000"/>
                <w:sz w:val="20"/>
                <w:szCs w:val="20"/>
                <w:lang w:eastAsia="sk-SK"/>
              </w:rPr>
              <w:t>Bežné výdavky (600)</w:t>
            </w:r>
          </w:p>
        </w:tc>
        <w:tc>
          <w:tcPr>
            <w:tcW w:w="1394" w:type="dxa"/>
            <w:tcBorders>
              <w:top w:val="nil"/>
              <w:left w:val="nil"/>
              <w:bottom w:val="single" w:sz="4" w:space="0" w:color="auto"/>
              <w:right w:val="single" w:sz="4" w:space="0" w:color="auto"/>
            </w:tcBorders>
          </w:tcPr>
          <w:p w14:paraId="477643E3"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r w:rsidRPr="00BD372F">
              <w:rPr>
                <w:rFonts w:ascii="Times New Roman" w:hAnsi="Times New Roman"/>
                <w:b/>
                <w:bCs/>
                <w:sz w:val="20"/>
                <w:szCs w:val="20"/>
                <w:lang w:eastAsia="sk-SK"/>
              </w:rPr>
              <w:t>0</w:t>
            </w:r>
          </w:p>
        </w:tc>
        <w:tc>
          <w:tcPr>
            <w:tcW w:w="1605" w:type="dxa"/>
            <w:tcBorders>
              <w:top w:val="nil"/>
              <w:left w:val="nil"/>
              <w:bottom w:val="single" w:sz="4" w:space="0" w:color="auto"/>
              <w:right w:val="single" w:sz="4" w:space="0" w:color="auto"/>
            </w:tcBorders>
          </w:tcPr>
          <w:p w14:paraId="1F173934"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r w:rsidRPr="00BD372F">
              <w:rPr>
                <w:rFonts w:ascii="Times New Roman" w:hAnsi="Times New Roman"/>
                <w:b/>
                <w:bCs/>
                <w:sz w:val="20"/>
                <w:szCs w:val="20"/>
                <w:lang w:eastAsia="sk-SK"/>
              </w:rPr>
              <w:t>92 520</w:t>
            </w:r>
          </w:p>
        </w:tc>
        <w:tc>
          <w:tcPr>
            <w:tcW w:w="1499" w:type="dxa"/>
            <w:tcBorders>
              <w:top w:val="nil"/>
              <w:left w:val="nil"/>
              <w:bottom w:val="single" w:sz="4" w:space="0" w:color="auto"/>
              <w:right w:val="single" w:sz="4" w:space="0" w:color="auto"/>
            </w:tcBorders>
          </w:tcPr>
          <w:p w14:paraId="58FA3C48"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r w:rsidRPr="00BD372F">
              <w:rPr>
                <w:rFonts w:ascii="Times New Roman" w:hAnsi="Times New Roman"/>
                <w:b/>
                <w:bCs/>
                <w:sz w:val="20"/>
                <w:szCs w:val="20"/>
                <w:lang w:eastAsia="sk-SK"/>
              </w:rPr>
              <w:t>89 520</w:t>
            </w:r>
          </w:p>
        </w:tc>
        <w:tc>
          <w:tcPr>
            <w:tcW w:w="1499" w:type="dxa"/>
            <w:tcBorders>
              <w:top w:val="nil"/>
              <w:left w:val="nil"/>
              <w:bottom w:val="single" w:sz="4" w:space="0" w:color="auto"/>
              <w:right w:val="single" w:sz="4" w:space="0" w:color="auto"/>
            </w:tcBorders>
          </w:tcPr>
          <w:p w14:paraId="12E77F6F"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r w:rsidRPr="00BD372F">
              <w:rPr>
                <w:rFonts w:ascii="Times New Roman" w:hAnsi="Times New Roman"/>
                <w:b/>
                <w:bCs/>
                <w:sz w:val="20"/>
                <w:szCs w:val="20"/>
                <w:lang w:eastAsia="sk-SK"/>
              </w:rPr>
              <w:t>89 520</w:t>
            </w:r>
          </w:p>
        </w:tc>
        <w:tc>
          <w:tcPr>
            <w:tcW w:w="2051" w:type="dxa"/>
            <w:vMerge/>
            <w:tcBorders>
              <w:left w:val="nil"/>
              <w:right w:val="single" w:sz="4" w:space="0" w:color="auto"/>
            </w:tcBorders>
            <w:noWrap/>
            <w:vAlign w:val="bottom"/>
          </w:tcPr>
          <w:p w14:paraId="561080AB" w14:textId="77777777" w:rsidR="00BD372F" w:rsidRPr="00BD372F" w:rsidRDefault="00BD372F" w:rsidP="00BD372F">
            <w:pPr>
              <w:spacing w:after="0" w:line="240" w:lineRule="auto"/>
              <w:rPr>
                <w:rFonts w:ascii="Times New Roman" w:hAnsi="Times New Roman"/>
                <w:color w:val="000000"/>
                <w:sz w:val="24"/>
                <w:szCs w:val="24"/>
                <w:lang w:eastAsia="sk-SK"/>
              </w:rPr>
            </w:pPr>
          </w:p>
        </w:tc>
      </w:tr>
      <w:tr w:rsidR="00BD372F" w:rsidRPr="00BD372F" w14:paraId="4B56AD70" w14:textId="77777777" w:rsidTr="00154BAB">
        <w:trPr>
          <w:trHeight w:val="255"/>
        </w:trPr>
        <w:tc>
          <w:tcPr>
            <w:tcW w:w="6831" w:type="dxa"/>
            <w:tcBorders>
              <w:top w:val="nil"/>
              <w:left w:val="single" w:sz="4" w:space="0" w:color="auto"/>
              <w:bottom w:val="single" w:sz="4" w:space="0" w:color="auto"/>
              <w:right w:val="single" w:sz="4" w:space="0" w:color="auto"/>
            </w:tcBorders>
          </w:tcPr>
          <w:p w14:paraId="6EC72D59" w14:textId="77777777" w:rsidR="00BD372F" w:rsidRPr="00BD372F" w:rsidRDefault="00BD372F" w:rsidP="00BD372F">
            <w:pPr>
              <w:spacing w:after="0" w:line="240" w:lineRule="auto"/>
              <w:rPr>
                <w:rFonts w:ascii="Times New Roman" w:hAnsi="Times New Roman"/>
                <w:color w:val="000000"/>
                <w:sz w:val="20"/>
                <w:szCs w:val="20"/>
                <w:lang w:eastAsia="sk-SK"/>
              </w:rPr>
            </w:pPr>
            <w:r w:rsidRPr="00BD372F">
              <w:rPr>
                <w:rFonts w:ascii="Times New Roman" w:hAnsi="Times New Roman"/>
                <w:color w:val="000000"/>
                <w:sz w:val="20"/>
                <w:szCs w:val="20"/>
                <w:lang w:eastAsia="sk-SK"/>
              </w:rPr>
              <w:t xml:space="preserve">  Mzdy, platy, služobné príjmy a ostatné osobné vyrovnania (610)</w:t>
            </w:r>
          </w:p>
        </w:tc>
        <w:tc>
          <w:tcPr>
            <w:tcW w:w="1394" w:type="dxa"/>
            <w:tcBorders>
              <w:top w:val="nil"/>
              <w:left w:val="nil"/>
              <w:bottom w:val="single" w:sz="4" w:space="0" w:color="auto"/>
              <w:right w:val="single" w:sz="4" w:space="0" w:color="auto"/>
            </w:tcBorders>
          </w:tcPr>
          <w:p w14:paraId="6A23A4E4" w14:textId="77777777" w:rsidR="00BD372F" w:rsidRPr="00BD372F" w:rsidRDefault="00BD372F" w:rsidP="00BD372F">
            <w:pPr>
              <w:spacing w:after="0" w:line="240" w:lineRule="auto"/>
              <w:jc w:val="center"/>
              <w:rPr>
                <w:rFonts w:ascii="Times New Roman" w:hAnsi="Times New Roman"/>
                <w:color w:val="000000"/>
                <w:sz w:val="20"/>
                <w:szCs w:val="20"/>
                <w:lang w:eastAsia="sk-SK"/>
              </w:rPr>
            </w:pPr>
            <w:r w:rsidRPr="00BD372F">
              <w:rPr>
                <w:rFonts w:ascii="Times New Roman" w:hAnsi="Times New Roman"/>
                <w:sz w:val="20"/>
                <w:szCs w:val="20"/>
                <w:lang w:eastAsia="sk-SK"/>
              </w:rPr>
              <w:t>0</w:t>
            </w:r>
          </w:p>
        </w:tc>
        <w:tc>
          <w:tcPr>
            <w:tcW w:w="1605" w:type="dxa"/>
            <w:tcBorders>
              <w:top w:val="nil"/>
              <w:left w:val="nil"/>
              <w:bottom w:val="single" w:sz="4" w:space="0" w:color="auto"/>
              <w:right w:val="single" w:sz="4" w:space="0" w:color="auto"/>
            </w:tcBorders>
          </w:tcPr>
          <w:p w14:paraId="7479BEE1" w14:textId="77777777" w:rsidR="00BD372F" w:rsidRPr="00BD372F" w:rsidRDefault="00BD372F" w:rsidP="00BD372F">
            <w:pPr>
              <w:spacing w:after="0" w:line="240" w:lineRule="auto"/>
              <w:jc w:val="center"/>
              <w:rPr>
                <w:rFonts w:ascii="Times New Roman" w:hAnsi="Times New Roman"/>
                <w:color w:val="000000"/>
                <w:sz w:val="20"/>
                <w:szCs w:val="20"/>
                <w:lang w:eastAsia="sk-SK"/>
              </w:rPr>
            </w:pPr>
            <w:r w:rsidRPr="00BD372F">
              <w:rPr>
                <w:rFonts w:ascii="Times New Roman" w:hAnsi="Times New Roman"/>
                <w:sz w:val="20"/>
                <w:szCs w:val="20"/>
                <w:lang w:eastAsia="sk-SK"/>
              </w:rPr>
              <w:t>58 968</w:t>
            </w:r>
          </w:p>
        </w:tc>
        <w:tc>
          <w:tcPr>
            <w:tcW w:w="1499" w:type="dxa"/>
            <w:tcBorders>
              <w:top w:val="nil"/>
              <w:left w:val="nil"/>
              <w:bottom w:val="single" w:sz="4" w:space="0" w:color="auto"/>
              <w:right w:val="single" w:sz="4" w:space="0" w:color="auto"/>
            </w:tcBorders>
          </w:tcPr>
          <w:p w14:paraId="7D9CA7D5" w14:textId="77777777" w:rsidR="00BD372F" w:rsidRPr="00BD372F" w:rsidRDefault="00BD372F" w:rsidP="00BD372F">
            <w:pPr>
              <w:spacing w:after="0" w:line="240" w:lineRule="auto"/>
              <w:jc w:val="center"/>
              <w:rPr>
                <w:rFonts w:ascii="Times New Roman" w:hAnsi="Times New Roman"/>
                <w:color w:val="000000"/>
                <w:sz w:val="20"/>
                <w:szCs w:val="20"/>
                <w:lang w:eastAsia="sk-SK"/>
              </w:rPr>
            </w:pPr>
            <w:r w:rsidRPr="00BD372F">
              <w:rPr>
                <w:rFonts w:ascii="Times New Roman" w:hAnsi="Times New Roman"/>
                <w:sz w:val="20"/>
                <w:szCs w:val="20"/>
                <w:lang w:eastAsia="sk-SK"/>
              </w:rPr>
              <w:t>58 968</w:t>
            </w:r>
          </w:p>
        </w:tc>
        <w:tc>
          <w:tcPr>
            <w:tcW w:w="1499" w:type="dxa"/>
            <w:tcBorders>
              <w:top w:val="nil"/>
              <w:left w:val="nil"/>
              <w:bottom w:val="single" w:sz="4" w:space="0" w:color="auto"/>
              <w:right w:val="single" w:sz="4" w:space="0" w:color="auto"/>
            </w:tcBorders>
          </w:tcPr>
          <w:p w14:paraId="7DDF9E5F" w14:textId="77777777" w:rsidR="00BD372F" w:rsidRPr="00BD372F" w:rsidRDefault="00BD372F" w:rsidP="00BD372F">
            <w:pPr>
              <w:spacing w:after="0" w:line="240" w:lineRule="auto"/>
              <w:jc w:val="center"/>
              <w:rPr>
                <w:rFonts w:ascii="Times New Roman" w:hAnsi="Times New Roman"/>
                <w:color w:val="000000"/>
                <w:sz w:val="20"/>
                <w:szCs w:val="20"/>
                <w:lang w:eastAsia="sk-SK"/>
              </w:rPr>
            </w:pPr>
            <w:r w:rsidRPr="00BD372F">
              <w:rPr>
                <w:rFonts w:ascii="Times New Roman" w:hAnsi="Times New Roman"/>
                <w:sz w:val="20"/>
                <w:szCs w:val="20"/>
                <w:lang w:eastAsia="sk-SK"/>
              </w:rPr>
              <w:t>58 968</w:t>
            </w:r>
          </w:p>
        </w:tc>
        <w:tc>
          <w:tcPr>
            <w:tcW w:w="2051" w:type="dxa"/>
            <w:vMerge/>
            <w:tcBorders>
              <w:left w:val="nil"/>
              <w:right w:val="single" w:sz="4" w:space="0" w:color="auto"/>
            </w:tcBorders>
            <w:noWrap/>
            <w:vAlign w:val="bottom"/>
          </w:tcPr>
          <w:p w14:paraId="06CB966E" w14:textId="77777777" w:rsidR="00BD372F" w:rsidRPr="00BD372F" w:rsidRDefault="00BD372F" w:rsidP="00BD372F">
            <w:pPr>
              <w:spacing w:after="0" w:line="240" w:lineRule="auto"/>
              <w:rPr>
                <w:rFonts w:ascii="Times New Roman" w:hAnsi="Times New Roman"/>
                <w:color w:val="000000"/>
                <w:sz w:val="24"/>
                <w:szCs w:val="24"/>
                <w:lang w:eastAsia="sk-SK"/>
              </w:rPr>
            </w:pPr>
          </w:p>
        </w:tc>
      </w:tr>
      <w:tr w:rsidR="00BD372F" w:rsidRPr="00BD372F" w14:paraId="6F91F797" w14:textId="77777777" w:rsidTr="00154BAB">
        <w:trPr>
          <w:trHeight w:val="255"/>
        </w:trPr>
        <w:tc>
          <w:tcPr>
            <w:tcW w:w="6831" w:type="dxa"/>
            <w:tcBorders>
              <w:top w:val="nil"/>
              <w:left w:val="single" w:sz="4" w:space="0" w:color="auto"/>
              <w:bottom w:val="single" w:sz="4" w:space="0" w:color="auto"/>
              <w:right w:val="single" w:sz="4" w:space="0" w:color="auto"/>
            </w:tcBorders>
          </w:tcPr>
          <w:p w14:paraId="5748735C" w14:textId="77777777" w:rsidR="00BD372F" w:rsidRPr="00BD372F" w:rsidRDefault="00BD372F" w:rsidP="00BD372F">
            <w:pPr>
              <w:spacing w:after="0" w:line="240" w:lineRule="auto"/>
              <w:rPr>
                <w:rFonts w:ascii="Times New Roman" w:hAnsi="Times New Roman"/>
                <w:color w:val="000000"/>
                <w:sz w:val="20"/>
                <w:szCs w:val="20"/>
                <w:vertAlign w:val="superscript"/>
                <w:lang w:eastAsia="sk-SK"/>
              </w:rPr>
            </w:pPr>
            <w:r w:rsidRPr="00BD372F">
              <w:rPr>
                <w:rFonts w:ascii="Times New Roman" w:hAnsi="Times New Roman"/>
                <w:sz w:val="20"/>
                <w:szCs w:val="20"/>
                <w:lang w:eastAsia="sk-SK"/>
              </w:rPr>
              <w:t xml:space="preserve">  Poistné a príspevok do poisťovní (620)</w:t>
            </w:r>
          </w:p>
        </w:tc>
        <w:tc>
          <w:tcPr>
            <w:tcW w:w="1394" w:type="dxa"/>
            <w:tcBorders>
              <w:top w:val="nil"/>
              <w:left w:val="nil"/>
              <w:bottom w:val="single" w:sz="4" w:space="0" w:color="auto"/>
              <w:right w:val="single" w:sz="4" w:space="0" w:color="auto"/>
            </w:tcBorders>
          </w:tcPr>
          <w:p w14:paraId="117E69D1" w14:textId="77777777" w:rsidR="00BD372F" w:rsidRPr="00BD372F" w:rsidRDefault="00BD372F" w:rsidP="00BD372F">
            <w:pPr>
              <w:spacing w:after="0" w:line="240" w:lineRule="auto"/>
              <w:jc w:val="center"/>
              <w:rPr>
                <w:rFonts w:ascii="Times New Roman" w:hAnsi="Times New Roman"/>
                <w:color w:val="000000"/>
                <w:sz w:val="20"/>
                <w:szCs w:val="20"/>
                <w:lang w:eastAsia="sk-SK"/>
              </w:rPr>
            </w:pPr>
            <w:r w:rsidRPr="00BD372F">
              <w:rPr>
                <w:rFonts w:ascii="Times New Roman" w:hAnsi="Times New Roman"/>
                <w:sz w:val="20"/>
                <w:szCs w:val="20"/>
                <w:lang w:eastAsia="sk-SK"/>
              </w:rPr>
              <w:t>0</w:t>
            </w:r>
          </w:p>
        </w:tc>
        <w:tc>
          <w:tcPr>
            <w:tcW w:w="1605" w:type="dxa"/>
            <w:tcBorders>
              <w:top w:val="nil"/>
              <w:left w:val="nil"/>
              <w:bottom w:val="single" w:sz="4" w:space="0" w:color="auto"/>
              <w:right w:val="single" w:sz="4" w:space="0" w:color="auto"/>
            </w:tcBorders>
          </w:tcPr>
          <w:p w14:paraId="39AE1ECA" w14:textId="77777777" w:rsidR="00BD372F" w:rsidRPr="00BD372F" w:rsidRDefault="00BD372F" w:rsidP="00BD372F">
            <w:pPr>
              <w:spacing w:after="0" w:line="240" w:lineRule="auto"/>
              <w:jc w:val="center"/>
              <w:rPr>
                <w:rFonts w:ascii="Times New Roman" w:hAnsi="Times New Roman"/>
                <w:color w:val="000000"/>
                <w:sz w:val="20"/>
                <w:szCs w:val="20"/>
                <w:lang w:eastAsia="sk-SK"/>
              </w:rPr>
            </w:pPr>
            <w:r w:rsidRPr="00BD372F">
              <w:rPr>
                <w:rFonts w:ascii="Times New Roman" w:hAnsi="Times New Roman"/>
                <w:sz w:val="20"/>
                <w:szCs w:val="20"/>
                <w:lang w:eastAsia="sk-SK"/>
              </w:rPr>
              <w:t>22 639</w:t>
            </w:r>
          </w:p>
        </w:tc>
        <w:tc>
          <w:tcPr>
            <w:tcW w:w="1499" w:type="dxa"/>
            <w:tcBorders>
              <w:top w:val="nil"/>
              <w:left w:val="nil"/>
              <w:bottom w:val="single" w:sz="4" w:space="0" w:color="auto"/>
              <w:right w:val="single" w:sz="4" w:space="0" w:color="auto"/>
            </w:tcBorders>
          </w:tcPr>
          <w:p w14:paraId="67DFF722" w14:textId="77777777" w:rsidR="00BD372F" w:rsidRPr="00BD372F" w:rsidRDefault="00BD372F" w:rsidP="00BD372F">
            <w:pPr>
              <w:spacing w:after="0" w:line="240" w:lineRule="auto"/>
              <w:jc w:val="center"/>
              <w:rPr>
                <w:rFonts w:ascii="Times New Roman" w:hAnsi="Times New Roman"/>
                <w:color w:val="000000"/>
                <w:sz w:val="20"/>
                <w:szCs w:val="20"/>
                <w:lang w:eastAsia="sk-SK"/>
              </w:rPr>
            </w:pPr>
            <w:r w:rsidRPr="00BD372F">
              <w:rPr>
                <w:rFonts w:ascii="Times New Roman" w:hAnsi="Times New Roman"/>
                <w:sz w:val="20"/>
                <w:szCs w:val="20"/>
                <w:lang w:eastAsia="sk-SK"/>
              </w:rPr>
              <w:t>22 639</w:t>
            </w:r>
          </w:p>
        </w:tc>
        <w:tc>
          <w:tcPr>
            <w:tcW w:w="1499" w:type="dxa"/>
            <w:tcBorders>
              <w:top w:val="nil"/>
              <w:left w:val="nil"/>
              <w:bottom w:val="single" w:sz="4" w:space="0" w:color="auto"/>
              <w:right w:val="single" w:sz="4" w:space="0" w:color="auto"/>
            </w:tcBorders>
          </w:tcPr>
          <w:p w14:paraId="1618C5B2" w14:textId="77777777" w:rsidR="00BD372F" w:rsidRPr="00BD372F" w:rsidRDefault="00BD372F" w:rsidP="00BD372F">
            <w:pPr>
              <w:spacing w:after="0" w:line="240" w:lineRule="auto"/>
              <w:jc w:val="center"/>
              <w:rPr>
                <w:rFonts w:ascii="Times New Roman" w:hAnsi="Times New Roman"/>
                <w:color w:val="000000"/>
                <w:sz w:val="20"/>
                <w:szCs w:val="20"/>
                <w:lang w:eastAsia="sk-SK"/>
              </w:rPr>
            </w:pPr>
            <w:r w:rsidRPr="00BD372F">
              <w:rPr>
                <w:rFonts w:ascii="Times New Roman" w:hAnsi="Times New Roman"/>
                <w:sz w:val="20"/>
                <w:szCs w:val="20"/>
                <w:lang w:eastAsia="sk-SK"/>
              </w:rPr>
              <w:t>22 639</w:t>
            </w:r>
          </w:p>
        </w:tc>
        <w:tc>
          <w:tcPr>
            <w:tcW w:w="2051" w:type="dxa"/>
            <w:vMerge/>
            <w:tcBorders>
              <w:left w:val="nil"/>
              <w:right w:val="single" w:sz="4" w:space="0" w:color="auto"/>
            </w:tcBorders>
            <w:noWrap/>
            <w:vAlign w:val="bottom"/>
          </w:tcPr>
          <w:p w14:paraId="4F64F82F" w14:textId="77777777" w:rsidR="00BD372F" w:rsidRPr="00BD372F" w:rsidRDefault="00BD372F" w:rsidP="00BD372F">
            <w:pPr>
              <w:spacing w:after="0" w:line="240" w:lineRule="auto"/>
              <w:rPr>
                <w:rFonts w:ascii="Times New Roman" w:hAnsi="Times New Roman"/>
                <w:color w:val="000000"/>
                <w:sz w:val="24"/>
                <w:szCs w:val="24"/>
                <w:lang w:eastAsia="sk-SK"/>
              </w:rPr>
            </w:pPr>
          </w:p>
        </w:tc>
      </w:tr>
      <w:tr w:rsidR="00BD372F" w:rsidRPr="00BD372F" w14:paraId="74036FF7" w14:textId="77777777" w:rsidTr="00154BAB">
        <w:trPr>
          <w:trHeight w:val="255"/>
        </w:trPr>
        <w:tc>
          <w:tcPr>
            <w:tcW w:w="6831" w:type="dxa"/>
            <w:tcBorders>
              <w:top w:val="nil"/>
              <w:left w:val="single" w:sz="4" w:space="0" w:color="auto"/>
              <w:bottom w:val="single" w:sz="4" w:space="0" w:color="auto"/>
              <w:right w:val="single" w:sz="4" w:space="0" w:color="auto"/>
            </w:tcBorders>
          </w:tcPr>
          <w:p w14:paraId="4DD457DC" w14:textId="77777777" w:rsidR="00BD372F" w:rsidRPr="00BD372F" w:rsidRDefault="00BD372F" w:rsidP="00BD372F">
            <w:pPr>
              <w:spacing w:after="0" w:line="240" w:lineRule="auto"/>
              <w:rPr>
                <w:rFonts w:ascii="Times New Roman" w:hAnsi="Times New Roman"/>
                <w:color w:val="000000"/>
                <w:sz w:val="20"/>
                <w:szCs w:val="20"/>
                <w:vertAlign w:val="superscript"/>
                <w:lang w:eastAsia="sk-SK"/>
              </w:rPr>
            </w:pPr>
            <w:r w:rsidRPr="00BD372F">
              <w:rPr>
                <w:rFonts w:ascii="Times New Roman" w:hAnsi="Times New Roman"/>
                <w:sz w:val="20"/>
                <w:szCs w:val="20"/>
                <w:lang w:eastAsia="sk-SK"/>
              </w:rPr>
              <w:t xml:space="preserve">  Tovary a služby (630)</w:t>
            </w:r>
            <w:r w:rsidRPr="00BD372F">
              <w:rPr>
                <w:rFonts w:ascii="Times New Roman" w:hAnsi="Times New Roman"/>
                <w:sz w:val="20"/>
                <w:szCs w:val="20"/>
                <w:vertAlign w:val="superscript"/>
                <w:lang w:eastAsia="sk-SK"/>
              </w:rPr>
              <w:t>2</w:t>
            </w:r>
          </w:p>
        </w:tc>
        <w:tc>
          <w:tcPr>
            <w:tcW w:w="1394" w:type="dxa"/>
            <w:tcBorders>
              <w:top w:val="nil"/>
              <w:left w:val="nil"/>
              <w:bottom w:val="single" w:sz="4" w:space="0" w:color="auto"/>
              <w:right w:val="single" w:sz="4" w:space="0" w:color="auto"/>
            </w:tcBorders>
          </w:tcPr>
          <w:p w14:paraId="663B8470" w14:textId="77777777" w:rsidR="00BD372F" w:rsidRPr="00BD372F" w:rsidRDefault="00BD372F" w:rsidP="00BD372F">
            <w:pPr>
              <w:spacing w:after="0" w:line="240" w:lineRule="auto"/>
              <w:jc w:val="center"/>
              <w:rPr>
                <w:rFonts w:ascii="Times New Roman" w:hAnsi="Times New Roman"/>
                <w:color w:val="000000"/>
                <w:sz w:val="20"/>
                <w:szCs w:val="20"/>
                <w:lang w:eastAsia="sk-SK"/>
              </w:rPr>
            </w:pPr>
            <w:r w:rsidRPr="00BD372F">
              <w:rPr>
                <w:rFonts w:ascii="Times New Roman" w:hAnsi="Times New Roman"/>
                <w:sz w:val="20"/>
                <w:szCs w:val="20"/>
                <w:lang w:eastAsia="sk-SK"/>
              </w:rPr>
              <w:t>0</w:t>
            </w:r>
          </w:p>
        </w:tc>
        <w:tc>
          <w:tcPr>
            <w:tcW w:w="1605" w:type="dxa"/>
            <w:tcBorders>
              <w:top w:val="nil"/>
              <w:left w:val="nil"/>
              <w:bottom w:val="single" w:sz="4" w:space="0" w:color="auto"/>
              <w:right w:val="single" w:sz="4" w:space="0" w:color="auto"/>
            </w:tcBorders>
          </w:tcPr>
          <w:p w14:paraId="14549DA6" w14:textId="77777777" w:rsidR="00BD372F" w:rsidRPr="00BD372F" w:rsidRDefault="00BD372F" w:rsidP="00BD372F">
            <w:pPr>
              <w:spacing w:after="0" w:line="240" w:lineRule="auto"/>
              <w:jc w:val="center"/>
              <w:rPr>
                <w:rFonts w:ascii="Times New Roman" w:hAnsi="Times New Roman"/>
                <w:color w:val="000000"/>
                <w:sz w:val="20"/>
                <w:szCs w:val="20"/>
                <w:lang w:eastAsia="sk-SK"/>
              </w:rPr>
            </w:pPr>
            <w:r w:rsidRPr="00BD372F">
              <w:rPr>
                <w:rFonts w:ascii="Times New Roman" w:hAnsi="Times New Roman"/>
                <w:sz w:val="20"/>
                <w:szCs w:val="20"/>
                <w:lang w:eastAsia="sk-SK"/>
              </w:rPr>
              <w:t>8 945</w:t>
            </w:r>
          </w:p>
        </w:tc>
        <w:tc>
          <w:tcPr>
            <w:tcW w:w="1499" w:type="dxa"/>
            <w:tcBorders>
              <w:top w:val="nil"/>
              <w:left w:val="nil"/>
              <w:bottom w:val="single" w:sz="4" w:space="0" w:color="auto"/>
              <w:right w:val="single" w:sz="4" w:space="0" w:color="auto"/>
            </w:tcBorders>
          </w:tcPr>
          <w:p w14:paraId="0D309E6F" w14:textId="77777777" w:rsidR="00BD372F" w:rsidRPr="00BD372F" w:rsidRDefault="00BD372F" w:rsidP="00BD372F">
            <w:pPr>
              <w:spacing w:after="0" w:line="240" w:lineRule="auto"/>
              <w:jc w:val="center"/>
              <w:rPr>
                <w:rFonts w:ascii="Times New Roman" w:hAnsi="Times New Roman"/>
                <w:color w:val="000000"/>
                <w:sz w:val="20"/>
                <w:szCs w:val="20"/>
                <w:lang w:eastAsia="sk-SK"/>
              </w:rPr>
            </w:pPr>
            <w:r w:rsidRPr="00BD372F">
              <w:rPr>
                <w:rFonts w:ascii="Times New Roman" w:hAnsi="Times New Roman"/>
                <w:sz w:val="20"/>
                <w:szCs w:val="20"/>
                <w:lang w:eastAsia="sk-SK"/>
              </w:rPr>
              <w:t>5 945</w:t>
            </w:r>
          </w:p>
        </w:tc>
        <w:tc>
          <w:tcPr>
            <w:tcW w:w="1499" w:type="dxa"/>
            <w:tcBorders>
              <w:top w:val="nil"/>
              <w:left w:val="nil"/>
              <w:bottom w:val="single" w:sz="4" w:space="0" w:color="auto"/>
              <w:right w:val="single" w:sz="4" w:space="0" w:color="auto"/>
            </w:tcBorders>
          </w:tcPr>
          <w:p w14:paraId="1D3AB37C" w14:textId="77777777" w:rsidR="00BD372F" w:rsidRPr="00BD372F" w:rsidRDefault="00BD372F" w:rsidP="00BD372F">
            <w:pPr>
              <w:spacing w:after="0" w:line="240" w:lineRule="auto"/>
              <w:jc w:val="center"/>
              <w:rPr>
                <w:rFonts w:ascii="Times New Roman" w:hAnsi="Times New Roman"/>
                <w:color w:val="000000"/>
                <w:sz w:val="20"/>
                <w:szCs w:val="20"/>
                <w:lang w:eastAsia="sk-SK"/>
              </w:rPr>
            </w:pPr>
            <w:r w:rsidRPr="00BD372F">
              <w:rPr>
                <w:rFonts w:ascii="Times New Roman" w:hAnsi="Times New Roman"/>
                <w:sz w:val="20"/>
                <w:szCs w:val="20"/>
                <w:lang w:eastAsia="sk-SK"/>
              </w:rPr>
              <w:t>5 945</w:t>
            </w:r>
          </w:p>
        </w:tc>
        <w:tc>
          <w:tcPr>
            <w:tcW w:w="2051" w:type="dxa"/>
            <w:vMerge/>
            <w:tcBorders>
              <w:left w:val="nil"/>
              <w:right w:val="single" w:sz="4" w:space="0" w:color="auto"/>
            </w:tcBorders>
            <w:noWrap/>
            <w:vAlign w:val="bottom"/>
          </w:tcPr>
          <w:p w14:paraId="7004677F" w14:textId="77777777" w:rsidR="00BD372F" w:rsidRPr="00BD372F" w:rsidRDefault="00BD372F" w:rsidP="00BD372F">
            <w:pPr>
              <w:spacing w:after="0" w:line="240" w:lineRule="auto"/>
              <w:rPr>
                <w:rFonts w:ascii="Times New Roman" w:hAnsi="Times New Roman"/>
                <w:color w:val="000000"/>
                <w:sz w:val="24"/>
                <w:szCs w:val="24"/>
                <w:lang w:eastAsia="sk-SK"/>
              </w:rPr>
            </w:pPr>
          </w:p>
        </w:tc>
      </w:tr>
      <w:tr w:rsidR="00BD372F" w:rsidRPr="00BD372F" w14:paraId="161EDA39" w14:textId="77777777" w:rsidTr="00154BAB">
        <w:trPr>
          <w:trHeight w:val="255"/>
        </w:trPr>
        <w:tc>
          <w:tcPr>
            <w:tcW w:w="6831" w:type="dxa"/>
            <w:tcBorders>
              <w:top w:val="nil"/>
              <w:left w:val="single" w:sz="4" w:space="0" w:color="auto"/>
              <w:bottom w:val="single" w:sz="4" w:space="0" w:color="auto"/>
              <w:right w:val="single" w:sz="4" w:space="0" w:color="auto"/>
            </w:tcBorders>
          </w:tcPr>
          <w:p w14:paraId="42EB483F" w14:textId="77777777" w:rsidR="00BD372F" w:rsidRPr="00BD372F" w:rsidRDefault="00BD372F" w:rsidP="00BD372F">
            <w:pPr>
              <w:spacing w:after="0" w:line="240" w:lineRule="auto"/>
              <w:rPr>
                <w:rFonts w:ascii="Times New Roman" w:hAnsi="Times New Roman"/>
                <w:color w:val="000000"/>
                <w:sz w:val="20"/>
                <w:szCs w:val="20"/>
                <w:lang w:eastAsia="sk-SK"/>
              </w:rPr>
            </w:pPr>
            <w:r w:rsidRPr="00BD372F">
              <w:rPr>
                <w:rFonts w:ascii="Times New Roman" w:hAnsi="Times New Roman"/>
                <w:sz w:val="20"/>
                <w:szCs w:val="20"/>
                <w:lang w:eastAsia="sk-SK"/>
              </w:rPr>
              <w:t xml:space="preserve">  Bežné transfery (640)</w:t>
            </w:r>
            <w:r w:rsidRPr="00BD372F">
              <w:rPr>
                <w:rFonts w:ascii="Times New Roman" w:hAnsi="Times New Roman"/>
                <w:sz w:val="20"/>
                <w:szCs w:val="20"/>
                <w:vertAlign w:val="superscript"/>
                <w:lang w:eastAsia="sk-SK"/>
              </w:rPr>
              <w:t>2</w:t>
            </w:r>
          </w:p>
        </w:tc>
        <w:tc>
          <w:tcPr>
            <w:tcW w:w="1394" w:type="dxa"/>
            <w:tcBorders>
              <w:top w:val="nil"/>
              <w:left w:val="nil"/>
              <w:bottom w:val="single" w:sz="4" w:space="0" w:color="auto"/>
              <w:right w:val="single" w:sz="4" w:space="0" w:color="auto"/>
            </w:tcBorders>
          </w:tcPr>
          <w:p w14:paraId="573F79EB" w14:textId="77777777" w:rsidR="00BD372F" w:rsidRPr="00BD372F" w:rsidRDefault="00BD372F" w:rsidP="00BD372F">
            <w:pPr>
              <w:spacing w:after="0" w:line="240" w:lineRule="auto"/>
              <w:jc w:val="center"/>
              <w:rPr>
                <w:rFonts w:ascii="Times New Roman" w:hAnsi="Times New Roman"/>
                <w:color w:val="000000"/>
                <w:sz w:val="20"/>
                <w:szCs w:val="20"/>
                <w:lang w:eastAsia="sk-SK"/>
              </w:rPr>
            </w:pPr>
            <w:r w:rsidRPr="00BD372F">
              <w:rPr>
                <w:rFonts w:ascii="Times New Roman" w:hAnsi="Times New Roman"/>
                <w:sz w:val="20"/>
                <w:szCs w:val="20"/>
                <w:lang w:eastAsia="sk-SK"/>
              </w:rPr>
              <w:t>0</w:t>
            </w:r>
          </w:p>
        </w:tc>
        <w:tc>
          <w:tcPr>
            <w:tcW w:w="1605" w:type="dxa"/>
            <w:tcBorders>
              <w:top w:val="nil"/>
              <w:left w:val="nil"/>
              <w:bottom w:val="single" w:sz="4" w:space="0" w:color="auto"/>
              <w:right w:val="single" w:sz="4" w:space="0" w:color="auto"/>
            </w:tcBorders>
          </w:tcPr>
          <w:p w14:paraId="39350ED4" w14:textId="77777777" w:rsidR="00BD372F" w:rsidRPr="00BD372F" w:rsidRDefault="00BD372F" w:rsidP="00BD372F">
            <w:pPr>
              <w:spacing w:after="0" w:line="240" w:lineRule="auto"/>
              <w:jc w:val="center"/>
              <w:rPr>
                <w:rFonts w:ascii="Times New Roman" w:hAnsi="Times New Roman"/>
                <w:color w:val="000000"/>
                <w:sz w:val="20"/>
                <w:szCs w:val="20"/>
                <w:lang w:eastAsia="sk-SK"/>
              </w:rPr>
            </w:pPr>
            <w:r w:rsidRPr="00BD372F">
              <w:rPr>
                <w:rFonts w:ascii="Times New Roman" w:hAnsi="Times New Roman"/>
                <w:sz w:val="20"/>
                <w:szCs w:val="20"/>
                <w:lang w:eastAsia="sk-SK"/>
              </w:rPr>
              <w:t>1 968</w:t>
            </w:r>
          </w:p>
        </w:tc>
        <w:tc>
          <w:tcPr>
            <w:tcW w:w="1499" w:type="dxa"/>
            <w:tcBorders>
              <w:top w:val="nil"/>
              <w:left w:val="nil"/>
              <w:bottom w:val="single" w:sz="4" w:space="0" w:color="auto"/>
              <w:right w:val="single" w:sz="4" w:space="0" w:color="auto"/>
            </w:tcBorders>
          </w:tcPr>
          <w:p w14:paraId="4386A86B" w14:textId="77777777" w:rsidR="00BD372F" w:rsidRPr="00BD372F" w:rsidRDefault="00BD372F" w:rsidP="00BD372F">
            <w:pPr>
              <w:spacing w:after="0" w:line="240" w:lineRule="auto"/>
              <w:jc w:val="center"/>
              <w:rPr>
                <w:rFonts w:ascii="Times New Roman" w:hAnsi="Times New Roman"/>
                <w:color w:val="000000"/>
                <w:sz w:val="20"/>
                <w:szCs w:val="20"/>
                <w:lang w:eastAsia="sk-SK"/>
              </w:rPr>
            </w:pPr>
            <w:r w:rsidRPr="00BD372F">
              <w:rPr>
                <w:rFonts w:ascii="Times New Roman" w:hAnsi="Times New Roman"/>
                <w:sz w:val="20"/>
                <w:szCs w:val="20"/>
                <w:lang w:eastAsia="sk-SK"/>
              </w:rPr>
              <w:t>1 968</w:t>
            </w:r>
          </w:p>
        </w:tc>
        <w:tc>
          <w:tcPr>
            <w:tcW w:w="1499" w:type="dxa"/>
            <w:tcBorders>
              <w:top w:val="nil"/>
              <w:left w:val="nil"/>
              <w:bottom w:val="single" w:sz="4" w:space="0" w:color="auto"/>
              <w:right w:val="single" w:sz="4" w:space="0" w:color="auto"/>
            </w:tcBorders>
          </w:tcPr>
          <w:p w14:paraId="1FF7DCB3" w14:textId="77777777" w:rsidR="00BD372F" w:rsidRPr="00BD372F" w:rsidRDefault="00BD372F" w:rsidP="00BD372F">
            <w:pPr>
              <w:spacing w:after="0" w:line="240" w:lineRule="auto"/>
              <w:jc w:val="center"/>
              <w:rPr>
                <w:rFonts w:ascii="Times New Roman" w:hAnsi="Times New Roman"/>
                <w:color w:val="000000"/>
                <w:sz w:val="20"/>
                <w:szCs w:val="20"/>
                <w:lang w:eastAsia="sk-SK"/>
              </w:rPr>
            </w:pPr>
            <w:r w:rsidRPr="00BD372F">
              <w:rPr>
                <w:rFonts w:ascii="Times New Roman" w:hAnsi="Times New Roman"/>
                <w:sz w:val="20"/>
                <w:szCs w:val="20"/>
                <w:lang w:eastAsia="sk-SK"/>
              </w:rPr>
              <w:t>1 968</w:t>
            </w:r>
          </w:p>
        </w:tc>
        <w:tc>
          <w:tcPr>
            <w:tcW w:w="2051" w:type="dxa"/>
            <w:vMerge/>
            <w:tcBorders>
              <w:left w:val="nil"/>
              <w:right w:val="single" w:sz="4" w:space="0" w:color="auto"/>
            </w:tcBorders>
            <w:noWrap/>
            <w:vAlign w:val="bottom"/>
          </w:tcPr>
          <w:p w14:paraId="02DA91FA" w14:textId="77777777" w:rsidR="00BD372F" w:rsidRPr="00BD372F" w:rsidRDefault="00BD372F" w:rsidP="00BD372F">
            <w:pPr>
              <w:spacing w:after="0" w:line="240" w:lineRule="auto"/>
              <w:rPr>
                <w:rFonts w:ascii="Times New Roman" w:hAnsi="Times New Roman"/>
                <w:color w:val="000000"/>
                <w:sz w:val="24"/>
                <w:szCs w:val="24"/>
                <w:lang w:eastAsia="sk-SK"/>
              </w:rPr>
            </w:pPr>
          </w:p>
        </w:tc>
      </w:tr>
      <w:tr w:rsidR="00BD372F" w:rsidRPr="00BD372F" w14:paraId="42EDDEEB" w14:textId="77777777" w:rsidTr="00154BAB">
        <w:trPr>
          <w:trHeight w:val="255"/>
        </w:trPr>
        <w:tc>
          <w:tcPr>
            <w:tcW w:w="6831" w:type="dxa"/>
            <w:tcBorders>
              <w:top w:val="nil"/>
              <w:left w:val="single" w:sz="4" w:space="0" w:color="auto"/>
              <w:bottom w:val="single" w:sz="4" w:space="0" w:color="auto"/>
              <w:right w:val="single" w:sz="4" w:space="0" w:color="auto"/>
            </w:tcBorders>
            <w:vAlign w:val="center"/>
          </w:tcPr>
          <w:p w14:paraId="38A66B3E" w14:textId="77777777" w:rsidR="00BD372F" w:rsidRPr="00BD372F" w:rsidRDefault="00BD372F" w:rsidP="00BD372F">
            <w:pPr>
              <w:spacing w:after="0" w:line="240" w:lineRule="auto"/>
              <w:rPr>
                <w:rFonts w:ascii="Times New Roman" w:hAnsi="Times New Roman"/>
                <w:color w:val="000000"/>
                <w:sz w:val="20"/>
                <w:szCs w:val="20"/>
                <w:lang w:eastAsia="sk-SK"/>
              </w:rPr>
            </w:pPr>
            <w:r w:rsidRPr="00BD372F">
              <w:rPr>
                <w:rFonts w:ascii="Times New Roman" w:hAnsi="Times New Roman"/>
                <w:color w:val="000000"/>
                <w:sz w:val="20"/>
                <w:szCs w:val="20"/>
                <w:lang w:eastAsia="sk-SK"/>
              </w:rPr>
              <w:t xml:space="preserve">  Splácanie úrokov a ostatné platby súvisiace s </w:t>
            </w:r>
            <w:r w:rsidRPr="00BD372F">
              <w:rPr>
                <w:rFonts w:ascii="Calibri" w:eastAsia="Calibri" w:hAnsi="Calibri"/>
                <w:color w:val="000000"/>
                <w:szCs w:val="22"/>
              </w:rPr>
              <w:t xml:space="preserve"> </w:t>
            </w:r>
            <w:r w:rsidRPr="00BD372F">
              <w:rPr>
                <w:rFonts w:ascii="Times New Roman" w:hAnsi="Times New Roman"/>
                <w:color w:val="000000"/>
                <w:sz w:val="20"/>
                <w:szCs w:val="20"/>
                <w:lang w:eastAsia="sk-SK"/>
              </w:rPr>
              <w:t>úverom, pôžičkou, návratnou finančnou výpomocou a finančným prenájmom (650)</w:t>
            </w:r>
            <w:r w:rsidRPr="00BD372F">
              <w:rPr>
                <w:rFonts w:ascii="Times New Roman" w:hAnsi="Times New Roman"/>
                <w:color w:val="000000"/>
                <w:sz w:val="20"/>
                <w:szCs w:val="20"/>
                <w:vertAlign w:val="superscript"/>
                <w:lang w:eastAsia="sk-SK"/>
              </w:rPr>
              <w:t>2</w:t>
            </w:r>
          </w:p>
        </w:tc>
        <w:tc>
          <w:tcPr>
            <w:tcW w:w="1394" w:type="dxa"/>
            <w:tcBorders>
              <w:top w:val="nil"/>
              <w:left w:val="nil"/>
              <w:bottom w:val="single" w:sz="4" w:space="0" w:color="auto"/>
              <w:right w:val="single" w:sz="4" w:space="0" w:color="auto"/>
            </w:tcBorders>
          </w:tcPr>
          <w:p w14:paraId="636CEC48"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1605" w:type="dxa"/>
            <w:tcBorders>
              <w:top w:val="nil"/>
              <w:left w:val="nil"/>
              <w:bottom w:val="single" w:sz="4" w:space="0" w:color="auto"/>
              <w:right w:val="single" w:sz="4" w:space="0" w:color="auto"/>
            </w:tcBorders>
          </w:tcPr>
          <w:p w14:paraId="64B1804A"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1499" w:type="dxa"/>
            <w:tcBorders>
              <w:top w:val="nil"/>
              <w:left w:val="nil"/>
              <w:bottom w:val="single" w:sz="4" w:space="0" w:color="auto"/>
              <w:right w:val="single" w:sz="4" w:space="0" w:color="auto"/>
            </w:tcBorders>
          </w:tcPr>
          <w:p w14:paraId="08937393"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1499" w:type="dxa"/>
            <w:tcBorders>
              <w:top w:val="nil"/>
              <w:left w:val="nil"/>
              <w:bottom w:val="single" w:sz="4" w:space="0" w:color="auto"/>
              <w:right w:val="single" w:sz="4" w:space="0" w:color="auto"/>
            </w:tcBorders>
          </w:tcPr>
          <w:p w14:paraId="1BC575F8"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2051" w:type="dxa"/>
            <w:vMerge/>
            <w:tcBorders>
              <w:left w:val="nil"/>
              <w:right w:val="single" w:sz="4" w:space="0" w:color="auto"/>
            </w:tcBorders>
            <w:noWrap/>
            <w:vAlign w:val="bottom"/>
          </w:tcPr>
          <w:p w14:paraId="014B5AFA" w14:textId="77777777" w:rsidR="00BD372F" w:rsidRPr="00BD372F" w:rsidRDefault="00BD372F" w:rsidP="00BD372F">
            <w:pPr>
              <w:spacing w:after="0" w:line="240" w:lineRule="auto"/>
              <w:rPr>
                <w:rFonts w:ascii="Times New Roman" w:hAnsi="Times New Roman"/>
                <w:color w:val="000000"/>
                <w:sz w:val="24"/>
                <w:szCs w:val="24"/>
                <w:lang w:eastAsia="sk-SK"/>
              </w:rPr>
            </w:pPr>
          </w:p>
        </w:tc>
      </w:tr>
      <w:tr w:rsidR="00BD372F" w:rsidRPr="00BD372F" w14:paraId="18B154A3" w14:textId="77777777" w:rsidTr="00154BAB">
        <w:trPr>
          <w:trHeight w:val="255"/>
        </w:trPr>
        <w:tc>
          <w:tcPr>
            <w:tcW w:w="6831" w:type="dxa"/>
            <w:tcBorders>
              <w:top w:val="nil"/>
              <w:left w:val="single" w:sz="4" w:space="0" w:color="auto"/>
              <w:bottom w:val="single" w:sz="4" w:space="0" w:color="auto"/>
              <w:right w:val="single" w:sz="4" w:space="0" w:color="auto"/>
            </w:tcBorders>
          </w:tcPr>
          <w:p w14:paraId="3A8DBCC2" w14:textId="77777777" w:rsidR="00BD372F" w:rsidRPr="00BD372F" w:rsidRDefault="00BD372F" w:rsidP="00BD372F">
            <w:pPr>
              <w:spacing w:after="0" w:line="240" w:lineRule="auto"/>
              <w:rPr>
                <w:rFonts w:ascii="Times New Roman" w:hAnsi="Times New Roman"/>
                <w:b/>
                <w:bCs/>
                <w:color w:val="000000"/>
                <w:sz w:val="20"/>
                <w:szCs w:val="20"/>
                <w:lang w:eastAsia="sk-SK"/>
              </w:rPr>
            </w:pPr>
            <w:r w:rsidRPr="00BD372F">
              <w:rPr>
                <w:rFonts w:ascii="Times New Roman" w:hAnsi="Times New Roman"/>
                <w:b/>
                <w:bCs/>
                <w:sz w:val="20"/>
                <w:szCs w:val="20"/>
                <w:lang w:eastAsia="sk-SK"/>
              </w:rPr>
              <w:t>Kapitálové výdavky (700)</w:t>
            </w:r>
          </w:p>
        </w:tc>
        <w:tc>
          <w:tcPr>
            <w:tcW w:w="1394" w:type="dxa"/>
            <w:tcBorders>
              <w:top w:val="nil"/>
              <w:left w:val="nil"/>
              <w:bottom w:val="single" w:sz="4" w:space="0" w:color="auto"/>
              <w:right w:val="single" w:sz="4" w:space="0" w:color="auto"/>
            </w:tcBorders>
          </w:tcPr>
          <w:p w14:paraId="6A8F262E"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p>
        </w:tc>
        <w:tc>
          <w:tcPr>
            <w:tcW w:w="1605" w:type="dxa"/>
            <w:tcBorders>
              <w:top w:val="nil"/>
              <w:left w:val="nil"/>
              <w:bottom w:val="single" w:sz="4" w:space="0" w:color="auto"/>
              <w:right w:val="single" w:sz="4" w:space="0" w:color="auto"/>
            </w:tcBorders>
          </w:tcPr>
          <w:p w14:paraId="10B8AC66"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p>
        </w:tc>
        <w:tc>
          <w:tcPr>
            <w:tcW w:w="1499" w:type="dxa"/>
            <w:tcBorders>
              <w:top w:val="nil"/>
              <w:left w:val="nil"/>
              <w:bottom w:val="single" w:sz="4" w:space="0" w:color="auto"/>
              <w:right w:val="single" w:sz="4" w:space="0" w:color="auto"/>
            </w:tcBorders>
          </w:tcPr>
          <w:p w14:paraId="17BA77EF"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p>
        </w:tc>
        <w:tc>
          <w:tcPr>
            <w:tcW w:w="1499" w:type="dxa"/>
            <w:tcBorders>
              <w:top w:val="nil"/>
              <w:left w:val="nil"/>
              <w:bottom w:val="single" w:sz="4" w:space="0" w:color="auto"/>
              <w:right w:val="single" w:sz="4" w:space="0" w:color="auto"/>
            </w:tcBorders>
          </w:tcPr>
          <w:p w14:paraId="6797CC1C"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p>
        </w:tc>
        <w:tc>
          <w:tcPr>
            <w:tcW w:w="2051" w:type="dxa"/>
            <w:vMerge/>
            <w:tcBorders>
              <w:left w:val="nil"/>
              <w:right w:val="single" w:sz="4" w:space="0" w:color="auto"/>
            </w:tcBorders>
            <w:noWrap/>
            <w:vAlign w:val="bottom"/>
          </w:tcPr>
          <w:p w14:paraId="457E4888" w14:textId="77777777" w:rsidR="00BD372F" w:rsidRPr="00BD372F" w:rsidRDefault="00BD372F" w:rsidP="00BD372F">
            <w:pPr>
              <w:spacing w:after="0" w:line="240" w:lineRule="auto"/>
              <w:rPr>
                <w:rFonts w:ascii="Times New Roman" w:hAnsi="Times New Roman"/>
                <w:color w:val="000000"/>
                <w:sz w:val="24"/>
                <w:szCs w:val="24"/>
                <w:lang w:eastAsia="sk-SK"/>
              </w:rPr>
            </w:pPr>
          </w:p>
        </w:tc>
      </w:tr>
      <w:tr w:rsidR="00BD372F" w:rsidRPr="00BD372F" w14:paraId="2AF95AC6" w14:textId="77777777" w:rsidTr="00154BAB">
        <w:trPr>
          <w:trHeight w:val="255"/>
        </w:trPr>
        <w:tc>
          <w:tcPr>
            <w:tcW w:w="6831" w:type="dxa"/>
            <w:tcBorders>
              <w:top w:val="nil"/>
              <w:left w:val="single" w:sz="4" w:space="0" w:color="auto"/>
              <w:bottom w:val="single" w:sz="4" w:space="0" w:color="auto"/>
              <w:right w:val="single" w:sz="4" w:space="0" w:color="auto"/>
            </w:tcBorders>
          </w:tcPr>
          <w:p w14:paraId="6608B2C6" w14:textId="77777777" w:rsidR="00BD372F" w:rsidRPr="00BD372F" w:rsidRDefault="00BD372F" w:rsidP="00BD372F">
            <w:pPr>
              <w:spacing w:after="0" w:line="240" w:lineRule="auto"/>
              <w:rPr>
                <w:rFonts w:ascii="Times New Roman" w:hAnsi="Times New Roman"/>
                <w:color w:val="000000"/>
                <w:sz w:val="20"/>
                <w:szCs w:val="20"/>
                <w:lang w:eastAsia="sk-SK"/>
              </w:rPr>
            </w:pPr>
            <w:r w:rsidRPr="00BD372F">
              <w:rPr>
                <w:rFonts w:ascii="Times New Roman" w:hAnsi="Times New Roman"/>
                <w:sz w:val="20"/>
                <w:szCs w:val="20"/>
                <w:lang w:eastAsia="sk-SK"/>
              </w:rPr>
              <w:t xml:space="preserve">  Obstarávanie kapitálových aktív (710)</w:t>
            </w:r>
            <w:r w:rsidRPr="00BD372F">
              <w:rPr>
                <w:rFonts w:ascii="Times New Roman" w:hAnsi="Times New Roman"/>
                <w:sz w:val="20"/>
                <w:szCs w:val="20"/>
                <w:vertAlign w:val="superscript"/>
                <w:lang w:eastAsia="sk-SK"/>
              </w:rPr>
              <w:t>2</w:t>
            </w:r>
          </w:p>
        </w:tc>
        <w:tc>
          <w:tcPr>
            <w:tcW w:w="1394" w:type="dxa"/>
            <w:tcBorders>
              <w:top w:val="nil"/>
              <w:left w:val="nil"/>
              <w:bottom w:val="single" w:sz="4" w:space="0" w:color="auto"/>
              <w:right w:val="single" w:sz="4" w:space="0" w:color="auto"/>
            </w:tcBorders>
          </w:tcPr>
          <w:p w14:paraId="76BF53A8"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1605" w:type="dxa"/>
            <w:tcBorders>
              <w:top w:val="nil"/>
              <w:left w:val="nil"/>
              <w:bottom w:val="single" w:sz="4" w:space="0" w:color="auto"/>
              <w:right w:val="single" w:sz="4" w:space="0" w:color="auto"/>
            </w:tcBorders>
          </w:tcPr>
          <w:p w14:paraId="24F94C4B"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1499" w:type="dxa"/>
            <w:tcBorders>
              <w:top w:val="nil"/>
              <w:left w:val="nil"/>
              <w:bottom w:val="single" w:sz="4" w:space="0" w:color="auto"/>
              <w:right w:val="single" w:sz="4" w:space="0" w:color="auto"/>
            </w:tcBorders>
          </w:tcPr>
          <w:p w14:paraId="0AF0A141"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1499" w:type="dxa"/>
            <w:tcBorders>
              <w:top w:val="nil"/>
              <w:left w:val="nil"/>
              <w:bottom w:val="single" w:sz="4" w:space="0" w:color="auto"/>
              <w:right w:val="single" w:sz="4" w:space="0" w:color="auto"/>
            </w:tcBorders>
          </w:tcPr>
          <w:p w14:paraId="4C670371"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2051" w:type="dxa"/>
            <w:vMerge/>
            <w:tcBorders>
              <w:left w:val="nil"/>
              <w:right w:val="single" w:sz="4" w:space="0" w:color="auto"/>
            </w:tcBorders>
            <w:noWrap/>
            <w:vAlign w:val="bottom"/>
          </w:tcPr>
          <w:p w14:paraId="26FBF52C" w14:textId="77777777" w:rsidR="00BD372F" w:rsidRPr="00BD372F" w:rsidRDefault="00BD372F" w:rsidP="00BD372F">
            <w:pPr>
              <w:spacing w:after="0" w:line="240" w:lineRule="auto"/>
              <w:rPr>
                <w:rFonts w:ascii="Times New Roman" w:hAnsi="Times New Roman"/>
                <w:color w:val="000000"/>
                <w:sz w:val="24"/>
                <w:szCs w:val="24"/>
                <w:lang w:eastAsia="sk-SK"/>
              </w:rPr>
            </w:pPr>
          </w:p>
        </w:tc>
      </w:tr>
      <w:tr w:rsidR="00BD372F" w:rsidRPr="00BD372F" w14:paraId="4D3AB52E" w14:textId="77777777" w:rsidTr="00154BAB">
        <w:trPr>
          <w:trHeight w:val="255"/>
        </w:trPr>
        <w:tc>
          <w:tcPr>
            <w:tcW w:w="6831" w:type="dxa"/>
            <w:tcBorders>
              <w:top w:val="nil"/>
              <w:left w:val="single" w:sz="4" w:space="0" w:color="auto"/>
              <w:bottom w:val="single" w:sz="4" w:space="0" w:color="auto"/>
              <w:right w:val="single" w:sz="4" w:space="0" w:color="auto"/>
            </w:tcBorders>
          </w:tcPr>
          <w:p w14:paraId="3B1C23D7" w14:textId="77777777" w:rsidR="00BD372F" w:rsidRPr="00BD372F" w:rsidRDefault="00BD372F" w:rsidP="00BD372F">
            <w:pPr>
              <w:spacing w:after="0" w:line="240" w:lineRule="auto"/>
              <w:rPr>
                <w:rFonts w:ascii="Times New Roman" w:hAnsi="Times New Roman"/>
                <w:color w:val="000000"/>
                <w:sz w:val="20"/>
                <w:szCs w:val="20"/>
                <w:lang w:eastAsia="sk-SK"/>
              </w:rPr>
            </w:pPr>
            <w:r w:rsidRPr="00BD372F">
              <w:rPr>
                <w:rFonts w:ascii="Times New Roman" w:hAnsi="Times New Roman"/>
                <w:color w:val="000000"/>
                <w:sz w:val="20"/>
                <w:szCs w:val="20"/>
                <w:lang w:eastAsia="sk-SK"/>
              </w:rPr>
              <w:t xml:space="preserve">  Kapitálové transfery (720)</w:t>
            </w:r>
            <w:r w:rsidRPr="00BD372F">
              <w:rPr>
                <w:rFonts w:ascii="Times New Roman" w:hAnsi="Times New Roman"/>
                <w:color w:val="000000"/>
                <w:sz w:val="20"/>
                <w:szCs w:val="20"/>
                <w:vertAlign w:val="superscript"/>
                <w:lang w:eastAsia="sk-SK"/>
              </w:rPr>
              <w:t>2</w:t>
            </w:r>
          </w:p>
        </w:tc>
        <w:tc>
          <w:tcPr>
            <w:tcW w:w="1394" w:type="dxa"/>
            <w:tcBorders>
              <w:top w:val="nil"/>
              <w:left w:val="nil"/>
              <w:bottom w:val="single" w:sz="4" w:space="0" w:color="auto"/>
              <w:right w:val="single" w:sz="4" w:space="0" w:color="auto"/>
            </w:tcBorders>
          </w:tcPr>
          <w:p w14:paraId="4197B4A4"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1605" w:type="dxa"/>
            <w:tcBorders>
              <w:top w:val="nil"/>
              <w:left w:val="nil"/>
              <w:bottom w:val="single" w:sz="4" w:space="0" w:color="auto"/>
              <w:right w:val="single" w:sz="4" w:space="0" w:color="auto"/>
            </w:tcBorders>
          </w:tcPr>
          <w:p w14:paraId="73F9C0A1"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1499" w:type="dxa"/>
            <w:tcBorders>
              <w:top w:val="nil"/>
              <w:left w:val="nil"/>
              <w:bottom w:val="single" w:sz="4" w:space="0" w:color="auto"/>
              <w:right w:val="single" w:sz="4" w:space="0" w:color="auto"/>
            </w:tcBorders>
          </w:tcPr>
          <w:p w14:paraId="4F5FE483"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1499" w:type="dxa"/>
            <w:tcBorders>
              <w:top w:val="nil"/>
              <w:left w:val="nil"/>
              <w:bottom w:val="single" w:sz="4" w:space="0" w:color="auto"/>
              <w:right w:val="single" w:sz="4" w:space="0" w:color="auto"/>
            </w:tcBorders>
          </w:tcPr>
          <w:p w14:paraId="2CCE5187"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2051" w:type="dxa"/>
            <w:vMerge/>
            <w:tcBorders>
              <w:left w:val="nil"/>
              <w:bottom w:val="single" w:sz="4" w:space="0" w:color="auto"/>
              <w:right w:val="single" w:sz="4" w:space="0" w:color="auto"/>
            </w:tcBorders>
            <w:noWrap/>
            <w:vAlign w:val="bottom"/>
          </w:tcPr>
          <w:p w14:paraId="021A7D04" w14:textId="77777777" w:rsidR="00BD372F" w:rsidRPr="00BD372F" w:rsidRDefault="00BD372F" w:rsidP="00BD372F">
            <w:pPr>
              <w:spacing w:after="0" w:line="240" w:lineRule="auto"/>
              <w:rPr>
                <w:rFonts w:ascii="Times New Roman" w:hAnsi="Times New Roman"/>
                <w:color w:val="000000"/>
                <w:sz w:val="24"/>
                <w:szCs w:val="24"/>
                <w:lang w:eastAsia="sk-SK"/>
              </w:rPr>
            </w:pPr>
          </w:p>
        </w:tc>
      </w:tr>
      <w:tr w:rsidR="00BD372F" w:rsidRPr="00BD372F" w14:paraId="46EB06FA" w14:textId="77777777" w:rsidTr="00BD372F">
        <w:trPr>
          <w:trHeight w:val="255"/>
        </w:trPr>
        <w:tc>
          <w:tcPr>
            <w:tcW w:w="6831" w:type="dxa"/>
            <w:tcBorders>
              <w:top w:val="single" w:sz="4" w:space="0" w:color="auto"/>
              <w:left w:val="single" w:sz="4" w:space="0" w:color="auto"/>
              <w:bottom w:val="single" w:sz="4" w:space="0" w:color="auto"/>
              <w:right w:val="single" w:sz="4" w:space="0" w:color="auto"/>
            </w:tcBorders>
            <w:shd w:val="clear" w:color="auto" w:fill="BFBFBF"/>
          </w:tcPr>
          <w:p w14:paraId="60457E6D" w14:textId="77777777" w:rsidR="00BD372F" w:rsidRPr="00BD372F" w:rsidRDefault="00BD372F" w:rsidP="00BD372F">
            <w:pPr>
              <w:spacing w:after="0" w:line="240" w:lineRule="auto"/>
              <w:rPr>
                <w:rFonts w:ascii="Times New Roman" w:hAnsi="Times New Roman"/>
                <w:b/>
                <w:bCs/>
                <w:color w:val="000000"/>
                <w:sz w:val="20"/>
                <w:szCs w:val="20"/>
                <w:lang w:eastAsia="sk-SK"/>
              </w:rPr>
            </w:pPr>
            <w:r w:rsidRPr="00BD372F">
              <w:rPr>
                <w:rFonts w:ascii="Times New Roman" w:hAnsi="Times New Roman"/>
                <w:b/>
                <w:bCs/>
                <w:color w:val="000000"/>
                <w:sz w:val="20"/>
                <w:szCs w:val="20"/>
                <w:lang w:eastAsia="sk-SK"/>
              </w:rPr>
              <w:t>Vplyv na limit verejných výdavkov subjektu verejnej správy celkom</w:t>
            </w:r>
          </w:p>
        </w:tc>
        <w:tc>
          <w:tcPr>
            <w:tcW w:w="1394" w:type="dxa"/>
            <w:tcBorders>
              <w:top w:val="single" w:sz="4" w:space="0" w:color="auto"/>
              <w:left w:val="nil"/>
              <w:bottom w:val="single" w:sz="4" w:space="0" w:color="auto"/>
              <w:right w:val="single" w:sz="4" w:space="0" w:color="auto"/>
            </w:tcBorders>
            <w:shd w:val="clear" w:color="auto" w:fill="BFBFBF"/>
          </w:tcPr>
          <w:p w14:paraId="65100ED6"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r w:rsidRPr="00BD372F">
              <w:rPr>
                <w:rFonts w:ascii="Times New Roman" w:hAnsi="Times New Roman"/>
                <w:b/>
                <w:bCs/>
                <w:color w:val="000000"/>
                <w:sz w:val="20"/>
                <w:szCs w:val="20"/>
                <w:lang w:eastAsia="sk-SK"/>
              </w:rPr>
              <w:t>0</w:t>
            </w:r>
          </w:p>
        </w:tc>
        <w:tc>
          <w:tcPr>
            <w:tcW w:w="1605" w:type="dxa"/>
            <w:tcBorders>
              <w:top w:val="single" w:sz="4" w:space="0" w:color="auto"/>
              <w:left w:val="nil"/>
              <w:bottom w:val="single" w:sz="4" w:space="0" w:color="auto"/>
              <w:right w:val="single" w:sz="4" w:space="0" w:color="auto"/>
            </w:tcBorders>
            <w:shd w:val="clear" w:color="auto" w:fill="BFBFBF"/>
          </w:tcPr>
          <w:p w14:paraId="34160F85"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r w:rsidRPr="00BD372F">
              <w:rPr>
                <w:rFonts w:ascii="Times New Roman" w:hAnsi="Times New Roman"/>
                <w:b/>
                <w:bCs/>
                <w:sz w:val="20"/>
                <w:szCs w:val="20"/>
                <w:lang w:eastAsia="sk-SK"/>
              </w:rPr>
              <w:t>92 520</w:t>
            </w:r>
          </w:p>
        </w:tc>
        <w:tc>
          <w:tcPr>
            <w:tcW w:w="1499" w:type="dxa"/>
            <w:tcBorders>
              <w:top w:val="single" w:sz="4" w:space="0" w:color="auto"/>
              <w:left w:val="nil"/>
              <w:bottom w:val="single" w:sz="4" w:space="0" w:color="auto"/>
              <w:right w:val="single" w:sz="4" w:space="0" w:color="auto"/>
            </w:tcBorders>
            <w:shd w:val="clear" w:color="auto" w:fill="BFBFBF"/>
          </w:tcPr>
          <w:p w14:paraId="4D5E2ABF"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r w:rsidRPr="00BD372F">
              <w:rPr>
                <w:rFonts w:ascii="Times New Roman" w:hAnsi="Times New Roman"/>
                <w:b/>
                <w:bCs/>
                <w:sz w:val="20"/>
                <w:szCs w:val="20"/>
                <w:lang w:eastAsia="sk-SK"/>
              </w:rPr>
              <w:t>89 520</w:t>
            </w:r>
          </w:p>
        </w:tc>
        <w:tc>
          <w:tcPr>
            <w:tcW w:w="1499" w:type="dxa"/>
            <w:tcBorders>
              <w:top w:val="single" w:sz="4" w:space="0" w:color="auto"/>
              <w:left w:val="nil"/>
              <w:bottom w:val="single" w:sz="4" w:space="0" w:color="auto"/>
              <w:right w:val="single" w:sz="4" w:space="0" w:color="auto"/>
            </w:tcBorders>
            <w:shd w:val="clear" w:color="auto" w:fill="BFBFBF"/>
          </w:tcPr>
          <w:p w14:paraId="309ABB87"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r w:rsidRPr="00BD372F">
              <w:rPr>
                <w:rFonts w:ascii="Times New Roman" w:hAnsi="Times New Roman"/>
                <w:b/>
                <w:bCs/>
                <w:sz w:val="20"/>
                <w:szCs w:val="20"/>
                <w:lang w:eastAsia="sk-SK"/>
              </w:rPr>
              <w:t>89 520</w:t>
            </w:r>
          </w:p>
        </w:tc>
        <w:tc>
          <w:tcPr>
            <w:tcW w:w="2051" w:type="dxa"/>
            <w:tcBorders>
              <w:top w:val="single" w:sz="4" w:space="0" w:color="auto"/>
              <w:left w:val="nil"/>
              <w:bottom w:val="single" w:sz="4" w:space="0" w:color="auto"/>
              <w:right w:val="single" w:sz="4" w:space="0" w:color="auto"/>
            </w:tcBorders>
            <w:shd w:val="clear" w:color="auto" w:fill="BFBFBF"/>
            <w:noWrap/>
            <w:vAlign w:val="bottom"/>
          </w:tcPr>
          <w:p w14:paraId="3B18F13A" w14:textId="77777777" w:rsidR="00BD372F" w:rsidRPr="00BD372F" w:rsidRDefault="00BD372F" w:rsidP="00BD372F">
            <w:pPr>
              <w:spacing w:after="0" w:line="240" w:lineRule="auto"/>
              <w:rPr>
                <w:rFonts w:ascii="Times New Roman" w:hAnsi="Times New Roman"/>
                <w:color w:val="000000"/>
                <w:sz w:val="24"/>
                <w:szCs w:val="24"/>
                <w:lang w:eastAsia="sk-SK"/>
              </w:rPr>
            </w:pPr>
            <w:r w:rsidRPr="00BD372F">
              <w:rPr>
                <w:rFonts w:ascii="Times New Roman" w:hAnsi="Times New Roman"/>
                <w:color w:val="000000"/>
                <w:sz w:val="24"/>
                <w:szCs w:val="24"/>
                <w:lang w:eastAsia="sk-SK"/>
              </w:rPr>
              <w:t> </w:t>
            </w:r>
          </w:p>
        </w:tc>
      </w:tr>
    </w:tbl>
    <w:p w14:paraId="4177748B" w14:textId="3F368C2A" w:rsidR="00BD372F" w:rsidRPr="00BD372F" w:rsidRDefault="00BD372F" w:rsidP="00183985">
      <w:pPr>
        <w:spacing w:after="0" w:line="240" w:lineRule="auto"/>
        <w:ind w:left="-709"/>
        <w:jc w:val="both"/>
        <w:rPr>
          <w:rFonts w:ascii="Times New Roman" w:hAnsi="Times New Roman"/>
          <w:bCs/>
          <w:sz w:val="20"/>
          <w:szCs w:val="20"/>
          <w:lang w:eastAsia="sk-SK"/>
        </w:rPr>
      </w:pPr>
      <w:r w:rsidRPr="00BD372F">
        <w:rPr>
          <w:rFonts w:ascii="Times New Roman" w:hAnsi="Times New Roman"/>
          <w:bCs/>
          <w:color w:val="000000"/>
          <w:sz w:val="20"/>
          <w:szCs w:val="20"/>
          <w:lang w:eastAsia="sk-SK"/>
        </w:rPr>
        <w:t>2 –  výdavky rozpísať až do podpo</w:t>
      </w:r>
      <w:r w:rsidRPr="00BD372F">
        <w:rPr>
          <w:rFonts w:ascii="Times New Roman" w:hAnsi="Times New Roman"/>
          <w:bCs/>
          <w:sz w:val="20"/>
          <w:szCs w:val="20"/>
          <w:lang w:eastAsia="sk-SK"/>
        </w:rPr>
        <w:t>ložiek platnej ekonomickej klasifikácie</w:t>
      </w:r>
    </w:p>
    <w:p w14:paraId="1EBEDC87" w14:textId="77777777" w:rsidR="00BD372F" w:rsidRPr="00BD372F" w:rsidRDefault="00BD372F" w:rsidP="00183985">
      <w:pPr>
        <w:spacing w:after="0" w:line="240" w:lineRule="auto"/>
        <w:ind w:left="-709"/>
        <w:jc w:val="both"/>
        <w:rPr>
          <w:rFonts w:ascii="Times New Roman" w:hAnsi="Times New Roman"/>
          <w:bCs/>
          <w:sz w:val="24"/>
          <w:szCs w:val="20"/>
          <w:lang w:eastAsia="sk-SK"/>
        </w:rPr>
      </w:pPr>
    </w:p>
    <w:p w14:paraId="1B1EED54" w14:textId="23095563" w:rsidR="00BD372F" w:rsidRPr="00BD372F" w:rsidRDefault="00BD372F" w:rsidP="00183985">
      <w:pPr>
        <w:spacing w:after="0" w:line="240" w:lineRule="auto"/>
        <w:ind w:left="-709"/>
        <w:jc w:val="both"/>
        <w:rPr>
          <w:rFonts w:ascii="Times New Roman" w:hAnsi="Times New Roman"/>
          <w:b/>
          <w:bCs/>
          <w:sz w:val="20"/>
          <w:szCs w:val="20"/>
          <w:lang w:eastAsia="sk-SK"/>
        </w:rPr>
      </w:pPr>
      <w:r w:rsidRPr="00BD372F">
        <w:rPr>
          <w:rFonts w:ascii="Times New Roman" w:hAnsi="Times New Roman"/>
          <w:b/>
          <w:bCs/>
          <w:sz w:val="24"/>
          <w:szCs w:val="20"/>
          <w:lang w:eastAsia="sk-SK"/>
        </w:rPr>
        <w:t>Poznámka:</w:t>
      </w:r>
    </w:p>
    <w:p w14:paraId="0C837188" w14:textId="5D694D20" w:rsidR="00BD372F" w:rsidRPr="00BD372F" w:rsidRDefault="00BD372F" w:rsidP="00183985">
      <w:pPr>
        <w:spacing w:after="0" w:line="240" w:lineRule="auto"/>
        <w:ind w:left="-709"/>
        <w:jc w:val="both"/>
        <w:rPr>
          <w:rFonts w:ascii="Times New Roman" w:hAnsi="Times New Roman"/>
          <w:bCs/>
          <w:sz w:val="20"/>
          <w:szCs w:val="20"/>
          <w:lang w:eastAsia="sk-SK"/>
        </w:rPr>
      </w:pPr>
      <w:r w:rsidRPr="00BD372F">
        <w:rPr>
          <w:rFonts w:ascii="Times New Roman" w:hAnsi="Times New Roman"/>
          <w:bCs/>
          <w:sz w:val="24"/>
          <w:szCs w:val="20"/>
          <w:lang w:eastAsia="sk-SK"/>
        </w:rPr>
        <w:t>Ak sa vplyv týka viacerých subjektov verejnej správy, vypĺňa sa samostatná tabuľka za každý subjekt.</w:t>
      </w:r>
    </w:p>
    <w:p w14:paraId="29A722DC" w14:textId="77777777" w:rsidR="00BD372F" w:rsidRPr="00BD372F" w:rsidRDefault="00BD372F" w:rsidP="00BD372F">
      <w:pPr>
        <w:spacing w:after="0" w:line="240" w:lineRule="auto"/>
        <w:jc w:val="both"/>
        <w:rPr>
          <w:rFonts w:ascii="Times New Roman" w:hAnsi="Times New Roman"/>
          <w:bCs/>
          <w:sz w:val="20"/>
          <w:szCs w:val="20"/>
          <w:lang w:eastAsia="sk-SK"/>
        </w:rPr>
      </w:pPr>
    </w:p>
    <w:p w14:paraId="0BF10B18" w14:textId="60A6F2BB" w:rsidR="00BD372F" w:rsidRPr="00BD372F" w:rsidRDefault="00BD372F" w:rsidP="007C72FC">
      <w:pPr>
        <w:spacing w:after="0" w:line="240" w:lineRule="auto"/>
        <w:jc w:val="right"/>
        <w:rPr>
          <w:rFonts w:ascii="Times New Roman" w:hAnsi="Times New Roman"/>
          <w:bCs/>
          <w:sz w:val="20"/>
          <w:szCs w:val="20"/>
          <w:lang w:eastAsia="sk-SK"/>
        </w:rPr>
      </w:pPr>
      <w:r w:rsidRPr="00BD372F">
        <w:rPr>
          <w:rFonts w:ascii="Times New Roman" w:hAnsi="Times New Roman"/>
          <w:bCs/>
          <w:sz w:val="20"/>
          <w:szCs w:val="20"/>
          <w:lang w:eastAsia="sk-SK"/>
        </w:rPr>
        <w:br w:type="page"/>
        <w:t>Tabuľka č. 4/B</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6833"/>
        <w:gridCol w:w="1393"/>
        <w:gridCol w:w="1604"/>
        <w:gridCol w:w="1499"/>
        <w:gridCol w:w="1499"/>
        <w:gridCol w:w="2051"/>
      </w:tblGrid>
      <w:tr w:rsidR="00BD372F" w:rsidRPr="00BD372F" w14:paraId="7B24B952" w14:textId="77777777" w:rsidTr="00BD372F">
        <w:trPr>
          <w:cantSplit/>
          <w:trHeight w:val="255"/>
        </w:trPr>
        <w:tc>
          <w:tcPr>
            <w:tcW w:w="6833"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14:paraId="394361E6"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r w:rsidRPr="00BD372F">
              <w:rPr>
                <w:rFonts w:ascii="Times New Roman" w:hAnsi="Times New Roman"/>
                <w:b/>
                <w:bCs/>
                <w:color w:val="000000"/>
                <w:sz w:val="20"/>
                <w:szCs w:val="20"/>
                <w:lang w:eastAsia="sk-SK"/>
              </w:rPr>
              <w:t>Vplyvy (v metodike ESA 2010)</w:t>
            </w:r>
          </w:p>
          <w:p w14:paraId="690F87A6"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r w:rsidRPr="00BD372F">
              <w:rPr>
                <w:rFonts w:ascii="Times New Roman" w:hAnsi="Times New Roman"/>
                <w:b/>
                <w:bCs/>
                <w:sz w:val="20"/>
                <w:szCs w:val="20"/>
                <w:lang w:eastAsia="sk-SK"/>
              </w:rPr>
              <w:t>Finančné riaditeľstvo SR</w:t>
            </w:r>
          </w:p>
        </w:tc>
        <w:tc>
          <w:tcPr>
            <w:tcW w:w="5995" w:type="dxa"/>
            <w:gridSpan w:val="4"/>
            <w:tcBorders>
              <w:top w:val="single" w:sz="4" w:space="0" w:color="auto"/>
              <w:left w:val="nil"/>
              <w:bottom w:val="single" w:sz="4" w:space="0" w:color="auto"/>
              <w:right w:val="single" w:sz="4" w:space="0" w:color="auto"/>
            </w:tcBorders>
            <w:shd w:val="clear" w:color="auto" w:fill="BFBFBF"/>
          </w:tcPr>
          <w:p w14:paraId="13D3D601"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r w:rsidRPr="00BD372F">
              <w:rPr>
                <w:rFonts w:ascii="Times New Roman" w:hAnsi="Times New Roman"/>
                <w:b/>
                <w:bCs/>
                <w:color w:val="000000"/>
                <w:sz w:val="20"/>
                <w:szCs w:val="20"/>
                <w:lang w:eastAsia="sk-SK"/>
              </w:rPr>
              <w:t>Vplyv na limit verejných výdavkov subjektu verejnej správy</w:t>
            </w:r>
          </w:p>
        </w:tc>
        <w:tc>
          <w:tcPr>
            <w:tcW w:w="2051"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40C5B104" w14:textId="77777777" w:rsidR="00BD372F" w:rsidRPr="00BD372F" w:rsidRDefault="00BD372F" w:rsidP="00BD372F">
            <w:pPr>
              <w:spacing w:after="0" w:line="240" w:lineRule="auto"/>
              <w:jc w:val="center"/>
              <w:rPr>
                <w:rFonts w:ascii="Times New Roman" w:hAnsi="Times New Roman"/>
                <w:b/>
                <w:bCs/>
                <w:color w:val="000000"/>
                <w:sz w:val="24"/>
                <w:szCs w:val="24"/>
                <w:lang w:eastAsia="sk-SK"/>
              </w:rPr>
            </w:pPr>
            <w:r w:rsidRPr="00BD372F">
              <w:rPr>
                <w:rFonts w:ascii="Times New Roman" w:hAnsi="Times New Roman"/>
                <w:b/>
                <w:bCs/>
                <w:color w:val="000000"/>
                <w:sz w:val="24"/>
                <w:szCs w:val="24"/>
                <w:lang w:eastAsia="sk-SK"/>
              </w:rPr>
              <w:t>poznámka</w:t>
            </w:r>
          </w:p>
        </w:tc>
      </w:tr>
      <w:tr w:rsidR="00BD372F" w:rsidRPr="00BD372F" w14:paraId="777F899D" w14:textId="77777777" w:rsidTr="00BD372F">
        <w:trPr>
          <w:cantSplit/>
          <w:trHeight w:val="255"/>
        </w:trPr>
        <w:tc>
          <w:tcPr>
            <w:tcW w:w="6833" w:type="dxa"/>
            <w:vMerge/>
            <w:tcBorders>
              <w:top w:val="single" w:sz="4" w:space="0" w:color="auto"/>
              <w:left w:val="single" w:sz="4" w:space="0" w:color="auto"/>
              <w:bottom w:val="single" w:sz="4" w:space="0" w:color="000000"/>
              <w:right w:val="single" w:sz="4" w:space="0" w:color="auto"/>
            </w:tcBorders>
            <w:vAlign w:val="center"/>
          </w:tcPr>
          <w:p w14:paraId="4AE67AF2" w14:textId="77777777" w:rsidR="00BD372F" w:rsidRPr="00BD372F" w:rsidRDefault="00BD372F" w:rsidP="00BD372F">
            <w:pPr>
              <w:spacing w:after="0" w:line="240" w:lineRule="auto"/>
              <w:rPr>
                <w:rFonts w:ascii="Times New Roman" w:hAnsi="Times New Roman"/>
                <w:b/>
                <w:bCs/>
                <w:color w:val="000000"/>
                <w:sz w:val="20"/>
                <w:szCs w:val="20"/>
                <w:lang w:eastAsia="sk-SK"/>
              </w:rPr>
            </w:pPr>
          </w:p>
        </w:tc>
        <w:tc>
          <w:tcPr>
            <w:tcW w:w="1393" w:type="dxa"/>
            <w:tcBorders>
              <w:top w:val="nil"/>
              <w:left w:val="nil"/>
              <w:bottom w:val="single" w:sz="4" w:space="0" w:color="auto"/>
              <w:right w:val="single" w:sz="4" w:space="0" w:color="auto"/>
            </w:tcBorders>
            <w:shd w:val="clear" w:color="auto" w:fill="BFBFBF"/>
          </w:tcPr>
          <w:p w14:paraId="07076F02"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r w:rsidRPr="00BD372F">
              <w:rPr>
                <w:rFonts w:ascii="Times New Roman" w:hAnsi="Times New Roman"/>
                <w:b/>
                <w:bCs/>
                <w:color w:val="000000"/>
                <w:sz w:val="20"/>
                <w:szCs w:val="20"/>
                <w:lang w:eastAsia="sk-SK"/>
              </w:rPr>
              <w:t>2025</w:t>
            </w:r>
          </w:p>
        </w:tc>
        <w:tc>
          <w:tcPr>
            <w:tcW w:w="1604" w:type="dxa"/>
            <w:tcBorders>
              <w:top w:val="nil"/>
              <w:left w:val="nil"/>
              <w:bottom w:val="single" w:sz="4" w:space="0" w:color="auto"/>
              <w:right w:val="single" w:sz="4" w:space="0" w:color="auto"/>
            </w:tcBorders>
            <w:shd w:val="clear" w:color="auto" w:fill="BFBFBF"/>
          </w:tcPr>
          <w:p w14:paraId="433A5214"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r w:rsidRPr="00BD372F">
              <w:rPr>
                <w:rFonts w:ascii="Times New Roman" w:hAnsi="Times New Roman"/>
                <w:b/>
                <w:bCs/>
                <w:color w:val="000000"/>
                <w:sz w:val="20"/>
                <w:szCs w:val="20"/>
                <w:lang w:eastAsia="sk-SK"/>
              </w:rPr>
              <w:t>2026</w:t>
            </w:r>
          </w:p>
        </w:tc>
        <w:tc>
          <w:tcPr>
            <w:tcW w:w="1499" w:type="dxa"/>
            <w:tcBorders>
              <w:top w:val="nil"/>
              <w:left w:val="nil"/>
              <w:bottom w:val="single" w:sz="4" w:space="0" w:color="auto"/>
              <w:right w:val="single" w:sz="4" w:space="0" w:color="auto"/>
            </w:tcBorders>
            <w:shd w:val="clear" w:color="auto" w:fill="BFBFBF"/>
          </w:tcPr>
          <w:p w14:paraId="2F6BA581"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r w:rsidRPr="00BD372F">
              <w:rPr>
                <w:rFonts w:ascii="Times New Roman" w:hAnsi="Times New Roman"/>
                <w:b/>
                <w:bCs/>
                <w:color w:val="000000"/>
                <w:sz w:val="20"/>
                <w:szCs w:val="20"/>
                <w:lang w:eastAsia="sk-SK"/>
              </w:rPr>
              <w:t>2027</w:t>
            </w:r>
          </w:p>
        </w:tc>
        <w:tc>
          <w:tcPr>
            <w:tcW w:w="1499" w:type="dxa"/>
            <w:tcBorders>
              <w:top w:val="nil"/>
              <w:left w:val="nil"/>
              <w:bottom w:val="single" w:sz="4" w:space="0" w:color="auto"/>
              <w:right w:val="single" w:sz="4" w:space="0" w:color="auto"/>
            </w:tcBorders>
            <w:shd w:val="clear" w:color="auto" w:fill="BFBFBF"/>
          </w:tcPr>
          <w:p w14:paraId="4FB91057" w14:textId="77777777" w:rsidR="00BD372F" w:rsidRPr="00BD372F" w:rsidRDefault="00BD372F" w:rsidP="00BD372F">
            <w:pPr>
              <w:spacing w:after="0" w:line="240" w:lineRule="auto"/>
              <w:jc w:val="center"/>
              <w:rPr>
                <w:rFonts w:ascii="Times New Roman" w:hAnsi="Times New Roman"/>
                <w:b/>
                <w:bCs/>
                <w:color w:val="000000"/>
                <w:sz w:val="24"/>
                <w:szCs w:val="24"/>
                <w:lang w:eastAsia="sk-SK"/>
              </w:rPr>
            </w:pPr>
            <w:r w:rsidRPr="00BD372F">
              <w:rPr>
                <w:rFonts w:ascii="Times New Roman" w:hAnsi="Times New Roman"/>
                <w:b/>
                <w:bCs/>
                <w:color w:val="000000"/>
                <w:sz w:val="20"/>
                <w:szCs w:val="20"/>
                <w:lang w:eastAsia="sk-SK"/>
              </w:rPr>
              <w:t>2028</w:t>
            </w:r>
          </w:p>
        </w:tc>
        <w:tc>
          <w:tcPr>
            <w:tcW w:w="2051" w:type="dxa"/>
            <w:vMerge/>
            <w:tcBorders>
              <w:top w:val="single" w:sz="4" w:space="0" w:color="auto"/>
              <w:left w:val="single" w:sz="4" w:space="0" w:color="auto"/>
              <w:bottom w:val="single" w:sz="4" w:space="0" w:color="auto"/>
              <w:right w:val="single" w:sz="4" w:space="0" w:color="auto"/>
            </w:tcBorders>
            <w:vAlign w:val="center"/>
          </w:tcPr>
          <w:p w14:paraId="09B4C894" w14:textId="77777777" w:rsidR="00BD372F" w:rsidRPr="00BD372F" w:rsidRDefault="00BD372F" w:rsidP="00BD372F">
            <w:pPr>
              <w:spacing w:after="0" w:line="240" w:lineRule="auto"/>
              <w:rPr>
                <w:rFonts w:ascii="Times New Roman" w:hAnsi="Times New Roman"/>
                <w:b/>
                <w:bCs/>
                <w:color w:val="000000"/>
                <w:sz w:val="24"/>
                <w:szCs w:val="24"/>
                <w:lang w:eastAsia="sk-SK"/>
              </w:rPr>
            </w:pPr>
          </w:p>
        </w:tc>
      </w:tr>
      <w:tr w:rsidR="00BD372F" w:rsidRPr="00BD372F" w14:paraId="56160C62" w14:textId="77777777" w:rsidTr="00154BAB">
        <w:trPr>
          <w:trHeight w:val="255"/>
        </w:trPr>
        <w:tc>
          <w:tcPr>
            <w:tcW w:w="6833" w:type="dxa"/>
            <w:tcBorders>
              <w:top w:val="nil"/>
              <w:left w:val="single" w:sz="4" w:space="0" w:color="auto"/>
              <w:bottom w:val="single" w:sz="4" w:space="0" w:color="auto"/>
              <w:right w:val="single" w:sz="4" w:space="0" w:color="auto"/>
            </w:tcBorders>
          </w:tcPr>
          <w:p w14:paraId="72CF408C" w14:textId="77777777" w:rsidR="00BD372F" w:rsidRPr="00BD372F" w:rsidRDefault="00BD372F" w:rsidP="00BD372F">
            <w:pPr>
              <w:spacing w:after="0" w:line="240" w:lineRule="auto"/>
              <w:rPr>
                <w:rFonts w:ascii="Times New Roman" w:hAnsi="Times New Roman"/>
                <w:b/>
                <w:bCs/>
                <w:color w:val="000000"/>
                <w:sz w:val="20"/>
                <w:szCs w:val="20"/>
                <w:lang w:eastAsia="sk-SK"/>
              </w:rPr>
            </w:pPr>
            <w:r w:rsidRPr="00BD372F">
              <w:rPr>
                <w:rFonts w:ascii="Times New Roman" w:hAnsi="Times New Roman"/>
                <w:b/>
                <w:bCs/>
                <w:color w:val="000000"/>
                <w:sz w:val="20"/>
                <w:szCs w:val="20"/>
                <w:lang w:eastAsia="sk-SK"/>
              </w:rPr>
              <w:t>Kapitálové príjmy (230)</w:t>
            </w:r>
          </w:p>
        </w:tc>
        <w:tc>
          <w:tcPr>
            <w:tcW w:w="1393" w:type="dxa"/>
            <w:tcBorders>
              <w:top w:val="nil"/>
              <w:left w:val="nil"/>
              <w:bottom w:val="single" w:sz="4" w:space="0" w:color="auto"/>
              <w:right w:val="single" w:sz="4" w:space="0" w:color="auto"/>
            </w:tcBorders>
          </w:tcPr>
          <w:p w14:paraId="13EC2616"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p>
        </w:tc>
        <w:tc>
          <w:tcPr>
            <w:tcW w:w="1604" w:type="dxa"/>
            <w:tcBorders>
              <w:top w:val="nil"/>
              <w:left w:val="nil"/>
              <w:bottom w:val="single" w:sz="4" w:space="0" w:color="auto"/>
              <w:right w:val="single" w:sz="4" w:space="0" w:color="auto"/>
            </w:tcBorders>
          </w:tcPr>
          <w:p w14:paraId="657DCAC5"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p>
        </w:tc>
        <w:tc>
          <w:tcPr>
            <w:tcW w:w="1499" w:type="dxa"/>
            <w:tcBorders>
              <w:top w:val="nil"/>
              <w:left w:val="nil"/>
              <w:bottom w:val="single" w:sz="4" w:space="0" w:color="auto"/>
              <w:right w:val="single" w:sz="4" w:space="0" w:color="auto"/>
            </w:tcBorders>
          </w:tcPr>
          <w:p w14:paraId="25D8CAEC"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p>
        </w:tc>
        <w:tc>
          <w:tcPr>
            <w:tcW w:w="1499" w:type="dxa"/>
            <w:tcBorders>
              <w:top w:val="nil"/>
              <w:left w:val="nil"/>
              <w:bottom w:val="single" w:sz="4" w:space="0" w:color="auto"/>
              <w:right w:val="single" w:sz="4" w:space="0" w:color="auto"/>
            </w:tcBorders>
          </w:tcPr>
          <w:p w14:paraId="08ED9408"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p>
        </w:tc>
        <w:tc>
          <w:tcPr>
            <w:tcW w:w="2051" w:type="dxa"/>
            <w:tcBorders>
              <w:top w:val="nil"/>
              <w:left w:val="nil"/>
              <w:bottom w:val="single" w:sz="4" w:space="0" w:color="auto"/>
              <w:right w:val="single" w:sz="4" w:space="0" w:color="auto"/>
            </w:tcBorders>
            <w:noWrap/>
            <w:vAlign w:val="bottom"/>
          </w:tcPr>
          <w:p w14:paraId="1D54B7A6" w14:textId="77777777" w:rsidR="00BD372F" w:rsidRPr="00BD372F" w:rsidRDefault="00BD372F" w:rsidP="00BD372F">
            <w:pPr>
              <w:spacing w:after="0" w:line="240" w:lineRule="auto"/>
              <w:rPr>
                <w:rFonts w:ascii="Times New Roman" w:hAnsi="Times New Roman"/>
                <w:color w:val="000000"/>
                <w:sz w:val="24"/>
                <w:szCs w:val="24"/>
                <w:lang w:eastAsia="sk-SK"/>
              </w:rPr>
            </w:pPr>
          </w:p>
        </w:tc>
      </w:tr>
      <w:tr w:rsidR="00BD372F" w:rsidRPr="00BD372F" w14:paraId="1B615D87" w14:textId="77777777" w:rsidTr="00154BAB">
        <w:trPr>
          <w:trHeight w:val="255"/>
        </w:trPr>
        <w:tc>
          <w:tcPr>
            <w:tcW w:w="6833" w:type="dxa"/>
            <w:tcBorders>
              <w:top w:val="nil"/>
              <w:left w:val="single" w:sz="4" w:space="0" w:color="auto"/>
              <w:bottom w:val="single" w:sz="4" w:space="0" w:color="auto"/>
              <w:right w:val="single" w:sz="4" w:space="0" w:color="auto"/>
            </w:tcBorders>
          </w:tcPr>
          <w:p w14:paraId="26E5E478" w14:textId="77777777" w:rsidR="00BD372F" w:rsidRPr="00BD372F" w:rsidRDefault="00BD372F" w:rsidP="00BD372F">
            <w:pPr>
              <w:spacing w:after="0" w:line="240" w:lineRule="auto"/>
              <w:rPr>
                <w:rFonts w:ascii="Times New Roman" w:hAnsi="Times New Roman"/>
                <w:b/>
                <w:bCs/>
                <w:color w:val="000000"/>
                <w:sz w:val="20"/>
                <w:szCs w:val="20"/>
                <w:lang w:eastAsia="sk-SK"/>
              </w:rPr>
            </w:pPr>
            <w:r w:rsidRPr="00BD372F">
              <w:rPr>
                <w:rFonts w:ascii="Times New Roman" w:hAnsi="Times New Roman"/>
                <w:b/>
                <w:bCs/>
                <w:color w:val="000000"/>
                <w:sz w:val="20"/>
                <w:szCs w:val="20"/>
                <w:lang w:eastAsia="sk-SK"/>
              </w:rPr>
              <w:t>Bežné výdavky (600)</w:t>
            </w:r>
          </w:p>
        </w:tc>
        <w:tc>
          <w:tcPr>
            <w:tcW w:w="1393" w:type="dxa"/>
            <w:tcBorders>
              <w:top w:val="nil"/>
              <w:left w:val="nil"/>
              <w:bottom w:val="single" w:sz="4" w:space="0" w:color="auto"/>
              <w:right w:val="single" w:sz="4" w:space="0" w:color="auto"/>
            </w:tcBorders>
          </w:tcPr>
          <w:p w14:paraId="5C7A9367"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r w:rsidRPr="00BD372F">
              <w:rPr>
                <w:rFonts w:ascii="Times New Roman" w:hAnsi="Times New Roman"/>
                <w:b/>
                <w:bCs/>
                <w:sz w:val="20"/>
                <w:szCs w:val="20"/>
                <w:lang w:eastAsia="sk-SK"/>
              </w:rPr>
              <w:t>0</w:t>
            </w:r>
          </w:p>
        </w:tc>
        <w:tc>
          <w:tcPr>
            <w:tcW w:w="1604" w:type="dxa"/>
            <w:tcBorders>
              <w:top w:val="nil"/>
              <w:left w:val="nil"/>
              <w:bottom w:val="single" w:sz="4" w:space="0" w:color="auto"/>
              <w:right w:val="single" w:sz="4" w:space="0" w:color="auto"/>
            </w:tcBorders>
          </w:tcPr>
          <w:p w14:paraId="6575BF04"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r w:rsidRPr="00BD372F">
              <w:rPr>
                <w:rFonts w:ascii="Times New Roman" w:hAnsi="Times New Roman"/>
                <w:b/>
                <w:bCs/>
                <w:sz w:val="20"/>
                <w:szCs w:val="20"/>
                <w:lang w:eastAsia="sk-SK"/>
              </w:rPr>
              <w:t>-92 520</w:t>
            </w:r>
          </w:p>
        </w:tc>
        <w:tc>
          <w:tcPr>
            <w:tcW w:w="1499" w:type="dxa"/>
            <w:tcBorders>
              <w:top w:val="nil"/>
              <w:left w:val="nil"/>
              <w:bottom w:val="single" w:sz="4" w:space="0" w:color="auto"/>
              <w:right w:val="single" w:sz="4" w:space="0" w:color="auto"/>
            </w:tcBorders>
          </w:tcPr>
          <w:p w14:paraId="712DEC2B"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r w:rsidRPr="00BD372F">
              <w:rPr>
                <w:rFonts w:ascii="Times New Roman" w:hAnsi="Times New Roman"/>
                <w:b/>
                <w:bCs/>
                <w:sz w:val="20"/>
                <w:szCs w:val="20"/>
                <w:lang w:eastAsia="sk-SK"/>
              </w:rPr>
              <w:t>-89 520</w:t>
            </w:r>
          </w:p>
        </w:tc>
        <w:tc>
          <w:tcPr>
            <w:tcW w:w="1499" w:type="dxa"/>
            <w:tcBorders>
              <w:top w:val="nil"/>
              <w:left w:val="nil"/>
              <w:bottom w:val="single" w:sz="4" w:space="0" w:color="auto"/>
              <w:right w:val="single" w:sz="4" w:space="0" w:color="auto"/>
            </w:tcBorders>
          </w:tcPr>
          <w:p w14:paraId="09CA2729"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r w:rsidRPr="00BD372F">
              <w:rPr>
                <w:rFonts w:ascii="Times New Roman" w:hAnsi="Times New Roman"/>
                <w:b/>
                <w:bCs/>
                <w:sz w:val="20"/>
                <w:szCs w:val="20"/>
                <w:lang w:eastAsia="sk-SK"/>
              </w:rPr>
              <w:t>-89 520</w:t>
            </w:r>
          </w:p>
        </w:tc>
        <w:tc>
          <w:tcPr>
            <w:tcW w:w="2051" w:type="dxa"/>
            <w:vMerge w:val="restart"/>
            <w:tcBorders>
              <w:top w:val="nil"/>
              <w:left w:val="nil"/>
              <w:right w:val="single" w:sz="4" w:space="0" w:color="auto"/>
            </w:tcBorders>
            <w:noWrap/>
            <w:vAlign w:val="bottom"/>
          </w:tcPr>
          <w:p w14:paraId="2B4CF4FC" w14:textId="77777777" w:rsidR="00BD372F" w:rsidRPr="00BD372F" w:rsidRDefault="00BD372F" w:rsidP="00BD372F">
            <w:pPr>
              <w:spacing w:after="0" w:line="240" w:lineRule="auto"/>
              <w:rPr>
                <w:rFonts w:ascii="Times New Roman" w:hAnsi="Times New Roman"/>
                <w:color w:val="000000"/>
                <w:sz w:val="24"/>
                <w:szCs w:val="24"/>
                <w:lang w:eastAsia="sk-SK"/>
              </w:rPr>
            </w:pPr>
            <w:r w:rsidRPr="00BD372F">
              <w:rPr>
                <w:rFonts w:ascii="Times New Roman" w:hAnsi="Times New Roman"/>
                <w:color w:val="000000"/>
                <w:sz w:val="24"/>
                <w:szCs w:val="24"/>
                <w:lang w:eastAsia="sk-SK"/>
              </w:rPr>
              <w:t> </w:t>
            </w:r>
          </w:p>
          <w:p w14:paraId="425F3E04" w14:textId="77777777" w:rsidR="00BD372F" w:rsidRPr="00BD372F" w:rsidRDefault="00BD372F" w:rsidP="00BD372F">
            <w:pPr>
              <w:spacing w:after="0" w:line="240" w:lineRule="auto"/>
              <w:rPr>
                <w:rFonts w:ascii="Times New Roman" w:hAnsi="Times New Roman"/>
                <w:color w:val="000000"/>
                <w:sz w:val="24"/>
                <w:szCs w:val="24"/>
                <w:lang w:eastAsia="sk-SK"/>
              </w:rPr>
            </w:pPr>
            <w:r w:rsidRPr="00BD372F">
              <w:rPr>
                <w:rFonts w:ascii="Times New Roman" w:eastAsia="Calibri" w:hAnsi="Times New Roman"/>
                <w:sz w:val="20"/>
                <w:szCs w:val="20"/>
              </w:rPr>
              <w:t xml:space="preserve">Ide </w:t>
            </w:r>
            <w:r w:rsidRPr="00BD372F">
              <w:rPr>
                <w:rFonts w:ascii="Times New Roman" w:hAnsi="Times New Roman"/>
                <w:sz w:val="20"/>
                <w:szCs w:val="20"/>
                <w:lang w:eastAsia="sk-SK"/>
              </w:rPr>
              <w:t>o zníženie bežných výdavkových titulov, ktoré priamo súvisia s dvoma štátnozamestnaneckými miestami.</w:t>
            </w:r>
          </w:p>
          <w:p w14:paraId="5ADAEA74" w14:textId="77777777" w:rsidR="00BD372F" w:rsidRPr="00BD372F" w:rsidRDefault="00BD372F" w:rsidP="00BD372F">
            <w:pPr>
              <w:spacing w:after="0" w:line="240" w:lineRule="auto"/>
              <w:rPr>
                <w:rFonts w:ascii="Times New Roman" w:hAnsi="Times New Roman"/>
                <w:color w:val="000000"/>
                <w:sz w:val="24"/>
                <w:szCs w:val="24"/>
                <w:lang w:eastAsia="sk-SK"/>
              </w:rPr>
            </w:pPr>
            <w:r w:rsidRPr="00BD372F">
              <w:rPr>
                <w:rFonts w:ascii="Times New Roman" w:hAnsi="Times New Roman"/>
                <w:color w:val="000000"/>
                <w:sz w:val="24"/>
                <w:szCs w:val="24"/>
                <w:lang w:eastAsia="sk-SK"/>
              </w:rPr>
              <w:t> </w:t>
            </w:r>
          </w:p>
        </w:tc>
      </w:tr>
      <w:tr w:rsidR="00BD372F" w:rsidRPr="00BD372F" w14:paraId="76959FAE" w14:textId="77777777" w:rsidTr="00154BAB">
        <w:trPr>
          <w:trHeight w:val="255"/>
        </w:trPr>
        <w:tc>
          <w:tcPr>
            <w:tcW w:w="6833" w:type="dxa"/>
            <w:tcBorders>
              <w:top w:val="nil"/>
              <w:left w:val="single" w:sz="4" w:space="0" w:color="auto"/>
              <w:bottom w:val="single" w:sz="4" w:space="0" w:color="auto"/>
              <w:right w:val="single" w:sz="4" w:space="0" w:color="auto"/>
            </w:tcBorders>
          </w:tcPr>
          <w:p w14:paraId="014DC16A" w14:textId="77777777" w:rsidR="00BD372F" w:rsidRPr="00BD372F" w:rsidRDefault="00BD372F" w:rsidP="00BD372F">
            <w:pPr>
              <w:spacing w:after="0" w:line="240" w:lineRule="auto"/>
              <w:rPr>
                <w:rFonts w:ascii="Times New Roman" w:hAnsi="Times New Roman"/>
                <w:color w:val="000000"/>
                <w:sz w:val="20"/>
                <w:szCs w:val="20"/>
                <w:lang w:eastAsia="sk-SK"/>
              </w:rPr>
            </w:pPr>
            <w:r w:rsidRPr="00BD372F">
              <w:rPr>
                <w:rFonts w:ascii="Times New Roman" w:hAnsi="Times New Roman"/>
                <w:color w:val="000000"/>
                <w:sz w:val="20"/>
                <w:szCs w:val="20"/>
                <w:lang w:eastAsia="sk-SK"/>
              </w:rPr>
              <w:t xml:space="preserve">  Mzdy, platy, služobné príjmy a ostatné osobné vyrovnania (610)</w:t>
            </w:r>
          </w:p>
        </w:tc>
        <w:tc>
          <w:tcPr>
            <w:tcW w:w="1393" w:type="dxa"/>
            <w:tcBorders>
              <w:top w:val="nil"/>
              <w:left w:val="nil"/>
              <w:bottom w:val="single" w:sz="4" w:space="0" w:color="auto"/>
              <w:right w:val="single" w:sz="4" w:space="0" w:color="auto"/>
            </w:tcBorders>
          </w:tcPr>
          <w:p w14:paraId="1F01A9EB" w14:textId="77777777" w:rsidR="00BD372F" w:rsidRPr="00BD372F" w:rsidRDefault="00BD372F" w:rsidP="00BD372F">
            <w:pPr>
              <w:spacing w:after="0" w:line="240" w:lineRule="auto"/>
              <w:jc w:val="center"/>
              <w:rPr>
                <w:rFonts w:ascii="Times New Roman" w:hAnsi="Times New Roman"/>
                <w:color w:val="000000"/>
                <w:sz w:val="20"/>
                <w:szCs w:val="20"/>
                <w:lang w:eastAsia="sk-SK"/>
              </w:rPr>
            </w:pPr>
            <w:r w:rsidRPr="00BD372F">
              <w:rPr>
                <w:rFonts w:ascii="Times New Roman" w:hAnsi="Times New Roman"/>
                <w:sz w:val="20"/>
                <w:szCs w:val="20"/>
                <w:lang w:eastAsia="sk-SK"/>
              </w:rPr>
              <w:t>0</w:t>
            </w:r>
          </w:p>
        </w:tc>
        <w:tc>
          <w:tcPr>
            <w:tcW w:w="1604" w:type="dxa"/>
            <w:tcBorders>
              <w:top w:val="nil"/>
              <w:left w:val="nil"/>
              <w:bottom w:val="single" w:sz="4" w:space="0" w:color="auto"/>
              <w:right w:val="single" w:sz="4" w:space="0" w:color="auto"/>
            </w:tcBorders>
          </w:tcPr>
          <w:p w14:paraId="1DE06EDF" w14:textId="77777777" w:rsidR="00BD372F" w:rsidRPr="00BD372F" w:rsidRDefault="00BD372F" w:rsidP="00BD372F">
            <w:pPr>
              <w:spacing w:after="0" w:line="240" w:lineRule="auto"/>
              <w:jc w:val="center"/>
              <w:rPr>
                <w:rFonts w:ascii="Times New Roman" w:hAnsi="Times New Roman"/>
                <w:color w:val="000000"/>
                <w:sz w:val="20"/>
                <w:szCs w:val="20"/>
                <w:lang w:eastAsia="sk-SK"/>
              </w:rPr>
            </w:pPr>
            <w:r w:rsidRPr="00BD372F">
              <w:rPr>
                <w:rFonts w:ascii="Times New Roman" w:hAnsi="Times New Roman"/>
                <w:sz w:val="20"/>
                <w:szCs w:val="20"/>
                <w:lang w:eastAsia="sk-SK"/>
              </w:rPr>
              <w:t>-58 968</w:t>
            </w:r>
          </w:p>
        </w:tc>
        <w:tc>
          <w:tcPr>
            <w:tcW w:w="1499" w:type="dxa"/>
            <w:tcBorders>
              <w:top w:val="nil"/>
              <w:left w:val="nil"/>
              <w:bottom w:val="single" w:sz="4" w:space="0" w:color="auto"/>
              <w:right w:val="single" w:sz="4" w:space="0" w:color="auto"/>
            </w:tcBorders>
          </w:tcPr>
          <w:p w14:paraId="460A1F77" w14:textId="77777777" w:rsidR="00BD372F" w:rsidRPr="00BD372F" w:rsidRDefault="00BD372F" w:rsidP="00BD372F">
            <w:pPr>
              <w:spacing w:after="0" w:line="240" w:lineRule="auto"/>
              <w:jc w:val="center"/>
              <w:rPr>
                <w:rFonts w:ascii="Times New Roman" w:hAnsi="Times New Roman"/>
                <w:color w:val="000000"/>
                <w:sz w:val="20"/>
                <w:szCs w:val="20"/>
                <w:lang w:eastAsia="sk-SK"/>
              </w:rPr>
            </w:pPr>
            <w:r w:rsidRPr="00BD372F">
              <w:rPr>
                <w:rFonts w:ascii="Times New Roman" w:hAnsi="Times New Roman"/>
                <w:sz w:val="20"/>
                <w:szCs w:val="20"/>
                <w:lang w:eastAsia="sk-SK"/>
              </w:rPr>
              <w:t>-58 968</w:t>
            </w:r>
          </w:p>
        </w:tc>
        <w:tc>
          <w:tcPr>
            <w:tcW w:w="1499" w:type="dxa"/>
            <w:tcBorders>
              <w:top w:val="nil"/>
              <w:left w:val="nil"/>
              <w:bottom w:val="single" w:sz="4" w:space="0" w:color="auto"/>
              <w:right w:val="single" w:sz="4" w:space="0" w:color="auto"/>
            </w:tcBorders>
          </w:tcPr>
          <w:p w14:paraId="0D65EE24" w14:textId="77777777" w:rsidR="00BD372F" w:rsidRPr="00BD372F" w:rsidRDefault="00BD372F" w:rsidP="00BD372F">
            <w:pPr>
              <w:spacing w:after="0" w:line="240" w:lineRule="auto"/>
              <w:jc w:val="center"/>
              <w:rPr>
                <w:rFonts w:ascii="Times New Roman" w:hAnsi="Times New Roman"/>
                <w:color w:val="000000"/>
                <w:sz w:val="20"/>
                <w:szCs w:val="20"/>
                <w:lang w:eastAsia="sk-SK"/>
              </w:rPr>
            </w:pPr>
            <w:r w:rsidRPr="00BD372F">
              <w:rPr>
                <w:rFonts w:ascii="Times New Roman" w:hAnsi="Times New Roman"/>
                <w:sz w:val="20"/>
                <w:szCs w:val="20"/>
                <w:lang w:eastAsia="sk-SK"/>
              </w:rPr>
              <w:t>-58 968</w:t>
            </w:r>
          </w:p>
        </w:tc>
        <w:tc>
          <w:tcPr>
            <w:tcW w:w="2051" w:type="dxa"/>
            <w:vMerge/>
            <w:tcBorders>
              <w:left w:val="nil"/>
              <w:right w:val="single" w:sz="4" w:space="0" w:color="auto"/>
            </w:tcBorders>
            <w:noWrap/>
            <w:vAlign w:val="bottom"/>
          </w:tcPr>
          <w:p w14:paraId="1A6D850A" w14:textId="77777777" w:rsidR="00BD372F" w:rsidRPr="00BD372F" w:rsidRDefault="00BD372F" w:rsidP="00BD372F">
            <w:pPr>
              <w:spacing w:after="0" w:line="240" w:lineRule="auto"/>
              <w:rPr>
                <w:rFonts w:ascii="Times New Roman" w:hAnsi="Times New Roman"/>
                <w:color w:val="000000"/>
                <w:sz w:val="24"/>
                <w:szCs w:val="24"/>
                <w:lang w:eastAsia="sk-SK"/>
              </w:rPr>
            </w:pPr>
          </w:p>
        </w:tc>
      </w:tr>
      <w:tr w:rsidR="00BD372F" w:rsidRPr="00BD372F" w14:paraId="3FE661B3" w14:textId="77777777" w:rsidTr="00154BAB">
        <w:trPr>
          <w:trHeight w:val="255"/>
        </w:trPr>
        <w:tc>
          <w:tcPr>
            <w:tcW w:w="6833" w:type="dxa"/>
            <w:tcBorders>
              <w:top w:val="nil"/>
              <w:left w:val="single" w:sz="4" w:space="0" w:color="auto"/>
              <w:bottom w:val="single" w:sz="4" w:space="0" w:color="auto"/>
              <w:right w:val="single" w:sz="4" w:space="0" w:color="auto"/>
            </w:tcBorders>
          </w:tcPr>
          <w:p w14:paraId="651BC840" w14:textId="77777777" w:rsidR="00BD372F" w:rsidRPr="00BD372F" w:rsidRDefault="00BD372F" w:rsidP="00BD372F">
            <w:pPr>
              <w:spacing w:after="0" w:line="240" w:lineRule="auto"/>
              <w:rPr>
                <w:rFonts w:ascii="Times New Roman" w:hAnsi="Times New Roman"/>
                <w:color w:val="000000"/>
                <w:sz w:val="20"/>
                <w:szCs w:val="20"/>
                <w:vertAlign w:val="superscript"/>
                <w:lang w:eastAsia="sk-SK"/>
              </w:rPr>
            </w:pPr>
            <w:r w:rsidRPr="00BD372F">
              <w:rPr>
                <w:rFonts w:ascii="Times New Roman" w:hAnsi="Times New Roman"/>
                <w:sz w:val="20"/>
                <w:szCs w:val="20"/>
                <w:lang w:eastAsia="sk-SK"/>
              </w:rPr>
              <w:t xml:space="preserve">  Poistné a príspevok do poisťovní (620)</w:t>
            </w:r>
          </w:p>
        </w:tc>
        <w:tc>
          <w:tcPr>
            <w:tcW w:w="1393" w:type="dxa"/>
            <w:tcBorders>
              <w:top w:val="nil"/>
              <w:left w:val="nil"/>
              <w:bottom w:val="single" w:sz="4" w:space="0" w:color="auto"/>
              <w:right w:val="single" w:sz="4" w:space="0" w:color="auto"/>
            </w:tcBorders>
          </w:tcPr>
          <w:p w14:paraId="75DE2AC5" w14:textId="77777777" w:rsidR="00BD372F" w:rsidRPr="00BD372F" w:rsidRDefault="00BD372F" w:rsidP="00BD372F">
            <w:pPr>
              <w:spacing w:after="0" w:line="240" w:lineRule="auto"/>
              <w:jc w:val="center"/>
              <w:rPr>
                <w:rFonts w:ascii="Times New Roman" w:hAnsi="Times New Roman"/>
                <w:color w:val="000000"/>
                <w:sz w:val="20"/>
                <w:szCs w:val="20"/>
                <w:lang w:eastAsia="sk-SK"/>
              </w:rPr>
            </w:pPr>
            <w:r w:rsidRPr="00BD372F">
              <w:rPr>
                <w:rFonts w:ascii="Times New Roman" w:hAnsi="Times New Roman"/>
                <w:sz w:val="20"/>
                <w:szCs w:val="20"/>
                <w:lang w:eastAsia="sk-SK"/>
              </w:rPr>
              <w:t>0</w:t>
            </w:r>
          </w:p>
        </w:tc>
        <w:tc>
          <w:tcPr>
            <w:tcW w:w="1604" w:type="dxa"/>
            <w:tcBorders>
              <w:top w:val="nil"/>
              <w:left w:val="nil"/>
              <w:bottom w:val="single" w:sz="4" w:space="0" w:color="auto"/>
              <w:right w:val="single" w:sz="4" w:space="0" w:color="auto"/>
            </w:tcBorders>
          </w:tcPr>
          <w:p w14:paraId="671BBA81" w14:textId="77777777" w:rsidR="00BD372F" w:rsidRPr="00BD372F" w:rsidRDefault="00BD372F" w:rsidP="00BD372F">
            <w:pPr>
              <w:spacing w:after="0" w:line="240" w:lineRule="auto"/>
              <w:jc w:val="center"/>
              <w:rPr>
                <w:rFonts w:ascii="Times New Roman" w:hAnsi="Times New Roman"/>
                <w:color w:val="000000"/>
                <w:sz w:val="20"/>
                <w:szCs w:val="20"/>
                <w:lang w:eastAsia="sk-SK"/>
              </w:rPr>
            </w:pPr>
            <w:r w:rsidRPr="00BD372F">
              <w:rPr>
                <w:rFonts w:ascii="Times New Roman" w:hAnsi="Times New Roman"/>
                <w:sz w:val="20"/>
                <w:szCs w:val="20"/>
                <w:lang w:eastAsia="sk-SK"/>
              </w:rPr>
              <w:t>-22 639</w:t>
            </w:r>
          </w:p>
        </w:tc>
        <w:tc>
          <w:tcPr>
            <w:tcW w:w="1499" w:type="dxa"/>
            <w:tcBorders>
              <w:top w:val="nil"/>
              <w:left w:val="nil"/>
              <w:bottom w:val="single" w:sz="4" w:space="0" w:color="auto"/>
              <w:right w:val="single" w:sz="4" w:space="0" w:color="auto"/>
            </w:tcBorders>
          </w:tcPr>
          <w:p w14:paraId="2DCED948" w14:textId="77777777" w:rsidR="00BD372F" w:rsidRPr="00BD372F" w:rsidRDefault="00BD372F" w:rsidP="00BD372F">
            <w:pPr>
              <w:spacing w:after="0" w:line="240" w:lineRule="auto"/>
              <w:jc w:val="center"/>
              <w:rPr>
                <w:rFonts w:ascii="Times New Roman" w:hAnsi="Times New Roman"/>
                <w:color w:val="000000"/>
                <w:sz w:val="20"/>
                <w:szCs w:val="20"/>
                <w:lang w:eastAsia="sk-SK"/>
              </w:rPr>
            </w:pPr>
            <w:r w:rsidRPr="00BD372F">
              <w:rPr>
                <w:rFonts w:ascii="Times New Roman" w:hAnsi="Times New Roman"/>
                <w:sz w:val="20"/>
                <w:szCs w:val="20"/>
                <w:lang w:eastAsia="sk-SK"/>
              </w:rPr>
              <w:t>-22 639</w:t>
            </w:r>
          </w:p>
        </w:tc>
        <w:tc>
          <w:tcPr>
            <w:tcW w:w="1499" w:type="dxa"/>
            <w:tcBorders>
              <w:top w:val="nil"/>
              <w:left w:val="nil"/>
              <w:bottom w:val="single" w:sz="4" w:space="0" w:color="auto"/>
              <w:right w:val="single" w:sz="4" w:space="0" w:color="auto"/>
            </w:tcBorders>
          </w:tcPr>
          <w:p w14:paraId="737260A4" w14:textId="77777777" w:rsidR="00BD372F" w:rsidRPr="00BD372F" w:rsidRDefault="00BD372F" w:rsidP="00BD372F">
            <w:pPr>
              <w:spacing w:after="0" w:line="240" w:lineRule="auto"/>
              <w:jc w:val="center"/>
              <w:rPr>
                <w:rFonts w:ascii="Times New Roman" w:hAnsi="Times New Roman"/>
                <w:color w:val="000000"/>
                <w:sz w:val="20"/>
                <w:szCs w:val="20"/>
                <w:lang w:eastAsia="sk-SK"/>
              </w:rPr>
            </w:pPr>
            <w:r w:rsidRPr="00BD372F">
              <w:rPr>
                <w:rFonts w:ascii="Times New Roman" w:hAnsi="Times New Roman"/>
                <w:sz w:val="20"/>
                <w:szCs w:val="20"/>
                <w:lang w:eastAsia="sk-SK"/>
              </w:rPr>
              <w:t>-22 639</w:t>
            </w:r>
          </w:p>
        </w:tc>
        <w:tc>
          <w:tcPr>
            <w:tcW w:w="2051" w:type="dxa"/>
            <w:vMerge/>
            <w:tcBorders>
              <w:left w:val="nil"/>
              <w:right w:val="single" w:sz="4" w:space="0" w:color="auto"/>
            </w:tcBorders>
            <w:noWrap/>
            <w:vAlign w:val="bottom"/>
          </w:tcPr>
          <w:p w14:paraId="05F26A58" w14:textId="77777777" w:rsidR="00BD372F" w:rsidRPr="00BD372F" w:rsidRDefault="00BD372F" w:rsidP="00BD372F">
            <w:pPr>
              <w:spacing w:after="0" w:line="240" w:lineRule="auto"/>
              <w:rPr>
                <w:rFonts w:ascii="Times New Roman" w:hAnsi="Times New Roman"/>
                <w:color w:val="000000"/>
                <w:sz w:val="24"/>
                <w:szCs w:val="24"/>
                <w:lang w:eastAsia="sk-SK"/>
              </w:rPr>
            </w:pPr>
          </w:p>
        </w:tc>
      </w:tr>
      <w:tr w:rsidR="00BD372F" w:rsidRPr="00BD372F" w14:paraId="09AD8816" w14:textId="77777777" w:rsidTr="00154BAB">
        <w:trPr>
          <w:trHeight w:val="255"/>
        </w:trPr>
        <w:tc>
          <w:tcPr>
            <w:tcW w:w="6833" w:type="dxa"/>
            <w:tcBorders>
              <w:top w:val="nil"/>
              <w:left w:val="single" w:sz="4" w:space="0" w:color="auto"/>
              <w:bottom w:val="single" w:sz="4" w:space="0" w:color="auto"/>
              <w:right w:val="single" w:sz="4" w:space="0" w:color="auto"/>
            </w:tcBorders>
          </w:tcPr>
          <w:p w14:paraId="043EDE8E" w14:textId="77777777" w:rsidR="00BD372F" w:rsidRPr="00BD372F" w:rsidRDefault="00BD372F" w:rsidP="00BD372F">
            <w:pPr>
              <w:spacing w:after="0" w:line="240" w:lineRule="auto"/>
              <w:rPr>
                <w:rFonts w:ascii="Times New Roman" w:hAnsi="Times New Roman"/>
                <w:color w:val="000000"/>
                <w:sz w:val="20"/>
                <w:szCs w:val="20"/>
                <w:vertAlign w:val="superscript"/>
                <w:lang w:eastAsia="sk-SK"/>
              </w:rPr>
            </w:pPr>
            <w:r w:rsidRPr="00BD372F">
              <w:rPr>
                <w:rFonts w:ascii="Times New Roman" w:hAnsi="Times New Roman"/>
                <w:sz w:val="20"/>
                <w:szCs w:val="20"/>
                <w:lang w:eastAsia="sk-SK"/>
              </w:rPr>
              <w:t xml:space="preserve">  Tovary a služby (630)</w:t>
            </w:r>
            <w:r w:rsidRPr="00BD372F">
              <w:rPr>
                <w:rFonts w:ascii="Times New Roman" w:hAnsi="Times New Roman"/>
                <w:sz w:val="20"/>
                <w:szCs w:val="20"/>
                <w:vertAlign w:val="superscript"/>
                <w:lang w:eastAsia="sk-SK"/>
              </w:rPr>
              <w:t>2</w:t>
            </w:r>
          </w:p>
        </w:tc>
        <w:tc>
          <w:tcPr>
            <w:tcW w:w="1393" w:type="dxa"/>
            <w:tcBorders>
              <w:top w:val="nil"/>
              <w:left w:val="nil"/>
              <w:bottom w:val="single" w:sz="4" w:space="0" w:color="auto"/>
              <w:right w:val="single" w:sz="4" w:space="0" w:color="auto"/>
            </w:tcBorders>
          </w:tcPr>
          <w:p w14:paraId="7AECAED8" w14:textId="77777777" w:rsidR="00BD372F" w:rsidRPr="00BD372F" w:rsidRDefault="00BD372F" w:rsidP="00BD372F">
            <w:pPr>
              <w:spacing w:after="0" w:line="240" w:lineRule="auto"/>
              <w:jc w:val="center"/>
              <w:rPr>
                <w:rFonts w:ascii="Times New Roman" w:hAnsi="Times New Roman"/>
                <w:color w:val="000000"/>
                <w:sz w:val="20"/>
                <w:szCs w:val="20"/>
                <w:lang w:eastAsia="sk-SK"/>
              </w:rPr>
            </w:pPr>
            <w:r w:rsidRPr="00BD372F">
              <w:rPr>
                <w:rFonts w:ascii="Times New Roman" w:hAnsi="Times New Roman"/>
                <w:sz w:val="20"/>
                <w:szCs w:val="20"/>
                <w:lang w:eastAsia="sk-SK"/>
              </w:rPr>
              <w:t>0</w:t>
            </w:r>
          </w:p>
        </w:tc>
        <w:tc>
          <w:tcPr>
            <w:tcW w:w="1604" w:type="dxa"/>
            <w:tcBorders>
              <w:top w:val="nil"/>
              <w:left w:val="nil"/>
              <w:bottom w:val="single" w:sz="4" w:space="0" w:color="auto"/>
              <w:right w:val="single" w:sz="4" w:space="0" w:color="auto"/>
            </w:tcBorders>
          </w:tcPr>
          <w:p w14:paraId="64FC9CB0" w14:textId="77777777" w:rsidR="00BD372F" w:rsidRPr="00BD372F" w:rsidRDefault="00BD372F" w:rsidP="00BD372F">
            <w:pPr>
              <w:spacing w:after="0" w:line="240" w:lineRule="auto"/>
              <w:jc w:val="center"/>
              <w:rPr>
                <w:rFonts w:ascii="Times New Roman" w:hAnsi="Times New Roman"/>
                <w:color w:val="000000"/>
                <w:sz w:val="20"/>
                <w:szCs w:val="20"/>
                <w:lang w:eastAsia="sk-SK"/>
              </w:rPr>
            </w:pPr>
            <w:r w:rsidRPr="00BD372F">
              <w:rPr>
                <w:rFonts w:ascii="Times New Roman" w:hAnsi="Times New Roman"/>
                <w:sz w:val="20"/>
                <w:szCs w:val="20"/>
                <w:lang w:eastAsia="sk-SK"/>
              </w:rPr>
              <w:t>-8 945</w:t>
            </w:r>
          </w:p>
        </w:tc>
        <w:tc>
          <w:tcPr>
            <w:tcW w:w="1499" w:type="dxa"/>
            <w:tcBorders>
              <w:top w:val="nil"/>
              <w:left w:val="nil"/>
              <w:bottom w:val="single" w:sz="4" w:space="0" w:color="auto"/>
              <w:right w:val="single" w:sz="4" w:space="0" w:color="auto"/>
            </w:tcBorders>
          </w:tcPr>
          <w:p w14:paraId="4A13EE78" w14:textId="77777777" w:rsidR="00BD372F" w:rsidRPr="00BD372F" w:rsidRDefault="00BD372F" w:rsidP="00BD372F">
            <w:pPr>
              <w:spacing w:after="0" w:line="240" w:lineRule="auto"/>
              <w:jc w:val="center"/>
              <w:rPr>
                <w:rFonts w:ascii="Times New Roman" w:hAnsi="Times New Roman"/>
                <w:color w:val="000000"/>
                <w:sz w:val="20"/>
                <w:szCs w:val="20"/>
                <w:lang w:eastAsia="sk-SK"/>
              </w:rPr>
            </w:pPr>
            <w:r w:rsidRPr="00BD372F">
              <w:rPr>
                <w:rFonts w:ascii="Times New Roman" w:hAnsi="Times New Roman"/>
                <w:sz w:val="20"/>
                <w:szCs w:val="20"/>
                <w:lang w:eastAsia="sk-SK"/>
              </w:rPr>
              <w:t>-5 945</w:t>
            </w:r>
          </w:p>
        </w:tc>
        <w:tc>
          <w:tcPr>
            <w:tcW w:w="1499" w:type="dxa"/>
            <w:tcBorders>
              <w:top w:val="nil"/>
              <w:left w:val="nil"/>
              <w:bottom w:val="single" w:sz="4" w:space="0" w:color="auto"/>
              <w:right w:val="single" w:sz="4" w:space="0" w:color="auto"/>
            </w:tcBorders>
          </w:tcPr>
          <w:p w14:paraId="79B045F6" w14:textId="77777777" w:rsidR="00BD372F" w:rsidRPr="00BD372F" w:rsidRDefault="00BD372F" w:rsidP="00BD372F">
            <w:pPr>
              <w:spacing w:after="0" w:line="240" w:lineRule="auto"/>
              <w:jc w:val="center"/>
              <w:rPr>
                <w:rFonts w:ascii="Times New Roman" w:hAnsi="Times New Roman"/>
                <w:color w:val="000000"/>
                <w:sz w:val="20"/>
                <w:szCs w:val="20"/>
                <w:lang w:eastAsia="sk-SK"/>
              </w:rPr>
            </w:pPr>
            <w:r w:rsidRPr="00BD372F">
              <w:rPr>
                <w:rFonts w:ascii="Times New Roman" w:hAnsi="Times New Roman"/>
                <w:sz w:val="20"/>
                <w:szCs w:val="20"/>
                <w:lang w:eastAsia="sk-SK"/>
              </w:rPr>
              <w:t>-5 945</w:t>
            </w:r>
          </w:p>
        </w:tc>
        <w:tc>
          <w:tcPr>
            <w:tcW w:w="2051" w:type="dxa"/>
            <w:vMerge/>
            <w:tcBorders>
              <w:left w:val="nil"/>
              <w:right w:val="single" w:sz="4" w:space="0" w:color="auto"/>
            </w:tcBorders>
            <w:noWrap/>
            <w:vAlign w:val="bottom"/>
          </w:tcPr>
          <w:p w14:paraId="7A78DC6F" w14:textId="77777777" w:rsidR="00BD372F" w:rsidRPr="00BD372F" w:rsidRDefault="00BD372F" w:rsidP="00BD372F">
            <w:pPr>
              <w:spacing w:after="0" w:line="240" w:lineRule="auto"/>
              <w:rPr>
                <w:rFonts w:ascii="Times New Roman" w:hAnsi="Times New Roman"/>
                <w:color w:val="000000"/>
                <w:sz w:val="24"/>
                <w:szCs w:val="24"/>
                <w:lang w:eastAsia="sk-SK"/>
              </w:rPr>
            </w:pPr>
          </w:p>
        </w:tc>
      </w:tr>
      <w:tr w:rsidR="00BD372F" w:rsidRPr="00BD372F" w14:paraId="5DC58073" w14:textId="77777777" w:rsidTr="00154BAB">
        <w:trPr>
          <w:trHeight w:val="255"/>
        </w:trPr>
        <w:tc>
          <w:tcPr>
            <w:tcW w:w="6833" w:type="dxa"/>
            <w:tcBorders>
              <w:top w:val="nil"/>
              <w:left w:val="single" w:sz="4" w:space="0" w:color="auto"/>
              <w:bottom w:val="single" w:sz="4" w:space="0" w:color="auto"/>
              <w:right w:val="single" w:sz="4" w:space="0" w:color="auto"/>
            </w:tcBorders>
          </w:tcPr>
          <w:p w14:paraId="614A6DE9" w14:textId="77777777" w:rsidR="00BD372F" w:rsidRPr="00BD372F" w:rsidRDefault="00BD372F" w:rsidP="00BD372F">
            <w:pPr>
              <w:spacing w:after="0" w:line="240" w:lineRule="auto"/>
              <w:rPr>
                <w:rFonts w:ascii="Times New Roman" w:hAnsi="Times New Roman"/>
                <w:color w:val="000000"/>
                <w:sz w:val="20"/>
                <w:szCs w:val="20"/>
                <w:lang w:eastAsia="sk-SK"/>
              </w:rPr>
            </w:pPr>
            <w:r w:rsidRPr="00BD372F">
              <w:rPr>
                <w:rFonts w:ascii="Times New Roman" w:hAnsi="Times New Roman"/>
                <w:sz w:val="20"/>
                <w:szCs w:val="20"/>
                <w:lang w:eastAsia="sk-SK"/>
              </w:rPr>
              <w:t xml:space="preserve">  Bežné transfery (640)</w:t>
            </w:r>
            <w:r w:rsidRPr="00BD372F">
              <w:rPr>
                <w:rFonts w:ascii="Times New Roman" w:hAnsi="Times New Roman"/>
                <w:sz w:val="20"/>
                <w:szCs w:val="20"/>
                <w:vertAlign w:val="superscript"/>
                <w:lang w:eastAsia="sk-SK"/>
              </w:rPr>
              <w:t>2</w:t>
            </w:r>
          </w:p>
        </w:tc>
        <w:tc>
          <w:tcPr>
            <w:tcW w:w="1393" w:type="dxa"/>
            <w:tcBorders>
              <w:top w:val="nil"/>
              <w:left w:val="nil"/>
              <w:bottom w:val="single" w:sz="4" w:space="0" w:color="auto"/>
              <w:right w:val="single" w:sz="4" w:space="0" w:color="auto"/>
            </w:tcBorders>
          </w:tcPr>
          <w:p w14:paraId="7F676D24" w14:textId="77777777" w:rsidR="00BD372F" w:rsidRPr="00BD372F" w:rsidRDefault="00BD372F" w:rsidP="00BD372F">
            <w:pPr>
              <w:spacing w:after="0" w:line="240" w:lineRule="auto"/>
              <w:jc w:val="center"/>
              <w:rPr>
                <w:rFonts w:ascii="Times New Roman" w:hAnsi="Times New Roman"/>
                <w:color w:val="000000"/>
                <w:sz w:val="20"/>
                <w:szCs w:val="20"/>
                <w:lang w:eastAsia="sk-SK"/>
              </w:rPr>
            </w:pPr>
            <w:r w:rsidRPr="00BD372F">
              <w:rPr>
                <w:rFonts w:ascii="Times New Roman" w:hAnsi="Times New Roman"/>
                <w:sz w:val="20"/>
                <w:szCs w:val="20"/>
                <w:lang w:eastAsia="sk-SK"/>
              </w:rPr>
              <w:t>0</w:t>
            </w:r>
          </w:p>
        </w:tc>
        <w:tc>
          <w:tcPr>
            <w:tcW w:w="1604" w:type="dxa"/>
            <w:tcBorders>
              <w:top w:val="nil"/>
              <w:left w:val="nil"/>
              <w:bottom w:val="single" w:sz="4" w:space="0" w:color="auto"/>
              <w:right w:val="single" w:sz="4" w:space="0" w:color="auto"/>
            </w:tcBorders>
          </w:tcPr>
          <w:p w14:paraId="3DD2F4B1" w14:textId="77777777" w:rsidR="00BD372F" w:rsidRPr="00BD372F" w:rsidRDefault="00BD372F" w:rsidP="00BD372F">
            <w:pPr>
              <w:spacing w:after="0" w:line="240" w:lineRule="auto"/>
              <w:jc w:val="center"/>
              <w:rPr>
                <w:rFonts w:ascii="Times New Roman" w:hAnsi="Times New Roman"/>
                <w:color w:val="000000"/>
                <w:sz w:val="20"/>
                <w:szCs w:val="20"/>
                <w:lang w:eastAsia="sk-SK"/>
              </w:rPr>
            </w:pPr>
            <w:r w:rsidRPr="00BD372F">
              <w:rPr>
                <w:rFonts w:ascii="Times New Roman" w:hAnsi="Times New Roman"/>
                <w:sz w:val="20"/>
                <w:szCs w:val="20"/>
                <w:lang w:eastAsia="sk-SK"/>
              </w:rPr>
              <w:t>-1 968</w:t>
            </w:r>
          </w:p>
        </w:tc>
        <w:tc>
          <w:tcPr>
            <w:tcW w:w="1499" w:type="dxa"/>
            <w:tcBorders>
              <w:top w:val="nil"/>
              <w:left w:val="nil"/>
              <w:bottom w:val="single" w:sz="4" w:space="0" w:color="auto"/>
              <w:right w:val="single" w:sz="4" w:space="0" w:color="auto"/>
            </w:tcBorders>
          </w:tcPr>
          <w:p w14:paraId="6101F274" w14:textId="77777777" w:rsidR="00BD372F" w:rsidRPr="00BD372F" w:rsidRDefault="00BD372F" w:rsidP="00BD372F">
            <w:pPr>
              <w:spacing w:after="0" w:line="240" w:lineRule="auto"/>
              <w:jc w:val="center"/>
              <w:rPr>
                <w:rFonts w:ascii="Times New Roman" w:hAnsi="Times New Roman"/>
                <w:color w:val="000000"/>
                <w:sz w:val="20"/>
                <w:szCs w:val="20"/>
                <w:lang w:eastAsia="sk-SK"/>
              </w:rPr>
            </w:pPr>
            <w:r w:rsidRPr="00BD372F">
              <w:rPr>
                <w:rFonts w:ascii="Times New Roman" w:hAnsi="Times New Roman"/>
                <w:sz w:val="20"/>
                <w:szCs w:val="20"/>
                <w:lang w:eastAsia="sk-SK"/>
              </w:rPr>
              <w:t>-1 968</w:t>
            </w:r>
          </w:p>
        </w:tc>
        <w:tc>
          <w:tcPr>
            <w:tcW w:w="1499" w:type="dxa"/>
            <w:tcBorders>
              <w:top w:val="nil"/>
              <w:left w:val="nil"/>
              <w:bottom w:val="single" w:sz="4" w:space="0" w:color="auto"/>
              <w:right w:val="single" w:sz="4" w:space="0" w:color="auto"/>
            </w:tcBorders>
          </w:tcPr>
          <w:p w14:paraId="22BF4946" w14:textId="77777777" w:rsidR="00BD372F" w:rsidRPr="00BD372F" w:rsidRDefault="00BD372F" w:rsidP="00BD372F">
            <w:pPr>
              <w:spacing w:after="0" w:line="240" w:lineRule="auto"/>
              <w:jc w:val="center"/>
              <w:rPr>
                <w:rFonts w:ascii="Times New Roman" w:hAnsi="Times New Roman"/>
                <w:color w:val="000000"/>
                <w:sz w:val="20"/>
                <w:szCs w:val="20"/>
                <w:lang w:eastAsia="sk-SK"/>
              </w:rPr>
            </w:pPr>
            <w:r w:rsidRPr="00BD372F">
              <w:rPr>
                <w:rFonts w:ascii="Times New Roman" w:hAnsi="Times New Roman"/>
                <w:sz w:val="20"/>
                <w:szCs w:val="20"/>
                <w:lang w:eastAsia="sk-SK"/>
              </w:rPr>
              <w:t>-1 968</w:t>
            </w:r>
          </w:p>
        </w:tc>
        <w:tc>
          <w:tcPr>
            <w:tcW w:w="2051" w:type="dxa"/>
            <w:vMerge/>
            <w:tcBorders>
              <w:left w:val="nil"/>
              <w:right w:val="single" w:sz="4" w:space="0" w:color="auto"/>
            </w:tcBorders>
            <w:noWrap/>
            <w:vAlign w:val="bottom"/>
          </w:tcPr>
          <w:p w14:paraId="1F6AC2F2" w14:textId="77777777" w:rsidR="00BD372F" w:rsidRPr="00BD372F" w:rsidRDefault="00BD372F" w:rsidP="00BD372F">
            <w:pPr>
              <w:spacing w:after="0" w:line="240" w:lineRule="auto"/>
              <w:rPr>
                <w:rFonts w:ascii="Times New Roman" w:hAnsi="Times New Roman"/>
                <w:color w:val="000000"/>
                <w:sz w:val="24"/>
                <w:szCs w:val="24"/>
                <w:lang w:eastAsia="sk-SK"/>
              </w:rPr>
            </w:pPr>
          </w:p>
        </w:tc>
      </w:tr>
      <w:tr w:rsidR="00BD372F" w:rsidRPr="00BD372F" w14:paraId="2BB0CAE4" w14:textId="77777777" w:rsidTr="00154BAB">
        <w:trPr>
          <w:trHeight w:val="255"/>
        </w:trPr>
        <w:tc>
          <w:tcPr>
            <w:tcW w:w="6833" w:type="dxa"/>
            <w:tcBorders>
              <w:top w:val="nil"/>
              <w:left w:val="single" w:sz="4" w:space="0" w:color="auto"/>
              <w:bottom w:val="single" w:sz="4" w:space="0" w:color="auto"/>
              <w:right w:val="single" w:sz="4" w:space="0" w:color="auto"/>
            </w:tcBorders>
            <w:vAlign w:val="center"/>
          </w:tcPr>
          <w:p w14:paraId="7CDDA101" w14:textId="77777777" w:rsidR="00BD372F" w:rsidRPr="00BD372F" w:rsidRDefault="00BD372F" w:rsidP="00BD372F">
            <w:pPr>
              <w:spacing w:after="0" w:line="240" w:lineRule="auto"/>
              <w:rPr>
                <w:rFonts w:ascii="Times New Roman" w:hAnsi="Times New Roman"/>
                <w:color w:val="000000"/>
                <w:sz w:val="20"/>
                <w:szCs w:val="20"/>
                <w:lang w:eastAsia="sk-SK"/>
              </w:rPr>
            </w:pPr>
            <w:r w:rsidRPr="00BD372F">
              <w:rPr>
                <w:rFonts w:ascii="Times New Roman" w:hAnsi="Times New Roman"/>
                <w:color w:val="000000"/>
                <w:sz w:val="20"/>
                <w:szCs w:val="20"/>
                <w:lang w:eastAsia="sk-SK"/>
              </w:rPr>
              <w:t xml:space="preserve">  Splácanie úrokov a ostatné platby súvisiace s </w:t>
            </w:r>
            <w:r w:rsidRPr="00BD372F">
              <w:rPr>
                <w:rFonts w:ascii="Calibri" w:eastAsia="Calibri" w:hAnsi="Calibri"/>
                <w:color w:val="000000"/>
                <w:szCs w:val="22"/>
              </w:rPr>
              <w:t xml:space="preserve"> </w:t>
            </w:r>
            <w:r w:rsidRPr="00BD372F">
              <w:rPr>
                <w:rFonts w:ascii="Times New Roman" w:hAnsi="Times New Roman"/>
                <w:color w:val="000000"/>
                <w:sz w:val="20"/>
                <w:szCs w:val="20"/>
                <w:lang w:eastAsia="sk-SK"/>
              </w:rPr>
              <w:t>úverom, pôžičkou, návratnou finančnou výpomocou a finančným prenájmom (650)</w:t>
            </w:r>
            <w:r w:rsidRPr="00BD372F">
              <w:rPr>
                <w:rFonts w:ascii="Times New Roman" w:hAnsi="Times New Roman"/>
                <w:color w:val="000000"/>
                <w:sz w:val="20"/>
                <w:szCs w:val="20"/>
                <w:vertAlign w:val="superscript"/>
                <w:lang w:eastAsia="sk-SK"/>
              </w:rPr>
              <w:t>2</w:t>
            </w:r>
          </w:p>
        </w:tc>
        <w:tc>
          <w:tcPr>
            <w:tcW w:w="1393" w:type="dxa"/>
            <w:tcBorders>
              <w:top w:val="nil"/>
              <w:left w:val="nil"/>
              <w:bottom w:val="single" w:sz="4" w:space="0" w:color="auto"/>
              <w:right w:val="single" w:sz="4" w:space="0" w:color="auto"/>
            </w:tcBorders>
          </w:tcPr>
          <w:p w14:paraId="5D768C69"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1604" w:type="dxa"/>
            <w:tcBorders>
              <w:top w:val="nil"/>
              <w:left w:val="nil"/>
              <w:bottom w:val="single" w:sz="4" w:space="0" w:color="auto"/>
              <w:right w:val="single" w:sz="4" w:space="0" w:color="auto"/>
            </w:tcBorders>
          </w:tcPr>
          <w:p w14:paraId="27F58B76"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1499" w:type="dxa"/>
            <w:tcBorders>
              <w:top w:val="nil"/>
              <w:left w:val="nil"/>
              <w:bottom w:val="single" w:sz="4" w:space="0" w:color="auto"/>
              <w:right w:val="single" w:sz="4" w:space="0" w:color="auto"/>
            </w:tcBorders>
          </w:tcPr>
          <w:p w14:paraId="11F3F640"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1499" w:type="dxa"/>
            <w:tcBorders>
              <w:top w:val="nil"/>
              <w:left w:val="nil"/>
              <w:bottom w:val="single" w:sz="4" w:space="0" w:color="auto"/>
              <w:right w:val="single" w:sz="4" w:space="0" w:color="auto"/>
            </w:tcBorders>
          </w:tcPr>
          <w:p w14:paraId="573ABA8F"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2051" w:type="dxa"/>
            <w:vMerge/>
            <w:tcBorders>
              <w:left w:val="nil"/>
              <w:bottom w:val="single" w:sz="4" w:space="0" w:color="auto"/>
              <w:right w:val="single" w:sz="4" w:space="0" w:color="auto"/>
            </w:tcBorders>
            <w:noWrap/>
            <w:vAlign w:val="bottom"/>
          </w:tcPr>
          <w:p w14:paraId="0313DA77" w14:textId="77777777" w:rsidR="00BD372F" w:rsidRPr="00BD372F" w:rsidRDefault="00BD372F" w:rsidP="00BD372F">
            <w:pPr>
              <w:spacing w:after="0" w:line="240" w:lineRule="auto"/>
              <w:rPr>
                <w:rFonts w:ascii="Times New Roman" w:hAnsi="Times New Roman"/>
                <w:color w:val="000000"/>
                <w:sz w:val="24"/>
                <w:szCs w:val="24"/>
                <w:lang w:eastAsia="sk-SK"/>
              </w:rPr>
            </w:pPr>
          </w:p>
        </w:tc>
      </w:tr>
      <w:tr w:rsidR="00BD372F" w:rsidRPr="00BD372F" w14:paraId="69FC372A" w14:textId="77777777" w:rsidTr="00154BAB">
        <w:trPr>
          <w:trHeight w:val="255"/>
        </w:trPr>
        <w:tc>
          <w:tcPr>
            <w:tcW w:w="6833" w:type="dxa"/>
            <w:tcBorders>
              <w:top w:val="nil"/>
              <w:left w:val="single" w:sz="4" w:space="0" w:color="auto"/>
              <w:bottom w:val="single" w:sz="4" w:space="0" w:color="auto"/>
              <w:right w:val="single" w:sz="4" w:space="0" w:color="auto"/>
            </w:tcBorders>
          </w:tcPr>
          <w:p w14:paraId="3864677F" w14:textId="77777777" w:rsidR="00BD372F" w:rsidRPr="00BD372F" w:rsidRDefault="00BD372F" w:rsidP="00BD372F">
            <w:pPr>
              <w:spacing w:after="0" w:line="240" w:lineRule="auto"/>
              <w:rPr>
                <w:rFonts w:ascii="Times New Roman" w:hAnsi="Times New Roman"/>
                <w:b/>
                <w:bCs/>
                <w:color w:val="000000"/>
                <w:sz w:val="20"/>
                <w:szCs w:val="20"/>
                <w:lang w:eastAsia="sk-SK"/>
              </w:rPr>
            </w:pPr>
            <w:r w:rsidRPr="00BD372F">
              <w:rPr>
                <w:rFonts w:ascii="Times New Roman" w:hAnsi="Times New Roman"/>
                <w:b/>
                <w:bCs/>
                <w:sz w:val="20"/>
                <w:szCs w:val="20"/>
                <w:lang w:eastAsia="sk-SK"/>
              </w:rPr>
              <w:t>Kapitálové výdavky (700)</w:t>
            </w:r>
          </w:p>
        </w:tc>
        <w:tc>
          <w:tcPr>
            <w:tcW w:w="1393" w:type="dxa"/>
            <w:tcBorders>
              <w:top w:val="nil"/>
              <w:left w:val="nil"/>
              <w:bottom w:val="single" w:sz="4" w:space="0" w:color="auto"/>
              <w:right w:val="single" w:sz="4" w:space="0" w:color="auto"/>
            </w:tcBorders>
          </w:tcPr>
          <w:p w14:paraId="7EE3355F"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r w:rsidRPr="00BD372F">
              <w:rPr>
                <w:rFonts w:ascii="Times New Roman" w:hAnsi="Times New Roman"/>
                <w:b/>
                <w:bCs/>
                <w:sz w:val="20"/>
                <w:szCs w:val="20"/>
                <w:lang w:eastAsia="sk-SK"/>
              </w:rPr>
              <w:t>0</w:t>
            </w:r>
          </w:p>
        </w:tc>
        <w:tc>
          <w:tcPr>
            <w:tcW w:w="1604" w:type="dxa"/>
            <w:tcBorders>
              <w:top w:val="nil"/>
              <w:left w:val="nil"/>
              <w:bottom w:val="single" w:sz="4" w:space="0" w:color="auto"/>
              <w:right w:val="single" w:sz="4" w:space="0" w:color="auto"/>
            </w:tcBorders>
          </w:tcPr>
          <w:p w14:paraId="6D836D3A"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r w:rsidRPr="00BD372F">
              <w:rPr>
                <w:rFonts w:ascii="Times New Roman" w:hAnsi="Times New Roman"/>
                <w:b/>
                <w:bCs/>
                <w:sz w:val="20"/>
                <w:szCs w:val="20"/>
                <w:lang w:eastAsia="sk-SK"/>
              </w:rPr>
              <w:t>0</w:t>
            </w:r>
          </w:p>
        </w:tc>
        <w:tc>
          <w:tcPr>
            <w:tcW w:w="1499" w:type="dxa"/>
            <w:tcBorders>
              <w:top w:val="nil"/>
              <w:left w:val="nil"/>
              <w:bottom w:val="single" w:sz="4" w:space="0" w:color="auto"/>
              <w:right w:val="single" w:sz="4" w:space="0" w:color="auto"/>
            </w:tcBorders>
          </w:tcPr>
          <w:p w14:paraId="660243AD"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r w:rsidRPr="00BD372F">
              <w:rPr>
                <w:rFonts w:ascii="Times New Roman" w:hAnsi="Times New Roman"/>
                <w:b/>
                <w:bCs/>
                <w:sz w:val="20"/>
                <w:szCs w:val="20"/>
                <w:lang w:eastAsia="sk-SK"/>
              </w:rPr>
              <w:t>0</w:t>
            </w:r>
          </w:p>
        </w:tc>
        <w:tc>
          <w:tcPr>
            <w:tcW w:w="1499" w:type="dxa"/>
            <w:tcBorders>
              <w:top w:val="nil"/>
              <w:left w:val="nil"/>
              <w:bottom w:val="single" w:sz="4" w:space="0" w:color="auto"/>
              <w:right w:val="single" w:sz="4" w:space="0" w:color="auto"/>
            </w:tcBorders>
          </w:tcPr>
          <w:p w14:paraId="7FEB3C8E"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r w:rsidRPr="00BD372F">
              <w:rPr>
                <w:rFonts w:ascii="Times New Roman" w:hAnsi="Times New Roman"/>
                <w:b/>
                <w:bCs/>
                <w:sz w:val="20"/>
                <w:szCs w:val="20"/>
                <w:lang w:eastAsia="sk-SK"/>
              </w:rPr>
              <w:t>70 333</w:t>
            </w:r>
          </w:p>
        </w:tc>
        <w:tc>
          <w:tcPr>
            <w:tcW w:w="2051" w:type="dxa"/>
            <w:vMerge w:val="restart"/>
            <w:tcBorders>
              <w:top w:val="nil"/>
              <w:left w:val="nil"/>
              <w:right w:val="single" w:sz="4" w:space="0" w:color="auto"/>
            </w:tcBorders>
            <w:noWrap/>
            <w:vAlign w:val="bottom"/>
          </w:tcPr>
          <w:p w14:paraId="7E7F0553" w14:textId="77777777" w:rsidR="00BD372F" w:rsidRPr="00BD372F" w:rsidRDefault="00BD372F" w:rsidP="00BD372F">
            <w:pPr>
              <w:spacing w:after="0" w:line="240" w:lineRule="auto"/>
              <w:rPr>
                <w:rFonts w:ascii="Times New Roman" w:hAnsi="Times New Roman"/>
                <w:color w:val="000000"/>
                <w:sz w:val="24"/>
                <w:szCs w:val="24"/>
                <w:lang w:eastAsia="sk-SK"/>
              </w:rPr>
            </w:pPr>
            <w:r w:rsidRPr="00BD372F">
              <w:rPr>
                <w:rFonts w:ascii="Times New Roman" w:hAnsi="Times New Roman"/>
                <w:sz w:val="24"/>
                <w:szCs w:val="24"/>
                <w:lang w:eastAsia="sk-SK"/>
              </w:rPr>
              <w:t> </w:t>
            </w:r>
            <w:r w:rsidRPr="00BD372F">
              <w:rPr>
                <w:rFonts w:ascii="Times New Roman" w:hAnsi="Times New Roman"/>
                <w:sz w:val="20"/>
                <w:szCs w:val="20"/>
                <w:lang w:eastAsia="sk-SK"/>
              </w:rPr>
              <w:t>Kapitálová investícia v súvislosti s integráciou IS FS-SD s IS pre systém ŠP vo veci centrálnej evidencie poplatkov.</w:t>
            </w:r>
          </w:p>
        </w:tc>
      </w:tr>
      <w:tr w:rsidR="00BD372F" w:rsidRPr="00BD372F" w14:paraId="3F0D817C" w14:textId="77777777" w:rsidTr="00154BAB">
        <w:trPr>
          <w:trHeight w:val="255"/>
        </w:trPr>
        <w:tc>
          <w:tcPr>
            <w:tcW w:w="6833" w:type="dxa"/>
            <w:tcBorders>
              <w:top w:val="nil"/>
              <w:left w:val="single" w:sz="4" w:space="0" w:color="auto"/>
              <w:bottom w:val="single" w:sz="4" w:space="0" w:color="auto"/>
              <w:right w:val="single" w:sz="4" w:space="0" w:color="auto"/>
            </w:tcBorders>
          </w:tcPr>
          <w:p w14:paraId="0BDD2366" w14:textId="77777777" w:rsidR="00BD372F" w:rsidRPr="00BD372F" w:rsidRDefault="00BD372F" w:rsidP="00BD372F">
            <w:pPr>
              <w:spacing w:after="0" w:line="240" w:lineRule="auto"/>
              <w:rPr>
                <w:rFonts w:ascii="Times New Roman" w:hAnsi="Times New Roman"/>
                <w:color w:val="000000"/>
                <w:sz w:val="20"/>
                <w:szCs w:val="20"/>
                <w:lang w:eastAsia="sk-SK"/>
              </w:rPr>
            </w:pPr>
            <w:r w:rsidRPr="00BD372F">
              <w:rPr>
                <w:rFonts w:ascii="Times New Roman" w:hAnsi="Times New Roman"/>
                <w:sz w:val="20"/>
                <w:szCs w:val="20"/>
                <w:lang w:eastAsia="sk-SK"/>
              </w:rPr>
              <w:t xml:space="preserve">  Obstarávanie kapitálových aktív (710)</w:t>
            </w:r>
            <w:r w:rsidRPr="00BD372F">
              <w:rPr>
                <w:rFonts w:ascii="Times New Roman" w:hAnsi="Times New Roman"/>
                <w:sz w:val="20"/>
                <w:szCs w:val="20"/>
                <w:vertAlign w:val="superscript"/>
                <w:lang w:eastAsia="sk-SK"/>
              </w:rPr>
              <w:t>2</w:t>
            </w:r>
          </w:p>
        </w:tc>
        <w:tc>
          <w:tcPr>
            <w:tcW w:w="1393" w:type="dxa"/>
            <w:tcBorders>
              <w:top w:val="nil"/>
              <w:left w:val="nil"/>
              <w:bottom w:val="single" w:sz="4" w:space="0" w:color="auto"/>
              <w:right w:val="single" w:sz="4" w:space="0" w:color="auto"/>
            </w:tcBorders>
          </w:tcPr>
          <w:p w14:paraId="3DA3AB10" w14:textId="77777777" w:rsidR="00BD372F" w:rsidRPr="00BD372F" w:rsidRDefault="00BD372F" w:rsidP="00BD372F">
            <w:pPr>
              <w:spacing w:after="0" w:line="240" w:lineRule="auto"/>
              <w:jc w:val="center"/>
              <w:rPr>
                <w:rFonts w:ascii="Times New Roman" w:hAnsi="Times New Roman"/>
                <w:color w:val="000000"/>
                <w:sz w:val="20"/>
                <w:szCs w:val="20"/>
                <w:lang w:eastAsia="sk-SK"/>
              </w:rPr>
            </w:pPr>
            <w:r w:rsidRPr="00BD372F">
              <w:rPr>
                <w:rFonts w:ascii="Times New Roman" w:hAnsi="Times New Roman"/>
                <w:sz w:val="20"/>
                <w:szCs w:val="20"/>
                <w:lang w:eastAsia="sk-SK"/>
              </w:rPr>
              <w:t>0</w:t>
            </w:r>
          </w:p>
        </w:tc>
        <w:tc>
          <w:tcPr>
            <w:tcW w:w="1604" w:type="dxa"/>
            <w:tcBorders>
              <w:top w:val="nil"/>
              <w:left w:val="nil"/>
              <w:bottom w:val="single" w:sz="4" w:space="0" w:color="auto"/>
              <w:right w:val="single" w:sz="4" w:space="0" w:color="auto"/>
            </w:tcBorders>
          </w:tcPr>
          <w:p w14:paraId="4AE668B1" w14:textId="77777777" w:rsidR="00BD372F" w:rsidRPr="00BD372F" w:rsidRDefault="00BD372F" w:rsidP="00BD372F">
            <w:pPr>
              <w:spacing w:after="0" w:line="240" w:lineRule="auto"/>
              <w:jc w:val="center"/>
              <w:rPr>
                <w:rFonts w:ascii="Times New Roman" w:hAnsi="Times New Roman"/>
                <w:color w:val="000000"/>
                <w:sz w:val="20"/>
                <w:szCs w:val="20"/>
                <w:lang w:eastAsia="sk-SK"/>
              </w:rPr>
            </w:pPr>
            <w:r w:rsidRPr="00BD372F">
              <w:rPr>
                <w:rFonts w:ascii="Times New Roman" w:hAnsi="Times New Roman"/>
                <w:sz w:val="20"/>
                <w:szCs w:val="20"/>
                <w:lang w:eastAsia="sk-SK"/>
              </w:rPr>
              <w:t>0</w:t>
            </w:r>
          </w:p>
        </w:tc>
        <w:tc>
          <w:tcPr>
            <w:tcW w:w="1499" w:type="dxa"/>
            <w:tcBorders>
              <w:top w:val="nil"/>
              <w:left w:val="nil"/>
              <w:bottom w:val="single" w:sz="4" w:space="0" w:color="auto"/>
              <w:right w:val="single" w:sz="4" w:space="0" w:color="auto"/>
            </w:tcBorders>
          </w:tcPr>
          <w:p w14:paraId="044B2D04" w14:textId="77777777" w:rsidR="00BD372F" w:rsidRPr="00BD372F" w:rsidRDefault="00BD372F" w:rsidP="00BD372F">
            <w:pPr>
              <w:spacing w:after="0" w:line="240" w:lineRule="auto"/>
              <w:jc w:val="center"/>
              <w:rPr>
                <w:rFonts w:ascii="Times New Roman" w:hAnsi="Times New Roman"/>
                <w:color w:val="000000"/>
                <w:sz w:val="20"/>
                <w:szCs w:val="20"/>
                <w:lang w:eastAsia="sk-SK"/>
              </w:rPr>
            </w:pPr>
            <w:r w:rsidRPr="00BD372F">
              <w:rPr>
                <w:rFonts w:ascii="Times New Roman" w:hAnsi="Times New Roman"/>
                <w:sz w:val="20"/>
                <w:szCs w:val="20"/>
                <w:lang w:eastAsia="sk-SK"/>
              </w:rPr>
              <w:t>0</w:t>
            </w:r>
          </w:p>
        </w:tc>
        <w:tc>
          <w:tcPr>
            <w:tcW w:w="1499" w:type="dxa"/>
            <w:tcBorders>
              <w:top w:val="nil"/>
              <w:left w:val="nil"/>
              <w:bottom w:val="single" w:sz="4" w:space="0" w:color="auto"/>
              <w:right w:val="single" w:sz="4" w:space="0" w:color="auto"/>
            </w:tcBorders>
          </w:tcPr>
          <w:p w14:paraId="530A9658" w14:textId="77777777" w:rsidR="00BD372F" w:rsidRPr="00BD372F" w:rsidRDefault="00BD372F" w:rsidP="00BD372F">
            <w:pPr>
              <w:spacing w:after="0" w:line="240" w:lineRule="auto"/>
              <w:jc w:val="center"/>
              <w:rPr>
                <w:rFonts w:ascii="Times New Roman" w:hAnsi="Times New Roman"/>
                <w:color w:val="000000"/>
                <w:sz w:val="20"/>
                <w:szCs w:val="20"/>
                <w:lang w:eastAsia="sk-SK"/>
              </w:rPr>
            </w:pPr>
            <w:r w:rsidRPr="00BD372F">
              <w:rPr>
                <w:rFonts w:ascii="Times New Roman" w:hAnsi="Times New Roman"/>
                <w:sz w:val="20"/>
                <w:szCs w:val="20"/>
                <w:lang w:eastAsia="sk-SK"/>
              </w:rPr>
              <w:t>70 333</w:t>
            </w:r>
          </w:p>
        </w:tc>
        <w:tc>
          <w:tcPr>
            <w:tcW w:w="2051" w:type="dxa"/>
            <w:vMerge/>
            <w:tcBorders>
              <w:left w:val="nil"/>
              <w:bottom w:val="single" w:sz="4" w:space="0" w:color="auto"/>
              <w:right w:val="single" w:sz="4" w:space="0" w:color="auto"/>
            </w:tcBorders>
            <w:noWrap/>
            <w:vAlign w:val="bottom"/>
          </w:tcPr>
          <w:p w14:paraId="58368808" w14:textId="77777777" w:rsidR="00BD372F" w:rsidRPr="00BD372F" w:rsidRDefault="00BD372F" w:rsidP="00BD372F">
            <w:pPr>
              <w:spacing w:after="0" w:line="240" w:lineRule="auto"/>
              <w:rPr>
                <w:rFonts w:ascii="Times New Roman" w:hAnsi="Times New Roman"/>
                <w:color w:val="000000"/>
                <w:sz w:val="24"/>
                <w:szCs w:val="24"/>
                <w:lang w:eastAsia="sk-SK"/>
              </w:rPr>
            </w:pPr>
          </w:p>
        </w:tc>
      </w:tr>
      <w:tr w:rsidR="00BD372F" w:rsidRPr="00BD372F" w14:paraId="6A40F0E4" w14:textId="77777777" w:rsidTr="00154BAB">
        <w:trPr>
          <w:trHeight w:val="255"/>
        </w:trPr>
        <w:tc>
          <w:tcPr>
            <w:tcW w:w="6833" w:type="dxa"/>
            <w:tcBorders>
              <w:top w:val="nil"/>
              <w:left w:val="single" w:sz="4" w:space="0" w:color="auto"/>
              <w:bottom w:val="single" w:sz="4" w:space="0" w:color="auto"/>
              <w:right w:val="single" w:sz="4" w:space="0" w:color="auto"/>
            </w:tcBorders>
          </w:tcPr>
          <w:p w14:paraId="042D3F14" w14:textId="77777777" w:rsidR="00BD372F" w:rsidRPr="00BD372F" w:rsidRDefault="00BD372F" w:rsidP="00BD372F">
            <w:pPr>
              <w:spacing w:after="0" w:line="240" w:lineRule="auto"/>
              <w:rPr>
                <w:rFonts w:ascii="Times New Roman" w:hAnsi="Times New Roman"/>
                <w:sz w:val="20"/>
                <w:szCs w:val="20"/>
                <w:lang w:eastAsia="sk-SK"/>
              </w:rPr>
            </w:pPr>
            <w:r w:rsidRPr="00BD372F">
              <w:rPr>
                <w:rFonts w:ascii="Times New Roman" w:hAnsi="Times New Roman"/>
                <w:sz w:val="20"/>
                <w:szCs w:val="20"/>
                <w:lang w:eastAsia="sk-SK"/>
              </w:rPr>
              <w:t>v tom: Integrovaný systém finančnej správy – správa daní, prvok 0EK0D14 (718006)</w:t>
            </w:r>
          </w:p>
        </w:tc>
        <w:tc>
          <w:tcPr>
            <w:tcW w:w="1393" w:type="dxa"/>
            <w:tcBorders>
              <w:top w:val="nil"/>
              <w:left w:val="nil"/>
              <w:bottom w:val="single" w:sz="4" w:space="0" w:color="auto"/>
              <w:right w:val="single" w:sz="4" w:space="0" w:color="auto"/>
            </w:tcBorders>
          </w:tcPr>
          <w:p w14:paraId="56D98B40"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Times New Roman" w:hAnsi="Times New Roman"/>
                <w:sz w:val="20"/>
                <w:szCs w:val="20"/>
                <w:lang w:eastAsia="sk-SK"/>
              </w:rPr>
              <w:t>0</w:t>
            </w:r>
          </w:p>
        </w:tc>
        <w:tc>
          <w:tcPr>
            <w:tcW w:w="1604" w:type="dxa"/>
            <w:tcBorders>
              <w:top w:val="nil"/>
              <w:left w:val="nil"/>
              <w:bottom w:val="single" w:sz="4" w:space="0" w:color="auto"/>
              <w:right w:val="single" w:sz="4" w:space="0" w:color="auto"/>
            </w:tcBorders>
          </w:tcPr>
          <w:p w14:paraId="72BFFDCC"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Times New Roman" w:hAnsi="Times New Roman"/>
                <w:sz w:val="20"/>
                <w:szCs w:val="20"/>
                <w:lang w:eastAsia="sk-SK"/>
              </w:rPr>
              <w:t>0</w:t>
            </w:r>
          </w:p>
        </w:tc>
        <w:tc>
          <w:tcPr>
            <w:tcW w:w="1499" w:type="dxa"/>
            <w:tcBorders>
              <w:top w:val="nil"/>
              <w:left w:val="nil"/>
              <w:bottom w:val="single" w:sz="4" w:space="0" w:color="auto"/>
              <w:right w:val="single" w:sz="4" w:space="0" w:color="auto"/>
            </w:tcBorders>
          </w:tcPr>
          <w:p w14:paraId="4A787C5C"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Times New Roman" w:hAnsi="Times New Roman"/>
                <w:sz w:val="20"/>
                <w:szCs w:val="20"/>
                <w:lang w:eastAsia="sk-SK"/>
              </w:rPr>
              <w:t>0</w:t>
            </w:r>
          </w:p>
        </w:tc>
        <w:tc>
          <w:tcPr>
            <w:tcW w:w="1499" w:type="dxa"/>
            <w:tcBorders>
              <w:top w:val="nil"/>
              <w:left w:val="nil"/>
              <w:bottom w:val="single" w:sz="4" w:space="0" w:color="auto"/>
              <w:right w:val="single" w:sz="4" w:space="0" w:color="auto"/>
            </w:tcBorders>
          </w:tcPr>
          <w:p w14:paraId="0B47BC01" w14:textId="77777777" w:rsidR="00BD372F" w:rsidRPr="00BD372F" w:rsidRDefault="00BD372F" w:rsidP="00BD372F">
            <w:pPr>
              <w:spacing w:after="0" w:line="240" w:lineRule="auto"/>
              <w:jc w:val="center"/>
              <w:rPr>
                <w:rFonts w:ascii="Times New Roman" w:hAnsi="Times New Roman"/>
                <w:sz w:val="20"/>
                <w:szCs w:val="20"/>
                <w:lang w:eastAsia="sk-SK"/>
              </w:rPr>
            </w:pPr>
            <w:r w:rsidRPr="00BD372F">
              <w:rPr>
                <w:rFonts w:ascii="Times New Roman" w:hAnsi="Times New Roman"/>
                <w:sz w:val="20"/>
                <w:szCs w:val="20"/>
                <w:lang w:eastAsia="sk-SK"/>
              </w:rPr>
              <w:t>70 333</w:t>
            </w:r>
          </w:p>
        </w:tc>
        <w:tc>
          <w:tcPr>
            <w:tcW w:w="2051" w:type="dxa"/>
            <w:tcBorders>
              <w:left w:val="nil"/>
              <w:bottom w:val="single" w:sz="4" w:space="0" w:color="auto"/>
              <w:right w:val="single" w:sz="4" w:space="0" w:color="auto"/>
            </w:tcBorders>
            <w:noWrap/>
            <w:vAlign w:val="bottom"/>
          </w:tcPr>
          <w:p w14:paraId="5A041906" w14:textId="77777777" w:rsidR="00BD372F" w:rsidRPr="00BD372F" w:rsidRDefault="00BD372F" w:rsidP="00BD372F">
            <w:pPr>
              <w:spacing w:after="0" w:line="240" w:lineRule="auto"/>
              <w:rPr>
                <w:rFonts w:ascii="Times New Roman" w:hAnsi="Times New Roman"/>
                <w:color w:val="000000"/>
                <w:sz w:val="24"/>
                <w:szCs w:val="24"/>
                <w:lang w:eastAsia="sk-SK"/>
              </w:rPr>
            </w:pPr>
          </w:p>
        </w:tc>
      </w:tr>
      <w:tr w:rsidR="00BD372F" w:rsidRPr="00BD372F" w14:paraId="75457935" w14:textId="77777777" w:rsidTr="00154BAB">
        <w:trPr>
          <w:trHeight w:val="255"/>
        </w:trPr>
        <w:tc>
          <w:tcPr>
            <w:tcW w:w="6833" w:type="dxa"/>
            <w:tcBorders>
              <w:top w:val="nil"/>
              <w:left w:val="single" w:sz="4" w:space="0" w:color="auto"/>
              <w:bottom w:val="single" w:sz="4" w:space="0" w:color="auto"/>
              <w:right w:val="single" w:sz="4" w:space="0" w:color="auto"/>
            </w:tcBorders>
          </w:tcPr>
          <w:p w14:paraId="58664261" w14:textId="77777777" w:rsidR="00BD372F" w:rsidRPr="00BD372F" w:rsidRDefault="00BD372F" w:rsidP="00BD372F">
            <w:pPr>
              <w:spacing w:after="0" w:line="240" w:lineRule="auto"/>
              <w:rPr>
                <w:rFonts w:ascii="Times New Roman" w:hAnsi="Times New Roman"/>
                <w:color w:val="000000"/>
                <w:sz w:val="20"/>
                <w:szCs w:val="20"/>
                <w:lang w:eastAsia="sk-SK"/>
              </w:rPr>
            </w:pPr>
            <w:r w:rsidRPr="00BD372F">
              <w:rPr>
                <w:rFonts w:ascii="Times New Roman" w:hAnsi="Times New Roman"/>
                <w:color w:val="000000"/>
                <w:sz w:val="20"/>
                <w:szCs w:val="20"/>
                <w:lang w:eastAsia="sk-SK"/>
              </w:rPr>
              <w:t xml:space="preserve">  Kapitálové transfery (720)</w:t>
            </w:r>
            <w:r w:rsidRPr="00BD372F">
              <w:rPr>
                <w:rFonts w:ascii="Times New Roman" w:hAnsi="Times New Roman"/>
                <w:color w:val="000000"/>
                <w:sz w:val="20"/>
                <w:szCs w:val="20"/>
                <w:vertAlign w:val="superscript"/>
                <w:lang w:eastAsia="sk-SK"/>
              </w:rPr>
              <w:t>2</w:t>
            </w:r>
          </w:p>
        </w:tc>
        <w:tc>
          <w:tcPr>
            <w:tcW w:w="1393" w:type="dxa"/>
            <w:tcBorders>
              <w:top w:val="nil"/>
              <w:left w:val="nil"/>
              <w:bottom w:val="single" w:sz="4" w:space="0" w:color="auto"/>
              <w:right w:val="single" w:sz="4" w:space="0" w:color="auto"/>
            </w:tcBorders>
          </w:tcPr>
          <w:p w14:paraId="660D5E20"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1604" w:type="dxa"/>
            <w:tcBorders>
              <w:top w:val="nil"/>
              <w:left w:val="nil"/>
              <w:bottom w:val="single" w:sz="4" w:space="0" w:color="auto"/>
              <w:right w:val="single" w:sz="4" w:space="0" w:color="auto"/>
            </w:tcBorders>
          </w:tcPr>
          <w:p w14:paraId="29E0D821"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1499" w:type="dxa"/>
            <w:tcBorders>
              <w:top w:val="nil"/>
              <w:left w:val="nil"/>
              <w:bottom w:val="single" w:sz="4" w:space="0" w:color="auto"/>
              <w:right w:val="single" w:sz="4" w:space="0" w:color="auto"/>
            </w:tcBorders>
          </w:tcPr>
          <w:p w14:paraId="31D0300C"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1499" w:type="dxa"/>
            <w:tcBorders>
              <w:top w:val="nil"/>
              <w:left w:val="nil"/>
              <w:bottom w:val="single" w:sz="4" w:space="0" w:color="auto"/>
              <w:right w:val="single" w:sz="4" w:space="0" w:color="auto"/>
            </w:tcBorders>
          </w:tcPr>
          <w:p w14:paraId="1AD00FD5"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2051" w:type="dxa"/>
            <w:tcBorders>
              <w:top w:val="nil"/>
              <w:left w:val="nil"/>
              <w:bottom w:val="single" w:sz="4" w:space="0" w:color="auto"/>
              <w:right w:val="single" w:sz="4" w:space="0" w:color="auto"/>
            </w:tcBorders>
            <w:noWrap/>
            <w:vAlign w:val="bottom"/>
          </w:tcPr>
          <w:p w14:paraId="3AFC1F31" w14:textId="77777777" w:rsidR="00BD372F" w:rsidRPr="00BD372F" w:rsidRDefault="00BD372F" w:rsidP="00BD372F">
            <w:pPr>
              <w:spacing w:after="0" w:line="240" w:lineRule="auto"/>
              <w:rPr>
                <w:rFonts w:ascii="Times New Roman" w:hAnsi="Times New Roman"/>
                <w:color w:val="000000"/>
                <w:sz w:val="24"/>
                <w:szCs w:val="24"/>
                <w:lang w:eastAsia="sk-SK"/>
              </w:rPr>
            </w:pPr>
            <w:r w:rsidRPr="00BD372F">
              <w:rPr>
                <w:rFonts w:ascii="Times New Roman" w:hAnsi="Times New Roman"/>
                <w:color w:val="000000"/>
                <w:sz w:val="24"/>
                <w:szCs w:val="24"/>
                <w:lang w:eastAsia="sk-SK"/>
              </w:rPr>
              <w:t> </w:t>
            </w:r>
          </w:p>
        </w:tc>
      </w:tr>
      <w:tr w:rsidR="00BD372F" w:rsidRPr="00BD372F" w14:paraId="2ACFB27D" w14:textId="77777777" w:rsidTr="00BD372F">
        <w:trPr>
          <w:trHeight w:val="255"/>
        </w:trPr>
        <w:tc>
          <w:tcPr>
            <w:tcW w:w="6833" w:type="dxa"/>
            <w:tcBorders>
              <w:top w:val="single" w:sz="4" w:space="0" w:color="auto"/>
              <w:left w:val="single" w:sz="4" w:space="0" w:color="auto"/>
              <w:bottom w:val="single" w:sz="4" w:space="0" w:color="auto"/>
              <w:right w:val="single" w:sz="4" w:space="0" w:color="auto"/>
            </w:tcBorders>
            <w:shd w:val="clear" w:color="auto" w:fill="BFBFBF"/>
          </w:tcPr>
          <w:p w14:paraId="0547E15D" w14:textId="77777777" w:rsidR="00BD372F" w:rsidRPr="00BD372F" w:rsidRDefault="00BD372F" w:rsidP="00BD372F">
            <w:pPr>
              <w:spacing w:after="0" w:line="240" w:lineRule="auto"/>
              <w:rPr>
                <w:rFonts w:ascii="Times New Roman" w:hAnsi="Times New Roman"/>
                <w:b/>
                <w:bCs/>
                <w:color w:val="000000"/>
                <w:sz w:val="20"/>
                <w:szCs w:val="20"/>
                <w:lang w:eastAsia="sk-SK"/>
              </w:rPr>
            </w:pPr>
            <w:r w:rsidRPr="00BD372F">
              <w:rPr>
                <w:rFonts w:ascii="Times New Roman" w:hAnsi="Times New Roman"/>
                <w:b/>
                <w:bCs/>
                <w:color w:val="000000"/>
                <w:sz w:val="20"/>
                <w:szCs w:val="20"/>
                <w:lang w:eastAsia="sk-SK"/>
              </w:rPr>
              <w:t>Vplyv na limit verejných výdavkov subjektu verejnej správy celkom</w:t>
            </w:r>
          </w:p>
        </w:tc>
        <w:tc>
          <w:tcPr>
            <w:tcW w:w="1393" w:type="dxa"/>
            <w:tcBorders>
              <w:top w:val="single" w:sz="4" w:space="0" w:color="auto"/>
              <w:left w:val="nil"/>
              <w:bottom w:val="single" w:sz="4" w:space="0" w:color="auto"/>
              <w:right w:val="single" w:sz="4" w:space="0" w:color="auto"/>
            </w:tcBorders>
            <w:shd w:val="clear" w:color="auto" w:fill="BFBFBF"/>
          </w:tcPr>
          <w:p w14:paraId="319D710C"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r w:rsidRPr="00BD372F">
              <w:rPr>
                <w:rFonts w:ascii="Times New Roman" w:hAnsi="Times New Roman"/>
                <w:b/>
                <w:bCs/>
                <w:color w:val="000000"/>
                <w:sz w:val="20"/>
                <w:szCs w:val="20"/>
                <w:lang w:eastAsia="sk-SK"/>
              </w:rPr>
              <w:t>0</w:t>
            </w:r>
          </w:p>
        </w:tc>
        <w:tc>
          <w:tcPr>
            <w:tcW w:w="1604" w:type="dxa"/>
            <w:tcBorders>
              <w:top w:val="single" w:sz="4" w:space="0" w:color="auto"/>
              <w:left w:val="nil"/>
              <w:bottom w:val="single" w:sz="4" w:space="0" w:color="auto"/>
              <w:right w:val="single" w:sz="4" w:space="0" w:color="auto"/>
            </w:tcBorders>
            <w:shd w:val="clear" w:color="auto" w:fill="BFBFBF"/>
          </w:tcPr>
          <w:p w14:paraId="00069F0C"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r w:rsidRPr="00BD372F">
              <w:rPr>
                <w:rFonts w:ascii="Times New Roman" w:hAnsi="Times New Roman"/>
                <w:b/>
                <w:bCs/>
                <w:sz w:val="20"/>
                <w:szCs w:val="20"/>
                <w:lang w:eastAsia="sk-SK"/>
              </w:rPr>
              <w:t>-92 520</w:t>
            </w:r>
          </w:p>
        </w:tc>
        <w:tc>
          <w:tcPr>
            <w:tcW w:w="1499" w:type="dxa"/>
            <w:tcBorders>
              <w:top w:val="single" w:sz="4" w:space="0" w:color="auto"/>
              <w:left w:val="nil"/>
              <w:bottom w:val="single" w:sz="4" w:space="0" w:color="auto"/>
              <w:right w:val="single" w:sz="4" w:space="0" w:color="auto"/>
            </w:tcBorders>
            <w:shd w:val="clear" w:color="auto" w:fill="BFBFBF"/>
          </w:tcPr>
          <w:p w14:paraId="19103FFE"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r w:rsidRPr="00BD372F">
              <w:rPr>
                <w:rFonts w:ascii="Times New Roman" w:hAnsi="Times New Roman"/>
                <w:b/>
                <w:bCs/>
                <w:sz w:val="20"/>
                <w:szCs w:val="20"/>
                <w:lang w:eastAsia="sk-SK"/>
              </w:rPr>
              <w:t>-89 520</w:t>
            </w:r>
          </w:p>
        </w:tc>
        <w:tc>
          <w:tcPr>
            <w:tcW w:w="1499" w:type="dxa"/>
            <w:tcBorders>
              <w:top w:val="single" w:sz="4" w:space="0" w:color="auto"/>
              <w:left w:val="nil"/>
              <w:bottom w:val="single" w:sz="4" w:space="0" w:color="auto"/>
              <w:right w:val="single" w:sz="4" w:space="0" w:color="auto"/>
            </w:tcBorders>
            <w:shd w:val="clear" w:color="auto" w:fill="BFBFBF"/>
          </w:tcPr>
          <w:p w14:paraId="1F73A255"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r w:rsidRPr="00BD372F">
              <w:rPr>
                <w:rFonts w:ascii="Times New Roman" w:hAnsi="Times New Roman"/>
                <w:b/>
                <w:bCs/>
                <w:sz w:val="20"/>
                <w:szCs w:val="20"/>
                <w:lang w:eastAsia="sk-SK"/>
              </w:rPr>
              <w:t>-19 187</w:t>
            </w:r>
          </w:p>
        </w:tc>
        <w:tc>
          <w:tcPr>
            <w:tcW w:w="2051" w:type="dxa"/>
            <w:tcBorders>
              <w:top w:val="single" w:sz="4" w:space="0" w:color="auto"/>
              <w:left w:val="nil"/>
              <w:bottom w:val="single" w:sz="4" w:space="0" w:color="auto"/>
              <w:right w:val="single" w:sz="4" w:space="0" w:color="auto"/>
            </w:tcBorders>
            <w:shd w:val="clear" w:color="auto" w:fill="BFBFBF"/>
            <w:noWrap/>
            <w:vAlign w:val="bottom"/>
          </w:tcPr>
          <w:p w14:paraId="32275AB5" w14:textId="77777777" w:rsidR="00BD372F" w:rsidRPr="00BD372F" w:rsidRDefault="00BD372F" w:rsidP="00BD372F">
            <w:pPr>
              <w:spacing w:after="0" w:line="240" w:lineRule="auto"/>
              <w:rPr>
                <w:rFonts w:ascii="Times New Roman" w:hAnsi="Times New Roman"/>
                <w:color w:val="000000"/>
                <w:sz w:val="24"/>
                <w:szCs w:val="24"/>
                <w:lang w:eastAsia="sk-SK"/>
              </w:rPr>
            </w:pPr>
            <w:r w:rsidRPr="00BD372F">
              <w:rPr>
                <w:rFonts w:ascii="Times New Roman" w:hAnsi="Times New Roman"/>
                <w:color w:val="000000"/>
                <w:sz w:val="24"/>
                <w:szCs w:val="24"/>
                <w:lang w:eastAsia="sk-SK"/>
              </w:rPr>
              <w:t> </w:t>
            </w:r>
          </w:p>
        </w:tc>
      </w:tr>
    </w:tbl>
    <w:p w14:paraId="7CFF2BFD" w14:textId="17D3E9AC" w:rsidR="00BD372F" w:rsidRPr="00BD372F" w:rsidRDefault="00BD372F" w:rsidP="00271D59">
      <w:pPr>
        <w:spacing w:after="0" w:line="240" w:lineRule="auto"/>
        <w:ind w:left="-709"/>
        <w:jc w:val="both"/>
        <w:rPr>
          <w:rFonts w:ascii="Times New Roman" w:hAnsi="Times New Roman"/>
          <w:bCs/>
          <w:sz w:val="20"/>
          <w:szCs w:val="20"/>
          <w:lang w:eastAsia="sk-SK"/>
        </w:rPr>
      </w:pPr>
      <w:r w:rsidRPr="00BD372F">
        <w:rPr>
          <w:rFonts w:ascii="Times New Roman" w:hAnsi="Times New Roman"/>
          <w:bCs/>
          <w:color w:val="000000"/>
          <w:sz w:val="20"/>
          <w:szCs w:val="20"/>
          <w:lang w:eastAsia="sk-SK"/>
        </w:rPr>
        <w:t>2 –  výdavky rozpísať až do podpo</w:t>
      </w:r>
      <w:r w:rsidRPr="00BD372F">
        <w:rPr>
          <w:rFonts w:ascii="Times New Roman" w:hAnsi="Times New Roman"/>
          <w:bCs/>
          <w:sz w:val="20"/>
          <w:szCs w:val="20"/>
          <w:lang w:eastAsia="sk-SK"/>
        </w:rPr>
        <w:t>ložiek platnej ekonomickej klasifikácie</w:t>
      </w:r>
    </w:p>
    <w:p w14:paraId="64478D28" w14:textId="77777777" w:rsidR="00BD372F" w:rsidRPr="00BD372F" w:rsidRDefault="00BD372F" w:rsidP="00271D59">
      <w:pPr>
        <w:spacing w:after="0" w:line="240" w:lineRule="auto"/>
        <w:ind w:left="-709"/>
        <w:jc w:val="both"/>
        <w:rPr>
          <w:rFonts w:ascii="Times New Roman" w:hAnsi="Times New Roman"/>
          <w:bCs/>
          <w:sz w:val="24"/>
          <w:szCs w:val="20"/>
          <w:lang w:eastAsia="sk-SK"/>
        </w:rPr>
      </w:pPr>
    </w:p>
    <w:p w14:paraId="27FF284D" w14:textId="2F4620FF" w:rsidR="00BD372F" w:rsidRPr="00BD372F" w:rsidRDefault="00BD372F" w:rsidP="00271D59">
      <w:pPr>
        <w:spacing w:after="0" w:line="240" w:lineRule="auto"/>
        <w:ind w:left="-709"/>
        <w:jc w:val="both"/>
        <w:rPr>
          <w:rFonts w:ascii="Times New Roman" w:hAnsi="Times New Roman"/>
          <w:b/>
          <w:bCs/>
          <w:sz w:val="20"/>
          <w:szCs w:val="20"/>
          <w:lang w:eastAsia="sk-SK"/>
        </w:rPr>
      </w:pPr>
      <w:r w:rsidRPr="00BD372F">
        <w:rPr>
          <w:rFonts w:ascii="Times New Roman" w:hAnsi="Times New Roman"/>
          <w:b/>
          <w:bCs/>
          <w:sz w:val="24"/>
          <w:szCs w:val="20"/>
          <w:lang w:eastAsia="sk-SK"/>
        </w:rPr>
        <w:t>Poznámka:</w:t>
      </w:r>
    </w:p>
    <w:p w14:paraId="02B9D39D" w14:textId="50EC95D5" w:rsidR="00BD372F" w:rsidRPr="00BD372F" w:rsidRDefault="00BD372F" w:rsidP="00271D59">
      <w:pPr>
        <w:spacing w:after="0" w:line="240" w:lineRule="auto"/>
        <w:ind w:left="-709"/>
        <w:jc w:val="both"/>
        <w:rPr>
          <w:rFonts w:ascii="Times New Roman" w:hAnsi="Times New Roman"/>
          <w:bCs/>
          <w:sz w:val="20"/>
          <w:szCs w:val="20"/>
          <w:lang w:eastAsia="sk-SK"/>
        </w:rPr>
      </w:pPr>
      <w:r w:rsidRPr="00BD372F">
        <w:rPr>
          <w:rFonts w:ascii="Times New Roman" w:hAnsi="Times New Roman"/>
          <w:bCs/>
          <w:sz w:val="24"/>
          <w:szCs w:val="20"/>
          <w:lang w:eastAsia="sk-SK"/>
        </w:rPr>
        <w:t>Ak sa vplyv týka viacerých subjektov verejnej správy, vypĺňa sa samostatná tabuľka za každý subjekt.</w:t>
      </w:r>
    </w:p>
    <w:p w14:paraId="2DF7E602" w14:textId="77777777" w:rsidR="00BD372F" w:rsidRPr="00BD372F" w:rsidRDefault="00BD372F" w:rsidP="00BD372F">
      <w:pPr>
        <w:spacing w:after="0" w:line="240" w:lineRule="auto"/>
        <w:jc w:val="both"/>
        <w:rPr>
          <w:rFonts w:ascii="Times New Roman" w:hAnsi="Times New Roman"/>
          <w:bCs/>
          <w:sz w:val="20"/>
          <w:szCs w:val="20"/>
          <w:lang w:eastAsia="sk-SK"/>
        </w:rPr>
      </w:pPr>
    </w:p>
    <w:p w14:paraId="1A3FA882" w14:textId="77777777" w:rsidR="00BD372F" w:rsidRPr="00BD372F" w:rsidRDefault="00BD372F" w:rsidP="00BD372F">
      <w:pPr>
        <w:rPr>
          <w:rFonts w:ascii="Times New Roman" w:hAnsi="Times New Roman"/>
          <w:bCs/>
          <w:sz w:val="20"/>
          <w:szCs w:val="20"/>
          <w:lang w:eastAsia="sk-SK"/>
        </w:rPr>
      </w:pPr>
      <w:r w:rsidRPr="00BD372F">
        <w:rPr>
          <w:rFonts w:ascii="Times New Roman" w:hAnsi="Times New Roman"/>
          <w:bCs/>
          <w:sz w:val="20"/>
          <w:szCs w:val="20"/>
          <w:lang w:eastAsia="sk-SK"/>
        </w:rPr>
        <w:br w:type="page"/>
      </w:r>
    </w:p>
    <w:p w14:paraId="17303C2D" w14:textId="77777777" w:rsidR="00BD372F" w:rsidRPr="00BD372F" w:rsidRDefault="00BD372F" w:rsidP="00BD372F">
      <w:pPr>
        <w:spacing w:after="0" w:line="240" w:lineRule="auto"/>
        <w:jc w:val="right"/>
        <w:rPr>
          <w:rFonts w:ascii="Times New Roman" w:hAnsi="Times New Roman"/>
          <w:bCs/>
          <w:sz w:val="20"/>
          <w:szCs w:val="20"/>
          <w:lang w:eastAsia="sk-SK"/>
        </w:rPr>
      </w:pPr>
      <w:r w:rsidRPr="00BD372F">
        <w:rPr>
          <w:rFonts w:ascii="Times New Roman" w:hAnsi="Times New Roman"/>
          <w:bCs/>
          <w:sz w:val="20"/>
          <w:szCs w:val="20"/>
          <w:lang w:eastAsia="sk-SK"/>
        </w:rPr>
        <w:t>Tabuľka č. 4/B</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BD372F" w:rsidRPr="00BD372F" w14:paraId="10696B1A" w14:textId="77777777" w:rsidTr="00BD372F">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14:paraId="69729638"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r w:rsidRPr="00BD372F">
              <w:rPr>
                <w:rFonts w:ascii="Times New Roman" w:hAnsi="Times New Roman"/>
                <w:b/>
                <w:bCs/>
                <w:color w:val="000000"/>
                <w:sz w:val="20"/>
                <w:szCs w:val="20"/>
                <w:lang w:eastAsia="sk-SK"/>
              </w:rPr>
              <w:t>Vplyvy (v metodike ESA 2010)</w:t>
            </w:r>
          </w:p>
          <w:p w14:paraId="6BF9CBEA"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r w:rsidRPr="00BD372F">
              <w:rPr>
                <w:rFonts w:ascii="Times New Roman" w:hAnsi="Times New Roman"/>
                <w:b/>
                <w:bCs/>
                <w:sz w:val="20"/>
                <w:szCs w:val="20"/>
                <w:lang w:eastAsia="sk-SK"/>
              </w:rPr>
              <w:t>Ministerstvo financií Slovenskej republiky</w:t>
            </w:r>
          </w:p>
        </w:tc>
        <w:tc>
          <w:tcPr>
            <w:tcW w:w="6160" w:type="dxa"/>
            <w:gridSpan w:val="4"/>
            <w:tcBorders>
              <w:top w:val="single" w:sz="4" w:space="0" w:color="auto"/>
              <w:left w:val="nil"/>
              <w:bottom w:val="single" w:sz="4" w:space="0" w:color="auto"/>
              <w:right w:val="single" w:sz="4" w:space="0" w:color="auto"/>
            </w:tcBorders>
            <w:shd w:val="clear" w:color="auto" w:fill="BFBFBF"/>
          </w:tcPr>
          <w:p w14:paraId="6910CD96"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r w:rsidRPr="00BD372F">
              <w:rPr>
                <w:rFonts w:ascii="Times New Roman" w:hAnsi="Times New Roman"/>
                <w:b/>
                <w:bCs/>
                <w:color w:val="000000"/>
                <w:sz w:val="20"/>
                <w:szCs w:val="20"/>
                <w:lang w:eastAsia="sk-SK"/>
              </w:rPr>
              <w:t>Vplyv na limit verejných výdavkov subjektu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44ABDDD1" w14:textId="77777777" w:rsidR="00BD372F" w:rsidRPr="00BD372F" w:rsidRDefault="00BD372F" w:rsidP="00BD372F">
            <w:pPr>
              <w:spacing w:after="0" w:line="240" w:lineRule="auto"/>
              <w:jc w:val="center"/>
              <w:rPr>
                <w:rFonts w:ascii="Times New Roman" w:hAnsi="Times New Roman"/>
                <w:b/>
                <w:bCs/>
                <w:color w:val="000000"/>
                <w:sz w:val="24"/>
                <w:szCs w:val="24"/>
                <w:lang w:eastAsia="sk-SK"/>
              </w:rPr>
            </w:pPr>
            <w:r w:rsidRPr="00BD372F">
              <w:rPr>
                <w:rFonts w:ascii="Times New Roman" w:hAnsi="Times New Roman"/>
                <w:b/>
                <w:bCs/>
                <w:color w:val="000000"/>
                <w:sz w:val="24"/>
                <w:szCs w:val="24"/>
                <w:lang w:eastAsia="sk-SK"/>
              </w:rPr>
              <w:t>poznámka</w:t>
            </w:r>
          </w:p>
        </w:tc>
      </w:tr>
      <w:tr w:rsidR="00BD372F" w:rsidRPr="00BD372F" w14:paraId="340B2A59" w14:textId="77777777" w:rsidTr="00BD372F">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373E858F" w14:textId="77777777" w:rsidR="00BD372F" w:rsidRPr="00BD372F" w:rsidRDefault="00BD372F" w:rsidP="00BD372F">
            <w:pPr>
              <w:spacing w:after="0" w:line="240" w:lineRule="auto"/>
              <w:rPr>
                <w:rFonts w:ascii="Times New Roman" w:hAnsi="Times New Roman"/>
                <w:b/>
                <w:bCs/>
                <w:color w:val="000000"/>
                <w:sz w:val="20"/>
                <w:szCs w:val="20"/>
                <w:lang w:eastAsia="sk-SK"/>
              </w:rPr>
            </w:pPr>
          </w:p>
        </w:tc>
        <w:tc>
          <w:tcPr>
            <w:tcW w:w="1430" w:type="dxa"/>
            <w:tcBorders>
              <w:top w:val="nil"/>
              <w:left w:val="nil"/>
              <w:bottom w:val="single" w:sz="4" w:space="0" w:color="auto"/>
              <w:right w:val="single" w:sz="4" w:space="0" w:color="auto"/>
            </w:tcBorders>
            <w:shd w:val="clear" w:color="auto" w:fill="BFBFBF"/>
          </w:tcPr>
          <w:p w14:paraId="749692DE"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r w:rsidRPr="00BD372F">
              <w:rPr>
                <w:rFonts w:ascii="Times New Roman" w:hAnsi="Times New Roman"/>
                <w:b/>
                <w:bCs/>
                <w:color w:val="000000"/>
                <w:sz w:val="20"/>
                <w:szCs w:val="20"/>
                <w:lang w:eastAsia="sk-SK"/>
              </w:rPr>
              <w:t>2025</w:t>
            </w:r>
          </w:p>
        </w:tc>
        <w:tc>
          <w:tcPr>
            <w:tcW w:w="1650" w:type="dxa"/>
            <w:tcBorders>
              <w:top w:val="nil"/>
              <w:left w:val="nil"/>
              <w:bottom w:val="single" w:sz="4" w:space="0" w:color="auto"/>
              <w:right w:val="single" w:sz="4" w:space="0" w:color="auto"/>
            </w:tcBorders>
            <w:shd w:val="clear" w:color="auto" w:fill="BFBFBF"/>
          </w:tcPr>
          <w:p w14:paraId="4F8D3945"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r w:rsidRPr="00BD372F">
              <w:rPr>
                <w:rFonts w:ascii="Times New Roman" w:hAnsi="Times New Roman"/>
                <w:b/>
                <w:bCs/>
                <w:color w:val="000000"/>
                <w:sz w:val="20"/>
                <w:szCs w:val="20"/>
                <w:lang w:eastAsia="sk-SK"/>
              </w:rPr>
              <w:t>2026</w:t>
            </w:r>
          </w:p>
        </w:tc>
        <w:tc>
          <w:tcPr>
            <w:tcW w:w="1540" w:type="dxa"/>
            <w:tcBorders>
              <w:top w:val="nil"/>
              <w:left w:val="nil"/>
              <w:bottom w:val="single" w:sz="4" w:space="0" w:color="auto"/>
              <w:right w:val="single" w:sz="4" w:space="0" w:color="auto"/>
            </w:tcBorders>
            <w:shd w:val="clear" w:color="auto" w:fill="BFBFBF"/>
          </w:tcPr>
          <w:p w14:paraId="77DAF82F"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r w:rsidRPr="00BD372F">
              <w:rPr>
                <w:rFonts w:ascii="Times New Roman" w:hAnsi="Times New Roman"/>
                <w:b/>
                <w:bCs/>
                <w:color w:val="000000"/>
                <w:sz w:val="20"/>
                <w:szCs w:val="20"/>
                <w:lang w:eastAsia="sk-SK"/>
              </w:rPr>
              <w:t>2027</w:t>
            </w:r>
          </w:p>
        </w:tc>
        <w:tc>
          <w:tcPr>
            <w:tcW w:w="1540" w:type="dxa"/>
            <w:tcBorders>
              <w:top w:val="nil"/>
              <w:left w:val="nil"/>
              <w:bottom w:val="single" w:sz="4" w:space="0" w:color="auto"/>
              <w:right w:val="single" w:sz="4" w:space="0" w:color="auto"/>
            </w:tcBorders>
            <w:shd w:val="clear" w:color="auto" w:fill="BFBFBF"/>
          </w:tcPr>
          <w:p w14:paraId="26702766" w14:textId="77777777" w:rsidR="00BD372F" w:rsidRPr="00BD372F" w:rsidRDefault="00BD372F" w:rsidP="00BD372F">
            <w:pPr>
              <w:spacing w:after="0" w:line="240" w:lineRule="auto"/>
              <w:jc w:val="center"/>
              <w:rPr>
                <w:rFonts w:ascii="Times New Roman" w:hAnsi="Times New Roman"/>
                <w:b/>
                <w:bCs/>
                <w:color w:val="000000"/>
                <w:sz w:val="24"/>
                <w:szCs w:val="24"/>
                <w:lang w:eastAsia="sk-SK"/>
              </w:rPr>
            </w:pPr>
            <w:r w:rsidRPr="00BD372F">
              <w:rPr>
                <w:rFonts w:ascii="Times New Roman" w:hAnsi="Times New Roman"/>
                <w:b/>
                <w:bCs/>
                <w:color w:val="000000"/>
                <w:sz w:val="20"/>
                <w:szCs w:val="20"/>
                <w:lang w:eastAsia="sk-SK"/>
              </w:rPr>
              <w:t>2028</w:t>
            </w:r>
          </w:p>
        </w:tc>
        <w:tc>
          <w:tcPr>
            <w:tcW w:w="1649" w:type="dxa"/>
            <w:vMerge/>
            <w:tcBorders>
              <w:top w:val="single" w:sz="4" w:space="0" w:color="auto"/>
              <w:left w:val="single" w:sz="4" w:space="0" w:color="auto"/>
              <w:bottom w:val="single" w:sz="4" w:space="0" w:color="auto"/>
              <w:right w:val="single" w:sz="4" w:space="0" w:color="auto"/>
            </w:tcBorders>
            <w:vAlign w:val="center"/>
          </w:tcPr>
          <w:p w14:paraId="37A44581" w14:textId="77777777" w:rsidR="00BD372F" w:rsidRPr="00BD372F" w:rsidRDefault="00BD372F" w:rsidP="00BD372F">
            <w:pPr>
              <w:spacing w:after="0" w:line="240" w:lineRule="auto"/>
              <w:rPr>
                <w:rFonts w:ascii="Times New Roman" w:hAnsi="Times New Roman"/>
                <w:b/>
                <w:bCs/>
                <w:color w:val="000000"/>
                <w:sz w:val="24"/>
                <w:szCs w:val="24"/>
                <w:lang w:eastAsia="sk-SK"/>
              </w:rPr>
            </w:pPr>
          </w:p>
        </w:tc>
      </w:tr>
      <w:tr w:rsidR="00BD372F" w:rsidRPr="00BD372F" w14:paraId="35144FF5" w14:textId="77777777" w:rsidTr="00154BAB">
        <w:trPr>
          <w:trHeight w:val="255"/>
        </w:trPr>
        <w:tc>
          <w:tcPr>
            <w:tcW w:w="7070" w:type="dxa"/>
            <w:tcBorders>
              <w:top w:val="nil"/>
              <w:left w:val="single" w:sz="4" w:space="0" w:color="auto"/>
              <w:bottom w:val="single" w:sz="4" w:space="0" w:color="auto"/>
              <w:right w:val="single" w:sz="4" w:space="0" w:color="auto"/>
            </w:tcBorders>
          </w:tcPr>
          <w:p w14:paraId="2B6472EC" w14:textId="77777777" w:rsidR="00BD372F" w:rsidRPr="00BD372F" w:rsidRDefault="00BD372F" w:rsidP="00BD372F">
            <w:pPr>
              <w:spacing w:after="0" w:line="240" w:lineRule="auto"/>
              <w:rPr>
                <w:rFonts w:ascii="Times New Roman" w:hAnsi="Times New Roman"/>
                <w:b/>
                <w:bCs/>
                <w:color w:val="000000"/>
                <w:sz w:val="20"/>
                <w:szCs w:val="20"/>
                <w:lang w:eastAsia="sk-SK"/>
              </w:rPr>
            </w:pPr>
            <w:r w:rsidRPr="00BD372F">
              <w:rPr>
                <w:rFonts w:ascii="Times New Roman" w:hAnsi="Times New Roman"/>
                <w:b/>
                <w:bCs/>
                <w:color w:val="000000"/>
                <w:sz w:val="20"/>
                <w:szCs w:val="20"/>
                <w:lang w:eastAsia="sk-SK"/>
              </w:rPr>
              <w:t>Kapitálové príjmy (230)</w:t>
            </w:r>
          </w:p>
        </w:tc>
        <w:tc>
          <w:tcPr>
            <w:tcW w:w="1430" w:type="dxa"/>
            <w:tcBorders>
              <w:top w:val="nil"/>
              <w:left w:val="nil"/>
              <w:bottom w:val="single" w:sz="4" w:space="0" w:color="auto"/>
              <w:right w:val="single" w:sz="4" w:space="0" w:color="auto"/>
            </w:tcBorders>
          </w:tcPr>
          <w:p w14:paraId="4799925D"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p>
        </w:tc>
        <w:tc>
          <w:tcPr>
            <w:tcW w:w="1650" w:type="dxa"/>
            <w:tcBorders>
              <w:top w:val="nil"/>
              <w:left w:val="nil"/>
              <w:bottom w:val="single" w:sz="4" w:space="0" w:color="auto"/>
              <w:right w:val="single" w:sz="4" w:space="0" w:color="auto"/>
            </w:tcBorders>
          </w:tcPr>
          <w:p w14:paraId="6990D053"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p>
        </w:tc>
        <w:tc>
          <w:tcPr>
            <w:tcW w:w="1540" w:type="dxa"/>
            <w:tcBorders>
              <w:top w:val="nil"/>
              <w:left w:val="nil"/>
              <w:bottom w:val="single" w:sz="4" w:space="0" w:color="auto"/>
              <w:right w:val="single" w:sz="4" w:space="0" w:color="auto"/>
            </w:tcBorders>
          </w:tcPr>
          <w:p w14:paraId="7394F87C"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p>
        </w:tc>
        <w:tc>
          <w:tcPr>
            <w:tcW w:w="1540" w:type="dxa"/>
            <w:tcBorders>
              <w:top w:val="nil"/>
              <w:left w:val="nil"/>
              <w:bottom w:val="single" w:sz="4" w:space="0" w:color="auto"/>
              <w:right w:val="single" w:sz="4" w:space="0" w:color="auto"/>
            </w:tcBorders>
          </w:tcPr>
          <w:p w14:paraId="350DA250"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p>
        </w:tc>
        <w:tc>
          <w:tcPr>
            <w:tcW w:w="1649" w:type="dxa"/>
            <w:tcBorders>
              <w:top w:val="nil"/>
              <w:left w:val="nil"/>
              <w:bottom w:val="single" w:sz="4" w:space="0" w:color="auto"/>
              <w:right w:val="single" w:sz="4" w:space="0" w:color="auto"/>
            </w:tcBorders>
            <w:noWrap/>
            <w:vAlign w:val="bottom"/>
          </w:tcPr>
          <w:p w14:paraId="671894E0" w14:textId="77777777" w:rsidR="00BD372F" w:rsidRPr="00BD372F" w:rsidRDefault="00BD372F" w:rsidP="00BD372F">
            <w:pPr>
              <w:spacing w:after="0" w:line="240" w:lineRule="auto"/>
              <w:rPr>
                <w:rFonts w:ascii="Times New Roman" w:hAnsi="Times New Roman"/>
                <w:color w:val="000000"/>
                <w:sz w:val="24"/>
                <w:szCs w:val="24"/>
                <w:lang w:eastAsia="sk-SK"/>
              </w:rPr>
            </w:pPr>
          </w:p>
        </w:tc>
      </w:tr>
      <w:tr w:rsidR="00BD372F" w:rsidRPr="00BD372F" w14:paraId="7EB88597" w14:textId="77777777" w:rsidTr="00154BAB">
        <w:trPr>
          <w:trHeight w:val="255"/>
        </w:trPr>
        <w:tc>
          <w:tcPr>
            <w:tcW w:w="7070" w:type="dxa"/>
            <w:tcBorders>
              <w:top w:val="nil"/>
              <w:left w:val="single" w:sz="4" w:space="0" w:color="auto"/>
              <w:bottom w:val="single" w:sz="4" w:space="0" w:color="auto"/>
              <w:right w:val="single" w:sz="4" w:space="0" w:color="auto"/>
            </w:tcBorders>
          </w:tcPr>
          <w:p w14:paraId="674C4A23" w14:textId="77777777" w:rsidR="00BD372F" w:rsidRPr="00BD372F" w:rsidRDefault="00BD372F" w:rsidP="00BD372F">
            <w:pPr>
              <w:spacing w:after="0" w:line="240" w:lineRule="auto"/>
              <w:rPr>
                <w:rFonts w:ascii="Times New Roman" w:hAnsi="Times New Roman"/>
                <w:b/>
                <w:bCs/>
                <w:color w:val="000000"/>
                <w:sz w:val="20"/>
                <w:szCs w:val="20"/>
                <w:lang w:eastAsia="sk-SK"/>
              </w:rPr>
            </w:pPr>
            <w:r w:rsidRPr="00BD372F">
              <w:rPr>
                <w:rFonts w:ascii="Times New Roman" w:hAnsi="Times New Roman"/>
                <w:b/>
                <w:bCs/>
                <w:color w:val="000000"/>
                <w:sz w:val="20"/>
                <w:szCs w:val="20"/>
                <w:lang w:eastAsia="sk-SK"/>
              </w:rPr>
              <w:t>Bežné výdavky (600)</w:t>
            </w:r>
          </w:p>
        </w:tc>
        <w:tc>
          <w:tcPr>
            <w:tcW w:w="1430" w:type="dxa"/>
            <w:tcBorders>
              <w:top w:val="nil"/>
              <w:left w:val="nil"/>
              <w:bottom w:val="single" w:sz="4" w:space="0" w:color="auto"/>
              <w:right w:val="single" w:sz="4" w:space="0" w:color="auto"/>
            </w:tcBorders>
          </w:tcPr>
          <w:p w14:paraId="74C4FC46"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r w:rsidRPr="00BD372F">
              <w:rPr>
                <w:rFonts w:ascii="Times New Roman" w:hAnsi="Times New Roman"/>
                <w:b/>
                <w:bCs/>
                <w:color w:val="000000"/>
                <w:sz w:val="20"/>
                <w:szCs w:val="20"/>
                <w:lang w:eastAsia="sk-SK"/>
              </w:rPr>
              <w:t>-473 788</w:t>
            </w:r>
          </w:p>
        </w:tc>
        <w:tc>
          <w:tcPr>
            <w:tcW w:w="1650" w:type="dxa"/>
            <w:tcBorders>
              <w:top w:val="nil"/>
              <w:left w:val="nil"/>
              <w:bottom w:val="single" w:sz="4" w:space="0" w:color="auto"/>
              <w:right w:val="single" w:sz="4" w:space="0" w:color="auto"/>
            </w:tcBorders>
          </w:tcPr>
          <w:p w14:paraId="440F0849"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r w:rsidRPr="00BD372F">
              <w:rPr>
                <w:rFonts w:ascii="Times New Roman" w:hAnsi="Times New Roman"/>
                <w:b/>
                <w:bCs/>
                <w:color w:val="000000"/>
                <w:sz w:val="20"/>
                <w:szCs w:val="20"/>
                <w:lang w:eastAsia="sk-SK"/>
              </w:rPr>
              <w:t>-1 200 000</w:t>
            </w:r>
          </w:p>
        </w:tc>
        <w:tc>
          <w:tcPr>
            <w:tcW w:w="1540" w:type="dxa"/>
            <w:tcBorders>
              <w:top w:val="nil"/>
              <w:left w:val="nil"/>
              <w:bottom w:val="single" w:sz="4" w:space="0" w:color="auto"/>
              <w:right w:val="single" w:sz="4" w:space="0" w:color="auto"/>
            </w:tcBorders>
          </w:tcPr>
          <w:p w14:paraId="0FBD9FEE"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r w:rsidRPr="00BD372F">
              <w:rPr>
                <w:rFonts w:ascii="Times New Roman" w:hAnsi="Times New Roman"/>
                <w:b/>
                <w:bCs/>
                <w:color w:val="000000"/>
                <w:sz w:val="20"/>
                <w:szCs w:val="20"/>
                <w:lang w:eastAsia="sk-SK"/>
              </w:rPr>
              <w:t>-2 400 000</w:t>
            </w:r>
          </w:p>
        </w:tc>
        <w:tc>
          <w:tcPr>
            <w:tcW w:w="1540" w:type="dxa"/>
            <w:tcBorders>
              <w:top w:val="nil"/>
              <w:left w:val="nil"/>
              <w:bottom w:val="single" w:sz="4" w:space="0" w:color="auto"/>
              <w:right w:val="single" w:sz="4" w:space="0" w:color="auto"/>
            </w:tcBorders>
          </w:tcPr>
          <w:p w14:paraId="78AD24E8"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r w:rsidRPr="00BD372F">
              <w:rPr>
                <w:rFonts w:ascii="Times New Roman" w:hAnsi="Times New Roman"/>
                <w:b/>
                <w:bCs/>
                <w:color w:val="000000"/>
                <w:sz w:val="20"/>
                <w:szCs w:val="20"/>
                <w:lang w:eastAsia="sk-SK"/>
              </w:rPr>
              <w:t>-2 400 000</w:t>
            </w:r>
          </w:p>
        </w:tc>
        <w:tc>
          <w:tcPr>
            <w:tcW w:w="1649" w:type="dxa"/>
            <w:tcBorders>
              <w:top w:val="nil"/>
              <w:left w:val="nil"/>
              <w:bottom w:val="single" w:sz="4" w:space="0" w:color="auto"/>
              <w:right w:val="single" w:sz="4" w:space="0" w:color="auto"/>
            </w:tcBorders>
            <w:noWrap/>
            <w:vAlign w:val="bottom"/>
          </w:tcPr>
          <w:p w14:paraId="256DC202" w14:textId="77777777" w:rsidR="00BD372F" w:rsidRPr="00BD372F" w:rsidRDefault="00BD372F" w:rsidP="00BD372F">
            <w:pPr>
              <w:spacing w:after="0" w:line="240" w:lineRule="auto"/>
              <w:rPr>
                <w:rFonts w:ascii="Times New Roman" w:hAnsi="Times New Roman"/>
                <w:color w:val="000000"/>
                <w:sz w:val="24"/>
                <w:szCs w:val="24"/>
                <w:lang w:eastAsia="sk-SK"/>
              </w:rPr>
            </w:pPr>
            <w:r w:rsidRPr="00BD372F">
              <w:rPr>
                <w:rFonts w:ascii="Times New Roman" w:hAnsi="Times New Roman"/>
                <w:color w:val="000000"/>
                <w:sz w:val="24"/>
                <w:szCs w:val="24"/>
                <w:lang w:eastAsia="sk-SK"/>
              </w:rPr>
              <w:t> </w:t>
            </w:r>
          </w:p>
        </w:tc>
      </w:tr>
      <w:tr w:rsidR="00BD372F" w:rsidRPr="00BD372F" w14:paraId="3CE371DF" w14:textId="77777777" w:rsidTr="00154BAB">
        <w:trPr>
          <w:trHeight w:val="255"/>
        </w:trPr>
        <w:tc>
          <w:tcPr>
            <w:tcW w:w="7070" w:type="dxa"/>
            <w:tcBorders>
              <w:top w:val="nil"/>
              <w:left w:val="single" w:sz="4" w:space="0" w:color="auto"/>
              <w:bottom w:val="single" w:sz="4" w:space="0" w:color="auto"/>
              <w:right w:val="single" w:sz="4" w:space="0" w:color="auto"/>
            </w:tcBorders>
          </w:tcPr>
          <w:p w14:paraId="07E9DAE9" w14:textId="77777777" w:rsidR="00BD372F" w:rsidRPr="00BD372F" w:rsidRDefault="00BD372F" w:rsidP="00BD372F">
            <w:pPr>
              <w:spacing w:after="0" w:line="240" w:lineRule="auto"/>
              <w:rPr>
                <w:rFonts w:ascii="Times New Roman" w:hAnsi="Times New Roman"/>
                <w:color w:val="000000"/>
                <w:sz w:val="20"/>
                <w:szCs w:val="20"/>
                <w:lang w:eastAsia="sk-SK"/>
              </w:rPr>
            </w:pPr>
            <w:r w:rsidRPr="00BD372F">
              <w:rPr>
                <w:rFonts w:ascii="Times New Roman" w:hAnsi="Times New Roman"/>
                <w:color w:val="000000"/>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14:paraId="317FC33C"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1650" w:type="dxa"/>
            <w:tcBorders>
              <w:top w:val="nil"/>
              <w:left w:val="nil"/>
              <w:bottom w:val="single" w:sz="4" w:space="0" w:color="auto"/>
              <w:right w:val="single" w:sz="4" w:space="0" w:color="auto"/>
            </w:tcBorders>
          </w:tcPr>
          <w:p w14:paraId="0D719D2E"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1540" w:type="dxa"/>
            <w:tcBorders>
              <w:top w:val="nil"/>
              <w:left w:val="nil"/>
              <w:bottom w:val="single" w:sz="4" w:space="0" w:color="auto"/>
              <w:right w:val="single" w:sz="4" w:space="0" w:color="auto"/>
            </w:tcBorders>
          </w:tcPr>
          <w:p w14:paraId="5AA7B305"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1540" w:type="dxa"/>
            <w:tcBorders>
              <w:top w:val="nil"/>
              <w:left w:val="nil"/>
              <w:bottom w:val="single" w:sz="4" w:space="0" w:color="auto"/>
              <w:right w:val="single" w:sz="4" w:space="0" w:color="auto"/>
            </w:tcBorders>
          </w:tcPr>
          <w:p w14:paraId="6E8BA154"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1649" w:type="dxa"/>
            <w:tcBorders>
              <w:top w:val="nil"/>
              <w:left w:val="nil"/>
              <w:bottom w:val="single" w:sz="4" w:space="0" w:color="auto"/>
              <w:right w:val="single" w:sz="4" w:space="0" w:color="auto"/>
            </w:tcBorders>
            <w:noWrap/>
            <w:vAlign w:val="bottom"/>
          </w:tcPr>
          <w:p w14:paraId="7DB8FD89" w14:textId="77777777" w:rsidR="00BD372F" w:rsidRPr="00BD372F" w:rsidRDefault="00BD372F" w:rsidP="00BD372F">
            <w:pPr>
              <w:spacing w:after="0" w:line="240" w:lineRule="auto"/>
              <w:rPr>
                <w:rFonts w:ascii="Times New Roman" w:hAnsi="Times New Roman"/>
                <w:color w:val="000000"/>
                <w:sz w:val="24"/>
                <w:szCs w:val="24"/>
                <w:lang w:eastAsia="sk-SK"/>
              </w:rPr>
            </w:pPr>
            <w:r w:rsidRPr="00BD372F">
              <w:rPr>
                <w:rFonts w:ascii="Times New Roman" w:hAnsi="Times New Roman"/>
                <w:color w:val="000000"/>
                <w:sz w:val="24"/>
                <w:szCs w:val="24"/>
                <w:lang w:eastAsia="sk-SK"/>
              </w:rPr>
              <w:t> </w:t>
            </w:r>
          </w:p>
        </w:tc>
      </w:tr>
      <w:tr w:rsidR="00BD372F" w:rsidRPr="00BD372F" w14:paraId="7307D2CC" w14:textId="77777777" w:rsidTr="00154BAB">
        <w:trPr>
          <w:trHeight w:val="255"/>
        </w:trPr>
        <w:tc>
          <w:tcPr>
            <w:tcW w:w="7070" w:type="dxa"/>
            <w:tcBorders>
              <w:top w:val="nil"/>
              <w:left w:val="single" w:sz="4" w:space="0" w:color="auto"/>
              <w:bottom w:val="single" w:sz="4" w:space="0" w:color="auto"/>
              <w:right w:val="single" w:sz="4" w:space="0" w:color="auto"/>
            </w:tcBorders>
          </w:tcPr>
          <w:p w14:paraId="7C9450A6" w14:textId="77777777" w:rsidR="00BD372F" w:rsidRPr="00BD372F" w:rsidRDefault="00BD372F" w:rsidP="00BD372F">
            <w:pPr>
              <w:spacing w:after="0" w:line="240" w:lineRule="auto"/>
              <w:rPr>
                <w:rFonts w:ascii="Times New Roman" w:hAnsi="Times New Roman"/>
                <w:color w:val="000000"/>
                <w:sz w:val="20"/>
                <w:szCs w:val="20"/>
                <w:vertAlign w:val="superscript"/>
                <w:lang w:eastAsia="sk-SK"/>
              </w:rPr>
            </w:pPr>
            <w:r w:rsidRPr="00BD372F">
              <w:rPr>
                <w:rFonts w:ascii="Times New Roman" w:hAnsi="Times New Roman"/>
                <w:color w:val="000000"/>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14:paraId="60E6EBEF"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1650" w:type="dxa"/>
            <w:tcBorders>
              <w:top w:val="nil"/>
              <w:left w:val="nil"/>
              <w:bottom w:val="single" w:sz="4" w:space="0" w:color="auto"/>
              <w:right w:val="single" w:sz="4" w:space="0" w:color="auto"/>
            </w:tcBorders>
          </w:tcPr>
          <w:p w14:paraId="15F624F1"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1540" w:type="dxa"/>
            <w:tcBorders>
              <w:top w:val="nil"/>
              <w:left w:val="nil"/>
              <w:bottom w:val="single" w:sz="4" w:space="0" w:color="auto"/>
              <w:right w:val="single" w:sz="4" w:space="0" w:color="auto"/>
            </w:tcBorders>
          </w:tcPr>
          <w:p w14:paraId="1EF3E15B"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1540" w:type="dxa"/>
            <w:tcBorders>
              <w:top w:val="nil"/>
              <w:left w:val="nil"/>
              <w:bottom w:val="single" w:sz="4" w:space="0" w:color="auto"/>
              <w:right w:val="single" w:sz="4" w:space="0" w:color="auto"/>
            </w:tcBorders>
          </w:tcPr>
          <w:p w14:paraId="0D19358E"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1649" w:type="dxa"/>
            <w:tcBorders>
              <w:top w:val="nil"/>
              <w:left w:val="nil"/>
              <w:bottom w:val="single" w:sz="4" w:space="0" w:color="auto"/>
              <w:right w:val="single" w:sz="4" w:space="0" w:color="auto"/>
            </w:tcBorders>
            <w:noWrap/>
            <w:vAlign w:val="bottom"/>
          </w:tcPr>
          <w:p w14:paraId="1B2845BB" w14:textId="77777777" w:rsidR="00BD372F" w:rsidRPr="00BD372F" w:rsidRDefault="00BD372F" w:rsidP="00BD372F">
            <w:pPr>
              <w:spacing w:after="0" w:line="240" w:lineRule="auto"/>
              <w:rPr>
                <w:rFonts w:ascii="Times New Roman" w:hAnsi="Times New Roman"/>
                <w:color w:val="000000"/>
                <w:sz w:val="24"/>
                <w:szCs w:val="24"/>
                <w:lang w:eastAsia="sk-SK"/>
              </w:rPr>
            </w:pPr>
            <w:r w:rsidRPr="00BD372F">
              <w:rPr>
                <w:rFonts w:ascii="Times New Roman" w:hAnsi="Times New Roman"/>
                <w:color w:val="000000"/>
                <w:sz w:val="24"/>
                <w:szCs w:val="24"/>
                <w:lang w:eastAsia="sk-SK"/>
              </w:rPr>
              <w:t> </w:t>
            </w:r>
          </w:p>
        </w:tc>
      </w:tr>
      <w:tr w:rsidR="00BD372F" w:rsidRPr="00BD372F" w14:paraId="1E325C39" w14:textId="77777777" w:rsidTr="00154BAB">
        <w:trPr>
          <w:trHeight w:val="255"/>
        </w:trPr>
        <w:tc>
          <w:tcPr>
            <w:tcW w:w="7070" w:type="dxa"/>
            <w:tcBorders>
              <w:top w:val="nil"/>
              <w:left w:val="single" w:sz="4" w:space="0" w:color="auto"/>
              <w:bottom w:val="single" w:sz="4" w:space="0" w:color="auto"/>
              <w:right w:val="single" w:sz="4" w:space="0" w:color="auto"/>
            </w:tcBorders>
          </w:tcPr>
          <w:p w14:paraId="0E2EE156" w14:textId="77777777" w:rsidR="00BD372F" w:rsidRPr="00BD372F" w:rsidRDefault="00BD372F" w:rsidP="00BD372F">
            <w:pPr>
              <w:spacing w:after="0" w:line="240" w:lineRule="auto"/>
              <w:rPr>
                <w:rFonts w:ascii="Times New Roman" w:hAnsi="Times New Roman"/>
                <w:color w:val="000000"/>
                <w:sz w:val="20"/>
                <w:szCs w:val="20"/>
                <w:lang w:eastAsia="sk-SK"/>
              </w:rPr>
            </w:pPr>
            <w:r w:rsidRPr="00BD372F">
              <w:rPr>
                <w:rFonts w:ascii="Times New Roman" w:hAnsi="Times New Roman"/>
                <w:color w:val="000000"/>
                <w:sz w:val="20"/>
                <w:szCs w:val="20"/>
                <w:lang w:eastAsia="sk-SK"/>
              </w:rPr>
              <w:t xml:space="preserve">  Tovary a služby (630)</w:t>
            </w:r>
            <w:r w:rsidRPr="00BD372F">
              <w:rPr>
                <w:rFonts w:ascii="Times New Roman" w:hAnsi="Times New Roman"/>
                <w:color w:val="000000"/>
                <w:sz w:val="20"/>
                <w:szCs w:val="20"/>
                <w:vertAlign w:val="superscript"/>
                <w:lang w:eastAsia="sk-SK"/>
              </w:rPr>
              <w:t>2</w:t>
            </w:r>
            <w:r w:rsidRPr="00BD372F">
              <w:rPr>
                <w:rFonts w:ascii="Times New Roman" w:hAnsi="Times New Roman"/>
                <w:color w:val="000000"/>
                <w:sz w:val="20"/>
                <w:szCs w:val="20"/>
                <w:lang w:eastAsia="sk-SK"/>
              </w:rPr>
              <w:t xml:space="preserve"> – v tom 074 04 Výkon ďalších funkcií MF SR</w:t>
            </w:r>
          </w:p>
        </w:tc>
        <w:tc>
          <w:tcPr>
            <w:tcW w:w="1430" w:type="dxa"/>
            <w:tcBorders>
              <w:top w:val="nil"/>
              <w:left w:val="nil"/>
              <w:bottom w:val="single" w:sz="4" w:space="0" w:color="auto"/>
              <w:right w:val="single" w:sz="4" w:space="0" w:color="auto"/>
            </w:tcBorders>
          </w:tcPr>
          <w:p w14:paraId="37875238" w14:textId="77777777" w:rsidR="00BD372F" w:rsidRPr="00BD372F" w:rsidRDefault="00BD372F" w:rsidP="00BD372F">
            <w:pPr>
              <w:spacing w:after="0" w:line="240" w:lineRule="auto"/>
              <w:jc w:val="center"/>
              <w:rPr>
                <w:rFonts w:ascii="Times New Roman" w:hAnsi="Times New Roman"/>
                <w:color w:val="000000"/>
                <w:sz w:val="20"/>
                <w:szCs w:val="20"/>
                <w:lang w:eastAsia="sk-SK"/>
              </w:rPr>
            </w:pPr>
            <w:r w:rsidRPr="00BD372F">
              <w:rPr>
                <w:rFonts w:ascii="Times New Roman" w:hAnsi="Times New Roman"/>
                <w:sz w:val="20"/>
                <w:szCs w:val="20"/>
                <w:lang w:eastAsia="sk-SK"/>
              </w:rPr>
              <w:t>-473 788</w:t>
            </w:r>
          </w:p>
        </w:tc>
        <w:tc>
          <w:tcPr>
            <w:tcW w:w="1650" w:type="dxa"/>
            <w:tcBorders>
              <w:top w:val="nil"/>
              <w:left w:val="nil"/>
              <w:bottom w:val="single" w:sz="4" w:space="0" w:color="auto"/>
              <w:right w:val="single" w:sz="4" w:space="0" w:color="auto"/>
            </w:tcBorders>
          </w:tcPr>
          <w:p w14:paraId="5D6A0E1A" w14:textId="77777777" w:rsidR="00BD372F" w:rsidRPr="00BD372F" w:rsidRDefault="00BD372F" w:rsidP="00BD372F">
            <w:pPr>
              <w:spacing w:after="0" w:line="240" w:lineRule="auto"/>
              <w:jc w:val="center"/>
              <w:rPr>
                <w:rFonts w:ascii="Times New Roman" w:hAnsi="Times New Roman"/>
                <w:color w:val="000000"/>
                <w:sz w:val="20"/>
                <w:szCs w:val="20"/>
                <w:lang w:eastAsia="sk-SK"/>
              </w:rPr>
            </w:pPr>
            <w:r w:rsidRPr="00BD372F">
              <w:rPr>
                <w:rFonts w:ascii="Times New Roman" w:hAnsi="Times New Roman"/>
                <w:sz w:val="20"/>
                <w:szCs w:val="20"/>
                <w:lang w:eastAsia="sk-SK"/>
              </w:rPr>
              <w:t>-1 200 000</w:t>
            </w:r>
          </w:p>
        </w:tc>
        <w:tc>
          <w:tcPr>
            <w:tcW w:w="1540" w:type="dxa"/>
            <w:tcBorders>
              <w:top w:val="nil"/>
              <w:left w:val="nil"/>
              <w:bottom w:val="single" w:sz="4" w:space="0" w:color="auto"/>
              <w:right w:val="single" w:sz="4" w:space="0" w:color="auto"/>
            </w:tcBorders>
          </w:tcPr>
          <w:p w14:paraId="48ABDA87" w14:textId="77777777" w:rsidR="00BD372F" w:rsidRPr="00BD372F" w:rsidRDefault="00BD372F" w:rsidP="00BD372F">
            <w:pPr>
              <w:spacing w:after="0" w:line="240" w:lineRule="auto"/>
              <w:jc w:val="center"/>
              <w:rPr>
                <w:rFonts w:ascii="Times New Roman" w:hAnsi="Times New Roman"/>
                <w:color w:val="000000"/>
                <w:sz w:val="20"/>
                <w:szCs w:val="20"/>
                <w:lang w:eastAsia="sk-SK"/>
              </w:rPr>
            </w:pPr>
            <w:r w:rsidRPr="00BD372F">
              <w:rPr>
                <w:rFonts w:ascii="Times New Roman" w:hAnsi="Times New Roman"/>
                <w:sz w:val="20"/>
                <w:szCs w:val="20"/>
                <w:lang w:eastAsia="sk-SK"/>
              </w:rPr>
              <w:t>-2 400 000</w:t>
            </w:r>
          </w:p>
        </w:tc>
        <w:tc>
          <w:tcPr>
            <w:tcW w:w="1540" w:type="dxa"/>
            <w:tcBorders>
              <w:top w:val="nil"/>
              <w:left w:val="nil"/>
              <w:bottom w:val="single" w:sz="4" w:space="0" w:color="auto"/>
              <w:right w:val="single" w:sz="4" w:space="0" w:color="auto"/>
            </w:tcBorders>
          </w:tcPr>
          <w:p w14:paraId="03EB5A24" w14:textId="77777777" w:rsidR="00BD372F" w:rsidRPr="00BD372F" w:rsidRDefault="00BD372F" w:rsidP="00BD372F">
            <w:pPr>
              <w:spacing w:after="0" w:line="240" w:lineRule="auto"/>
              <w:jc w:val="center"/>
              <w:rPr>
                <w:rFonts w:ascii="Times New Roman" w:hAnsi="Times New Roman"/>
                <w:color w:val="000000"/>
                <w:sz w:val="20"/>
                <w:szCs w:val="20"/>
                <w:lang w:eastAsia="sk-SK"/>
              </w:rPr>
            </w:pPr>
            <w:r w:rsidRPr="00BD372F">
              <w:rPr>
                <w:rFonts w:ascii="Times New Roman" w:hAnsi="Times New Roman"/>
                <w:sz w:val="20"/>
                <w:szCs w:val="20"/>
                <w:lang w:eastAsia="sk-SK"/>
              </w:rPr>
              <w:t>-2 400 000</w:t>
            </w:r>
          </w:p>
        </w:tc>
        <w:tc>
          <w:tcPr>
            <w:tcW w:w="1649" w:type="dxa"/>
            <w:tcBorders>
              <w:top w:val="nil"/>
              <w:left w:val="nil"/>
              <w:bottom w:val="single" w:sz="4" w:space="0" w:color="auto"/>
              <w:right w:val="single" w:sz="4" w:space="0" w:color="auto"/>
            </w:tcBorders>
            <w:noWrap/>
            <w:vAlign w:val="bottom"/>
          </w:tcPr>
          <w:p w14:paraId="76EDDC89" w14:textId="77777777" w:rsidR="00BD372F" w:rsidRPr="00BD372F" w:rsidRDefault="00BD372F" w:rsidP="00BD372F">
            <w:pPr>
              <w:spacing w:after="0" w:line="240" w:lineRule="auto"/>
              <w:rPr>
                <w:rFonts w:ascii="Times New Roman" w:hAnsi="Times New Roman"/>
                <w:color w:val="000000"/>
                <w:sz w:val="24"/>
                <w:szCs w:val="24"/>
                <w:lang w:eastAsia="sk-SK"/>
              </w:rPr>
            </w:pPr>
            <w:r w:rsidRPr="00BD372F">
              <w:rPr>
                <w:rFonts w:ascii="Times New Roman" w:hAnsi="Times New Roman"/>
                <w:color w:val="000000"/>
                <w:sz w:val="24"/>
                <w:szCs w:val="24"/>
                <w:lang w:eastAsia="sk-SK"/>
              </w:rPr>
              <w:t> </w:t>
            </w:r>
          </w:p>
        </w:tc>
      </w:tr>
      <w:tr w:rsidR="00BD372F" w:rsidRPr="00BD372F" w14:paraId="471DE784" w14:textId="77777777" w:rsidTr="00154BAB">
        <w:trPr>
          <w:trHeight w:val="255"/>
        </w:trPr>
        <w:tc>
          <w:tcPr>
            <w:tcW w:w="7070" w:type="dxa"/>
            <w:tcBorders>
              <w:top w:val="nil"/>
              <w:left w:val="single" w:sz="4" w:space="0" w:color="auto"/>
              <w:bottom w:val="single" w:sz="4" w:space="0" w:color="auto"/>
              <w:right w:val="single" w:sz="4" w:space="0" w:color="auto"/>
            </w:tcBorders>
          </w:tcPr>
          <w:p w14:paraId="0D08B247" w14:textId="77777777" w:rsidR="00BD372F" w:rsidRPr="00BD372F" w:rsidRDefault="00BD372F" w:rsidP="00BD372F">
            <w:pPr>
              <w:spacing w:after="0" w:line="240" w:lineRule="auto"/>
              <w:rPr>
                <w:rFonts w:ascii="Times New Roman" w:hAnsi="Times New Roman"/>
                <w:color w:val="000000"/>
                <w:sz w:val="20"/>
                <w:szCs w:val="20"/>
                <w:lang w:eastAsia="sk-SK"/>
              </w:rPr>
            </w:pPr>
            <w:r w:rsidRPr="00BD372F">
              <w:rPr>
                <w:rFonts w:ascii="Times New Roman" w:hAnsi="Times New Roman"/>
                <w:color w:val="000000"/>
                <w:sz w:val="20"/>
                <w:szCs w:val="20"/>
                <w:lang w:eastAsia="sk-SK"/>
              </w:rPr>
              <w:t xml:space="preserve">  Bežné transfery (640)</w:t>
            </w:r>
            <w:r w:rsidRPr="00BD372F">
              <w:rPr>
                <w:rFonts w:ascii="Times New Roman" w:hAnsi="Times New Roman"/>
                <w:color w:val="000000"/>
                <w:sz w:val="20"/>
                <w:szCs w:val="20"/>
                <w:vertAlign w:val="superscript"/>
                <w:lang w:eastAsia="sk-SK"/>
              </w:rPr>
              <w:t>2</w:t>
            </w:r>
          </w:p>
        </w:tc>
        <w:tc>
          <w:tcPr>
            <w:tcW w:w="1430" w:type="dxa"/>
            <w:tcBorders>
              <w:top w:val="nil"/>
              <w:left w:val="nil"/>
              <w:bottom w:val="single" w:sz="4" w:space="0" w:color="auto"/>
              <w:right w:val="single" w:sz="4" w:space="0" w:color="auto"/>
            </w:tcBorders>
          </w:tcPr>
          <w:p w14:paraId="21AC10C8"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1650" w:type="dxa"/>
            <w:tcBorders>
              <w:top w:val="nil"/>
              <w:left w:val="nil"/>
              <w:bottom w:val="single" w:sz="4" w:space="0" w:color="auto"/>
              <w:right w:val="single" w:sz="4" w:space="0" w:color="auto"/>
            </w:tcBorders>
          </w:tcPr>
          <w:p w14:paraId="610C8AF7"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1540" w:type="dxa"/>
            <w:tcBorders>
              <w:top w:val="nil"/>
              <w:left w:val="nil"/>
              <w:bottom w:val="single" w:sz="4" w:space="0" w:color="auto"/>
              <w:right w:val="single" w:sz="4" w:space="0" w:color="auto"/>
            </w:tcBorders>
          </w:tcPr>
          <w:p w14:paraId="393C1C6B"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1540" w:type="dxa"/>
            <w:tcBorders>
              <w:top w:val="nil"/>
              <w:left w:val="nil"/>
              <w:bottom w:val="single" w:sz="4" w:space="0" w:color="auto"/>
              <w:right w:val="single" w:sz="4" w:space="0" w:color="auto"/>
            </w:tcBorders>
          </w:tcPr>
          <w:p w14:paraId="521B03EB"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1649" w:type="dxa"/>
            <w:tcBorders>
              <w:top w:val="nil"/>
              <w:left w:val="nil"/>
              <w:bottom w:val="single" w:sz="4" w:space="0" w:color="auto"/>
              <w:right w:val="single" w:sz="4" w:space="0" w:color="auto"/>
            </w:tcBorders>
            <w:noWrap/>
            <w:vAlign w:val="bottom"/>
          </w:tcPr>
          <w:p w14:paraId="71724069" w14:textId="77777777" w:rsidR="00BD372F" w:rsidRPr="00BD372F" w:rsidRDefault="00BD372F" w:rsidP="00BD372F">
            <w:pPr>
              <w:spacing w:after="0" w:line="240" w:lineRule="auto"/>
              <w:rPr>
                <w:rFonts w:ascii="Times New Roman" w:hAnsi="Times New Roman"/>
                <w:color w:val="000000"/>
                <w:sz w:val="24"/>
                <w:szCs w:val="24"/>
                <w:lang w:eastAsia="sk-SK"/>
              </w:rPr>
            </w:pPr>
            <w:r w:rsidRPr="00BD372F">
              <w:rPr>
                <w:rFonts w:ascii="Times New Roman" w:hAnsi="Times New Roman"/>
                <w:color w:val="000000"/>
                <w:sz w:val="24"/>
                <w:szCs w:val="24"/>
                <w:lang w:eastAsia="sk-SK"/>
              </w:rPr>
              <w:t> </w:t>
            </w:r>
          </w:p>
        </w:tc>
      </w:tr>
      <w:tr w:rsidR="00BD372F" w:rsidRPr="00BD372F" w14:paraId="55D44F3D" w14:textId="77777777" w:rsidTr="00154BAB">
        <w:trPr>
          <w:trHeight w:val="255"/>
        </w:trPr>
        <w:tc>
          <w:tcPr>
            <w:tcW w:w="7070" w:type="dxa"/>
            <w:tcBorders>
              <w:top w:val="nil"/>
              <w:left w:val="single" w:sz="4" w:space="0" w:color="auto"/>
              <w:bottom w:val="single" w:sz="4" w:space="0" w:color="auto"/>
              <w:right w:val="single" w:sz="4" w:space="0" w:color="auto"/>
            </w:tcBorders>
            <w:vAlign w:val="center"/>
          </w:tcPr>
          <w:p w14:paraId="61479808" w14:textId="77777777" w:rsidR="00BD372F" w:rsidRPr="00BD372F" w:rsidRDefault="00BD372F" w:rsidP="00BD372F">
            <w:pPr>
              <w:spacing w:after="0" w:line="240" w:lineRule="auto"/>
              <w:rPr>
                <w:rFonts w:ascii="Times New Roman" w:hAnsi="Times New Roman"/>
                <w:color w:val="000000"/>
                <w:sz w:val="20"/>
                <w:szCs w:val="20"/>
                <w:lang w:eastAsia="sk-SK"/>
              </w:rPr>
            </w:pPr>
            <w:r w:rsidRPr="00BD372F">
              <w:rPr>
                <w:rFonts w:ascii="Times New Roman" w:hAnsi="Times New Roman"/>
                <w:color w:val="000000"/>
                <w:sz w:val="20"/>
                <w:szCs w:val="20"/>
                <w:lang w:eastAsia="sk-SK"/>
              </w:rPr>
              <w:t xml:space="preserve">  Splácanie úrokov a ostatné platby súvisiace s </w:t>
            </w:r>
            <w:r w:rsidRPr="00BD372F">
              <w:rPr>
                <w:rFonts w:ascii="Calibri" w:eastAsia="Calibri" w:hAnsi="Calibri"/>
                <w:color w:val="000000"/>
                <w:szCs w:val="22"/>
              </w:rPr>
              <w:t xml:space="preserve"> </w:t>
            </w:r>
            <w:r w:rsidRPr="00BD372F">
              <w:rPr>
                <w:rFonts w:ascii="Times New Roman" w:hAnsi="Times New Roman"/>
                <w:color w:val="000000"/>
                <w:sz w:val="20"/>
                <w:szCs w:val="20"/>
                <w:lang w:eastAsia="sk-SK"/>
              </w:rPr>
              <w:t>úverom, pôžičkou, návratnou finančnou výpomocou a finančným prenájmom (650)</w:t>
            </w:r>
            <w:r w:rsidRPr="00BD372F">
              <w:rPr>
                <w:rFonts w:ascii="Times New Roman" w:hAnsi="Times New Roman"/>
                <w:color w:val="000000"/>
                <w:sz w:val="20"/>
                <w:szCs w:val="20"/>
                <w:vertAlign w:val="superscript"/>
                <w:lang w:eastAsia="sk-SK"/>
              </w:rPr>
              <w:t>2</w:t>
            </w:r>
          </w:p>
        </w:tc>
        <w:tc>
          <w:tcPr>
            <w:tcW w:w="1430" w:type="dxa"/>
            <w:tcBorders>
              <w:top w:val="nil"/>
              <w:left w:val="nil"/>
              <w:bottom w:val="single" w:sz="4" w:space="0" w:color="auto"/>
              <w:right w:val="single" w:sz="4" w:space="0" w:color="auto"/>
            </w:tcBorders>
          </w:tcPr>
          <w:p w14:paraId="12A04606"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1650" w:type="dxa"/>
            <w:tcBorders>
              <w:top w:val="nil"/>
              <w:left w:val="nil"/>
              <w:bottom w:val="single" w:sz="4" w:space="0" w:color="auto"/>
              <w:right w:val="single" w:sz="4" w:space="0" w:color="auto"/>
            </w:tcBorders>
          </w:tcPr>
          <w:p w14:paraId="29AB02DD"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1540" w:type="dxa"/>
            <w:tcBorders>
              <w:top w:val="nil"/>
              <w:left w:val="nil"/>
              <w:bottom w:val="single" w:sz="4" w:space="0" w:color="auto"/>
              <w:right w:val="single" w:sz="4" w:space="0" w:color="auto"/>
            </w:tcBorders>
          </w:tcPr>
          <w:p w14:paraId="209991FB"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1540" w:type="dxa"/>
            <w:tcBorders>
              <w:top w:val="nil"/>
              <w:left w:val="nil"/>
              <w:bottom w:val="single" w:sz="4" w:space="0" w:color="auto"/>
              <w:right w:val="single" w:sz="4" w:space="0" w:color="auto"/>
            </w:tcBorders>
          </w:tcPr>
          <w:p w14:paraId="3E821EC7"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1649" w:type="dxa"/>
            <w:tcBorders>
              <w:top w:val="nil"/>
              <w:left w:val="nil"/>
              <w:bottom w:val="single" w:sz="4" w:space="0" w:color="auto"/>
              <w:right w:val="single" w:sz="4" w:space="0" w:color="auto"/>
            </w:tcBorders>
            <w:noWrap/>
            <w:vAlign w:val="bottom"/>
          </w:tcPr>
          <w:p w14:paraId="20E394E8" w14:textId="77777777" w:rsidR="00BD372F" w:rsidRPr="00BD372F" w:rsidRDefault="00BD372F" w:rsidP="00BD372F">
            <w:pPr>
              <w:spacing w:after="0" w:line="240" w:lineRule="auto"/>
              <w:rPr>
                <w:rFonts w:ascii="Times New Roman" w:hAnsi="Times New Roman"/>
                <w:color w:val="000000"/>
                <w:sz w:val="24"/>
                <w:szCs w:val="24"/>
                <w:lang w:eastAsia="sk-SK"/>
              </w:rPr>
            </w:pPr>
          </w:p>
        </w:tc>
      </w:tr>
      <w:tr w:rsidR="00BD372F" w:rsidRPr="00BD372F" w14:paraId="11B59254" w14:textId="77777777" w:rsidTr="00154BAB">
        <w:trPr>
          <w:trHeight w:val="255"/>
        </w:trPr>
        <w:tc>
          <w:tcPr>
            <w:tcW w:w="7070" w:type="dxa"/>
            <w:tcBorders>
              <w:top w:val="nil"/>
              <w:left w:val="single" w:sz="4" w:space="0" w:color="auto"/>
              <w:bottom w:val="single" w:sz="4" w:space="0" w:color="auto"/>
              <w:right w:val="single" w:sz="4" w:space="0" w:color="auto"/>
            </w:tcBorders>
          </w:tcPr>
          <w:p w14:paraId="4CF0B186" w14:textId="77777777" w:rsidR="00BD372F" w:rsidRPr="00BD372F" w:rsidRDefault="00BD372F" w:rsidP="00BD372F">
            <w:pPr>
              <w:spacing w:after="0" w:line="240" w:lineRule="auto"/>
              <w:rPr>
                <w:rFonts w:ascii="Times New Roman" w:hAnsi="Times New Roman"/>
                <w:b/>
                <w:bCs/>
                <w:color w:val="000000"/>
                <w:sz w:val="20"/>
                <w:szCs w:val="20"/>
                <w:lang w:eastAsia="sk-SK"/>
              </w:rPr>
            </w:pPr>
            <w:r w:rsidRPr="00BD372F">
              <w:rPr>
                <w:rFonts w:ascii="Times New Roman" w:hAnsi="Times New Roman"/>
                <w:b/>
                <w:bCs/>
                <w:sz w:val="20"/>
                <w:szCs w:val="20"/>
                <w:lang w:eastAsia="sk-SK"/>
              </w:rPr>
              <w:t>Kapitálové výdavky (700)</w:t>
            </w:r>
          </w:p>
        </w:tc>
        <w:tc>
          <w:tcPr>
            <w:tcW w:w="1430" w:type="dxa"/>
            <w:tcBorders>
              <w:top w:val="nil"/>
              <w:left w:val="nil"/>
              <w:bottom w:val="single" w:sz="4" w:space="0" w:color="auto"/>
              <w:right w:val="single" w:sz="4" w:space="0" w:color="auto"/>
            </w:tcBorders>
          </w:tcPr>
          <w:p w14:paraId="48D73DC4"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r w:rsidRPr="00BD372F">
              <w:rPr>
                <w:rFonts w:ascii="Times New Roman" w:hAnsi="Times New Roman"/>
                <w:b/>
                <w:bCs/>
                <w:color w:val="000000"/>
                <w:sz w:val="20"/>
                <w:szCs w:val="20"/>
                <w:lang w:eastAsia="sk-SK"/>
              </w:rPr>
              <w:t>0</w:t>
            </w:r>
          </w:p>
        </w:tc>
        <w:tc>
          <w:tcPr>
            <w:tcW w:w="1650" w:type="dxa"/>
            <w:tcBorders>
              <w:top w:val="nil"/>
              <w:left w:val="nil"/>
              <w:bottom w:val="single" w:sz="4" w:space="0" w:color="auto"/>
              <w:right w:val="single" w:sz="4" w:space="0" w:color="auto"/>
            </w:tcBorders>
          </w:tcPr>
          <w:p w14:paraId="04696B1D"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r w:rsidRPr="00BD372F">
              <w:rPr>
                <w:rFonts w:ascii="Times New Roman" w:hAnsi="Times New Roman"/>
                <w:b/>
                <w:bCs/>
                <w:color w:val="000000"/>
                <w:sz w:val="20"/>
                <w:szCs w:val="20"/>
                <w:lang w:eastAsia="sk-SK"/>
              </w:rPr>
              <w:t>0</w:t>
            </w:r>
          </w:p>
        </w:tc>
        <w:tc>
          <w:tcPr>
            <w:tcW w:w="1540" w:type="dxa"/>
            <w:tcBorders>
              <w:top w:val="nil"/>
              <w:left w:val="nil"/>
              <w:bottom w:val="single" w:sz="4" w:space="0" w:color="auto"/>
              <w:right w:val="single" w:sz="4" w:space="0" w:color="auto"/>
            </w:tcBorders>
          </w:tcPr>
          <w:p w14:paraId="5B3EE205"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r w:rsidRPr="00BD372F">
              <w:rPr>
                <w:rFonts w:ascii="Times New Roman" w:hAnsi="Times New Roman"/>
                <w:b/>
                <w:bCs/>
                <w:color w:val="000000"/>
                <w:sz w:val="20"/>
                <w:szCs w:val="20"/>
                <w:lang w:eastAsia="sk-SK"/>
              </w:rPr>
              <w:t>0</w:t>
            </w:r>
          </w:p>
        </w:tc>
        <w:tc>
          <w:tcPr>
            <w:tcW w:w="1540" w:type="dxa"/>
            <w:tcBorders>
              <w:top w:val="nil"/>
              <w:left w:val="nil"/>
              <w:bottom w:val="single" w:sz="4" w:space="0" w:color="auto"/>
              <w:right w:val="single" w:sz="4" w:space="0" w:color="auto"/>
            </w:tcBorders>
          </w:tcPr>
          <w:p w14:paraId="1671B349"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r w:rsidRPr="00BD372F">
              <w:rPr>
                <w:rFonts w:ascii="Times New Roman" w:hAnsi="Times New Roman"/>
                <w:b/>
                <w:bCs/>
                <w:color w:val="000000"/>
                <w:sz w:val="20"/>
                <w:szCs w:val="20"/>
                <w:lang w:eastAsia="sk-SK"/>
              </w:rPr>
              <w:t>0</w:t>
            </w:r>
          </w:p>
        </w:tc>
        <w:tc>
          <w:tcPr>
            <w:tcW w:w="1649" w:type="dxa"/>
            <w:tcBorders>
              <w:top w:val="nil"/>
              <w:left w:val="nil"/>
              <w:bottom w:val="single" w:sz="4" w:space="0" w:color="auto"/>
              <w:right w:val="single" w:sz="4" w:space="0" w:color="auto"/>
            </w:tcBorders>
            <w:noWrap/>
            <w:vAlign w:val="bottom"/>
          </w:tcPr>
          <w:p w14:paraId="22F7A65A" w14:textId="77777777" w:rsidR="00BD372F" w:rsidRPr="00BD372F" w:rsidRDefault="00BD372F" w:rsidP="00BD372F">
            <w:pPr>
              <w:spacing w:after="0" w:line="240" w:lineRule="auto"/>
              <w:rPr>
                <w:rFonts w:ascii="Times New Roman" w:hAnsi="Times New Roman"/>
                <w:color w:val="000000"/>
                <w:sz w:val="24"/>
                <w:szCs w:val="24"/>
                <w:lang w:eastAsia="sk-SK"/>
              </w:rPr>
            </w:pPr>
            <w:r w:rsidRPr="00BD372F">
              <w:rPr>
                <w:rFonts w:ascii="Times New Roman" w:hAnsi="Times New Roman"/>
                <w:color w:val="000000"/>
                <w:sz w:val="24"/>
                <w:szCs w:val="24"/>
                <w:lang w:eastAsia="sk-SK"/>
              </w:rPr>
              <w:t> </w:t>
            </w:r>
          </w:p>
        </w:tc>
      </w:tr>
      <w:tr w:rsidR="00BD372F" w:rsidRPr="00BD372F" w14:paraId="3B0A51DA" w14:textId="77777777" w:rsidTr="00154BAB">
        <w:trPr>
          <w:trHeight w:val="255"/>
        </w:trPr>
        <w:tc>
          <w:tcPr>
            <w:tcW w:w="7070" w:type="dxa"/>
            <w:tcBorders>
              <w:top w:val="nil"/>
              <w:left w:val="single" w:sz="4" w:space="0" w:color="auto"/>
              <w:bottom w:val="single" w:sz="4" w:space="0" w:color="auto"/>
              <w:right w:val="single" w:sz="4" w:space="0" w:color="auto"/>
            </w:tcBorders>
          </w:tcPr>
          <w:p w14:paraId="7DBB6CDD" w14:textId="77777777" w:rsidR="00BD372F" w:rsidRPr="00BD372F" w:rsidRDefault="00BD372F" w:rsidP="00BD372F">
            <w:pPr>
              <w:spacing w:after="0" w:line="240" w:lineRule="auto"/>
              <w:rPr>
                <w:rFonts w:ascii="Times New Roman" w:hAnsi="Times New Roman"/>
                <w:color w:val="000000"/>
                <w:sz w:val="20"/>
                <w:szCs w:val="20"/>
                <w:lang w:eastAsia="sk-SK"/>
              </w:rPr>
            </w:pPr>
            <w:r w:rsidRPr="00BD372F">
              <w:rPr>
                <w:rFonts w:ascii="Times New Roman" w:hAnsi="Times New Roman"/>
                <w:sz w:val="20"/>
                <w:szCs w:val="20"/>
                <w:lang w:eastAsia="sk-SK"/>
              </w:rPr>
              <w:t xml:space="preserve">  Obstarávanie kapitálových aktív (710)</w:t>
            </w:r>
            <w:r w:rsidRPr="00BD372F">
              <w:rPr>
                <w:rFonts w:ascii="Times New Roman" w:hAnsi="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1A4C5E03"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1650" w:type="dxa"/>
            <w:tcBorders>
              <w:top w:val="nil"/>
              <w:left w:val="nil"/>
              <w:bottom w:val="single" w:sz="4" w:space="0" w:color="auto"/>
              <w:right w:val="single" w:sz="4" w:space="0" w:color="auto"/>
            </w:tcBorders>
          </w:tcPr>
          <w:p w14:paraId="7EBF5926"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1540" w:type="dxa"/>
            <w:tcBorders>
              <w:top w:val="nil"/>
              <w:left w:val="nil"/>
              <w:bottom w:val="single" w:sz="4" w:space="0" w:color="auto"/>
              <w:right w:val="single" w:sz="4" w:space="0" w:color="auto"/>
            </w:tcBorders>
          </w:tcPr>
          <w:p w14:paraId="0DCC12A0"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1540" w:type="dxa"/>
            <w:tcBorders>
              <w:top w:val="nil"/>
              <w:left w:val="nil"/>
              <w:bottom w:val="single" w:sz="4" w:space="0" w:color="auto"/>
              <w:right w:val="single" w:sz="4" w:space="0" w:color="auto"/>
            </w:tcBorders>
          </w:tcPr>
          <w:p w14:paraId="68F33580"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1649" w:type="dxa"/>
            <w:tcBorders>
              <w:top w:val="nil"/>
              <w:left w:val="nil"/>
              <w:bottom w:val="single" w:sz="4" w:space="0" w:color="auto"/>
              <w:right w:val="single" w:sz="4" w:space="0" w:color="auto"/>
            </w:tcBorders>
            <w:noWrap/>
            <w:vAlign w:val="bottom"/>
          </w:tcPr>
          <w:p w14:paraId="5558643D" w14:textId="77777777" w:rsidR="00BD372F" w:rsidRPr="00BD372F" w:rsidRDefault="00BD372F" w:rsidP="00BD372F">
            <w:pPr>
              <w:spacing w:after="0" w:line="240" w:lineRule="auto"/>
              <w:rPr>
                <w:rFonts w:ascii="Times New Roman" w:hAnsi="Times New Roman"/>
                <w:color w:val="000000"/>
                <w:sz w:val="24"/>
                <w:szCs w:val="24"/>
                <w:lang w:eastAsia="sk-SK"/>
              </w:rPr>
            </w:pPr>
            <w:r w:rsidRPr="00BD372F">
              <w:rPr>
                <w:rFonts w:ascii="Times New Roman" w:hAnsi="Times New Roman"/>
                <w:color w:val="000000"/>
                <w:sz w:val="24"/>
                <w:szCs w:val="24"/>
                <w:lang w:eastAsia="sk-SK"/>
              </w:rPr>
              <w:t> </w:t>
            </w:r>
          </w:p>
        </w:tc>
      </w:tr>
      <w:tr w:rsidR="00BD372F" w:rsidRPr="00BD372F" w14:paraId="4AF78D8F" w14:textId="77777777" w:rsidTr="00154BAB">
        <w:trPr>
          <w:trHeight w:val="255"/>
        </w:trPr>
        <w:tc>
          <w:tcPr>
            <w:tcW w:w="7070" w:type="dxa"/>
            <w:tcBorders>
              <w:top w:val="nil"/>
              <w:left w:val="single" w:sz="4" w:space="0" w:color="auto"/>
              <w:bottom w:val="single" w:sz="4" w:space="0" w:color="auto"/>
              <w:right w:val="single" w:sz="4" w:space="0" w:color="auto"/>
            </w:tcBorders>
          </w:tcPr>
          <w:p w14:paraId="15F2DBEF" w14:textId="77777777" w:rsidR="00BD372F" w:rsidRPr="00BD372F" w:rsidRDefault="00BD372F" w:rsidP="00BD372F">
            <w:pPr>
              <w:spacing w:after="0" w:line="240" w:lineRule="auto"/>
              <w:rPr>
                <w:rFonts w:ascii="Times New Roman" w:hAnsi="Times New Roman"/>
                <w:color w:val="000000"/>
                <w:sz w:val="20"/>
                <w:szCs w:val="20"/>
                <w:lang w:eastAsia="sk-SK"/>
              </w:rPr>
            </w:pPr>
            <w:r w:rsidRPr="00BD372F">
              <w:rPr>
                <w:rFonts w:ascii="Times New Roman" w:hAnsi="Times New Roman"/>
                <w:color w:val="000000"/>
                <w:sz w:val="20"/>
                <w:szCs w:val="20"/>
                <w:lang w:eastAsia="sk-SK"/>
              </w:rPr>
              <w:t xml:space="preserve">  Kapitálové transfery (720)</w:t>
            </w:r>
            <w:r w:rsidRPr="00BD372F">
              <w:rPr>
                <w:rFonts w:ascii="Times New Roman" w:hAnsi="Times New Roman"/>
                <w:color w:val="000000"/>
                <w:sz w:val="20"/>
                <w:szCs w:val="20"/>
                <w:vertAlign w:val="superscript"/>
                <w:lang w:eastAsia="sk-SK"/>
              </w:rPr>
              <w:t>2</w:t>
            </w:r>
          </w:p>
        </w:tc>
        <w:tc>
          <w:tcPr>
            <w:tcW w:w="1430" w:type="dxa"/>
            <w:tcBorders>
              <w:top w:val="nil"/>
              <w:left w:val="nil"/>
              <w:bottom w:val="single" w:sz="4" w:space="0" w:color="auto"/>
              <w:right w:val="single" w:sz="4" w:space="0" w:color="auto"/>
            </w:tcBorders>
          </w:tcPr>
          <w:p w14:paraId="20EC1B18"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1650" w:type="dxa"/>
            <w:tcBorders>
              <w:top w:val="nil"/>
              <w:left w:val="nil"/>
              <w:bottom w:val="single" w:sz="4" w:space="0" w:color="auto"/>
              <w:right w:val="single" w:sz="4" w:space="0" w:color="auto"/>
            </w:tcBorders>
          </w:tcPr>
          <w:p w14:paraId="1CD83532"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1540" w:type="dxa"/>
            <w:tcBorders>
              <w:top w:val="nil"/>
              <w:left w:val="nil"/>
              <w:bottom w:val="single" w:sz="4" w:space="0" w:color="auto"/>
              <w:right w:val="single" w:sz="4" w:space="0" w:color="auto"/>
            </w:tcBorders>
          </w:tcPr>
          <w:p w14:paraId="2D7D91F6"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1540" w:type="dxa"/>
            <w:tcBorders>
              <w:top w:val="nil"/>
              <w:left w:val="nil"/>
              <w:bottom w:val="single" w:sz="4" w:space="0" w:color="auto"/>
              <w:right w:val="single" w:sz="4" w:space="0" w:color="auto"/>
            </w:tcBorders>
          </w:tcPr>
          <w:p w14:paraId="45555931" w14:textId="77777777" w:rsidR="00BD372F" w:rsidRPr="00BD372F" w:rsidRDefault="00BD372F" w:rsidP="00BD372F">
            <w:pPr>
              <w:spacing w:after="0" w:line="240" w:lineRule="auto"/>
              <w:jc w:val="center"/>
              <w:rPr>
                <w:rFonts w:ascii="Times New Roman" w:hAnsi="Times New Roman"/>
                <w:color w:val="000000"/>
                <w:sz w:val="20"/>
                <w:szCs w:val="20"/>
                <w:lang w:eastAsia="sk-SK"/>
              </w:rPr>
            </w:pPr>
          </w:p>
        </w:tc>
        <w:tc>
          <w:tcPr>
            <w:tcW w:w="1649" w:type="dxa"/>
            <w:tcBorders>
              <w:top w:val="nil"/>
              <w:left w:val="nil"/>
              <w:bottom w:val="single" w:sz="4" w:space="0" w:color="auto"/>
              <w:right w:val="single" w:sz="4" w:space="0" w:color="auto"/>
            </w:tcBorders>
            <w:noWrap/>
            <w:vAlign w:val="bottom"/>
          </w:tcPr>
          <w:p w14:paraId="764B89EF" w14:textId="77777777" w:rsidR="00BD372F" w:rsidRPr="00BD372F" w:rsidRDefault="00BD372F" w:rsidP="00BD372F">
            <w:pPr>
              <w:spacing w:after="0" w:line="240" w:lineRule="auto"/>
              <w:rPr>
                <w:rFonts w:ascii="Times New Roman" w:hAnsi="Times New Roman"/>
                <w:color w:val="000000"/>
                <w:sz w:val="24"/>
                <w:szCs w:val="24"/>
                <w:lang w:eastAsia="sk-SK"/>
              </w:rPr>
            </w:pPr>
            <w:r w:rsidRPr="00BD372F">
              <w:rPr>
                <w:rFonts w:ascii="Times New Roman" w:hAnsi="Times New Roman"/>
                <w:color w:val="000000"/>
                <w:sz w:val="24"/>
                <w:szCs w:val="24"/>
                <w:lang w:eastAsia="sk-SK"/>
              </w:rPr>
              <w:t> </w:t>
            </w:r>
          </w:p>
        </w:tc>
      </w:tr>
      <w:tr w:rsidR="00BD372F" w:rsidRPr="00BD372F" w14:paraId="5E4CB0EC" w14:textId="77777777" w:rsidTr="00BD372F">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cPr>
          <w:p w14:paraId="15FE8AFB" w14:textId="77777777" w:rsidR="00BD372F" w:rsidRPr="00BD372F" w:rsidRDefault="00BD372F" w:rsidP="00BD372F">
            <w:pPr>
              <w:spacing w:after="0" w:line="240" w:lineRule="auto"/>
              <w:rPr>
                <w:rFonts w:ascii="Times New Roman" w:hAnsi="Times New Roman"/>
                <w:b/>
                <w:bCs/>
                <w:color w:val="000000"/>
                <w:sz w:val="20"/>
                <w:szCs w:val="20"/>
                <w:lang w:eastAsia="sk-SK"/>
              </w:rPr>
            </w:pPr>
            <w:r w:rsidRPr="00BD372F">
              <w:rPr>
                <w:rFonts w:ascii="Times New Roman" w:hAnsi="Times New Roman"/>
                <w:b/>
                <w:bCs/>
                <w:color w:val="000000"/>
                <w:sz w:val="20"/>
                <w:szCs w:val="20"/>
                <w:lang w:eastAsia="sk-SK"/>
              </w:rPr>
              <w:t>Vplyv na limit verejných výdavkov subjektu verejnej správy celkom</w:t>
            </w:r>
          </w:p>
        </w:tc>
        <w:tc>
          <w:tcPr>
            <w:tcW w:w="1430" w:type="dxa"/>
            <w:tcBorders>
              <w:top w:val="single" w:sz="4" w:space="0" w:color="auto"/>
              <w:left w:val="nil"/>
              <w:bottom w:val="single" w:sz="4" w:space="0" w:color="auto"/>
              <w:right w:val="single" w:sz="4" w:space="0" w:color="auto"/>
            </w:tcBorders>
            <w:shd w:val="clear" w:color="auto" w:fill="BFBFBF"/>
          </w:tcPr>
          <w:p w14:paraId="61268577"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r w:rsidRPr="00BD372F">
              <w:rPr>
                <w:rFonts w:ascii="Times New Roman" w:hAnsi="Times New Roman"/>
                <w:b/>
                <w:bCs/>
                <w:color w:val="000000"/>
                <w:sz w:val="20"/>
                <w:szCs w:val="20"/>
                <w:lang w:eastAsia="sk-SK"/>
              </w:rPr>
              <w:t>-473 788</w:t>
            </w:r>
          </w:p>
        </w:tc>
        <w:tc>
          <w:tcPr>
            <w:tcW w:w="1650" w:type="dxa"/>
            <w:tcBorders>
              <w:top w:val="single" w:sz="4" w:space="0" w:color="auto"/>
              <w:left w:val="nil"/>
              <w:bottom w:val="single" w:sz="4" w:space="0" w:color="auto"/>
              <w:right w:val="single" w:sz="4" w:space="0" w:color="auto"/>
            </w:tcBorders>
            <w:shd w:val="clear" w:color="auto" w:fill="BFBFBF"/>
          </w:tcPr>
          <w:p w14:paraId="1DDB0E9C"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r w:rsidRPr="00BD372F">
              <w:rPr>
                <w:rFonts w:ascii="Times New Roman" w:hAnsi="Times New Roman"/>
                <w:b/>
                <w:bCs/>
                <w:color w:val="000000"/>
                <w:sz w:val="20"/>
                <w:szCs w:val="20"/>
                <w:lang w:eastAsia="sk-SK"/>
              </w:rPr>
              <w:t>-1 200 000</w:t>
            </w:r>
          </w:p>
        </w:tc>
        <w:tc>
          <w:tcPr>
            <w:tcW w:w="1540" w:type="dxa"/>
            <w:tcBorders>
              <w:top w:val="single" w:sz="4" w:space="0" w:color="auto"/>
              <w:left w:val="nil"/>
              <w:bottom w:val="single" w:sz="4" w:space="0" w:color="auto"/>
              <w:right w:val="single" w:sz="4" w:space="0" w:color="auto"/>
            </w:tcBorders>
            <w:shd w:val="clear" w:color="auto" w:fill="BFBFBF"/>
          </w:tcPr>
          <w:p w14:paraId="77CC2B1E"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r w:rsidRPr="00BD372F">
              <w:rPr>
                <w:rFonts w:ascii="Times New Roman" w:hAnsi="Times New Roman"/>
                <w:b/>
                <w:bCs/>
                <w:color w:val="000000"/>
                <w:sz w:val="20"/>
                <w:szCs w:val="20"/>
                <w:lang w:eastAsia="sk-SK"/>
              </w:rPr>
              <w:t>-2 400 000</w:t>
            </w:r>
          </w:p>
        </w:tc>
        <w:tc>
          <w:tcPr>
            <w:tcW w:w="1540" w:type="dxa"/>
            <w:tcBorders>
              <w:top w:val="single" w:sz="4" w:space="0" w:color="auto"/>
              <w:left w:val="nil"/>
              <w:bottom w:val="single" w:sz="4" w:space="0" w:color="auto"/>
              <w:right w:val="single" w:sz="4" w:space="0" w:color="auto"/>
            </w:tcBorders>
            <w:shd w:val="clear" w:color="auto" w:fill="BFBFBF"/>
          </w:tcPr>
          <w:p w14:paraId="6E9F23CB" w14:textId="77777777" w:rsidR="00BD372F" w:rsidRPr="00BD372F" w:rsidRDefault="00BD372F" w:rsidP="00BD372F">
            <w:pPr>
              <w:spacing w:after="0" w:line="240" w:lineRule="auto"/>
              <w:jc w:val="center"/>
              <w:rPr>
                <w:rFonts w:ascii="Times New Roman" w:hAnsi="Times New Roman"/>
                <w:b/>
                <w:bCs/>
                <w:color w:val="000000"/>
                <w:sz w:val="20"/>
                <w:szCs w:val="20"/>
                <w:lang w:eastAsia="sk-SK"/>
              </w:rPr>
            </w:pPr>
            <w:r w:rsidRPr="00BD372F">
              <w:rPr>
                <w:rFonts w:ascii="Times New Roman" w:hAnsi="Times New Roman"/>
                <w:b/>
                <w:bCs/>
                <w:color w:val="000000"/>
                <w:sz w:val="20"/>
                <w:szCs w:val="20"/>
                <w:lang w:eastAsia="sk-SK"/>
              </w:rPr>
              <w:t>-2 400 000</w:t>
            </w:r>
          </w:p>
        </w:tc>
        <w:tc>
          <w:tcPr>
            <w:tcW w:w="1649" w:type="dxa"/>
            <w:tcBorders>
              <w:top w:val="single" w:sz="4" w:space="0" w:color="auto"/>
              <w:left w:val="nil"/>
              <w:bottom w:val="single" w:sz="4" w:space="0" w:color="auto"/>
              <w:right w:val="single" w:sz="4" w:space="0" w:color="auto"/>
            </w:tcBorders>
            <w:shd w:val="clear" w:color="auto" w:fill="BFBFBF"/>
            <w:noWrap/>
            <w:vAlign w:val="bottom"/>
          </w:tcPr>
          <w:p w14:paraId="6A2D135C" w14:textId="77777777" w:rsidR="00BD372F" w:rsidRPr="00BD372F" w:rsidRDefault="00BD372F" w:rsidP="00BD372F">
            <w:pPr>
              <w:spacing w:after="0" w:line="240" w:lineRule="auto"/>
              <w:rPr>
                <w:rFonts w:ascii="Times New Roman" w:hAnsi="Times New Roman"/>
                <w:color w:val="000000"/>
                <w:sz w:val="24"/>
                <w:szCs w:val="24"/>
                <w:lang w:eastAsia="sk-SK"/>
              </w:rPr>
            </w:pPr>
            <w:r w:rsidRPr="00BD372F">
              <w:rPr>
                <w:rFonts w:ascii="Times New Roman" w:hAnsi="Times New Roman"/>
                <w:color w:val="000000"/>
                <w:sz w:val="24"/>
                <w:szCs w:val="24"/>
                <w:lang w:eastAsia="sk-SK"/>
              </w:rPr>
              <w:t> </w:t>
            </w:r>
          </w:p>
        </w:tc>
      </w:tr>
    </w:tbl>
    <w:p w14:paraId="3F2C3B48" w14:textId="77777777" w:rsidR="00BD372F" w:rsidRPr="00BD372F" w:rsidRDefault="00BD372F" w:rsidP="00BD372F">
      <w:pPr>
        <w:spacing w:after="0" w:line="240" w:lineRule="auto"/>
        <w:jc w:val="both"/>
        <w:rPr>
          <w:rFonts w:ascii="Times New Roman" w:hAnsi="Times New Roman"/>
          <w:bCs/>
          <w:sz w:val="20"/>
          <w:szCs w:val="20"/>
          <w:lang w:eastAsia="sk-SK"/>
        </w:rPr>
      </w:pPr>
    </w:p>
    <w:p w14:paraId="1EEB0210" w14:textId="77777777" w:rsidR="00BD372F" w:rsidRPr="00BD372F" w:rsidRDefault="00BD372F" w:rsidP="00BD372F">
      <w:pPr>
        <w:spacing w:after="0" w:line="240" w:lineRule="auto"/>
        <w:jc w:val="both"/>
        <w:rPr>
          <w:rFonts w:ascii="Times New Roman" w:hAnsi="Times New Roman"/>
          <w:bCs/>
          <w:sz w:val="20"/>
          <w:szCs w:val="20"/>
          <w:lang w:eastAsia="sk-SK"/>
        </w:rPr>
      </w:pPr>
    </w:p>
    <w:p w14:paraId="38BAEF89" w14:textId="77777777" w:rsidR="00BD372F" w:rsidRPr="00BD372F" w:rsidRDefault="00BD372F" w:rsidP="00BD372F">
      <w:pPr>
        <w:spacing w:after="0" w:line="240" w:lineRule="auto"/>
        <w:jc w:val="both"/>
        <w:rPr>
          <w:rFonts w:ascii="Times New Roman" w:hAnsi="Times New Roman"/>
          <w:bCs/>
          <w:sz w:val="20"/>
          <w:szCs w:val="20"/>
          <w:lang w:eastAsia="sk-SK"/>
        </w:rPr>
      </w:pPr>
    </w:p>
    <w:p w14:paraId="76843ECC" w14:textId="77777777" w:rsidR="00BD372F" w:rsidRPr="00BD372F" w:rsidRDefault="00BD372F" w:rsidP="00BD372F">
      <w:pPr>
        <w:spacing w:after="0" w:line="240" w:lineRule="auto"/>
        <w:jc w:val="both"/>
        <w:rPr>
          <w:rFonts w:ascii="Times New Roman" w:hAnsi="Times New Roman"/>
          <w:bCs/>
          <w:sz w:val="20"/>
          <w:szCs w:val="20"/>
          <w:lang w:eastAsia="sk-SK"/>
        </w:rPr>
      </w:pPr>
    </w:p>
    <w:p w14:paraId="4A6A04C1" w14:textId="77777777" w:rsidR="00BD372F" w:rsidRPr="00BD372F" w:rsidRDefault="00BD372F" w:rsidP="00BD372F">
      <w:pPr>
        <w:spacing w:after="0" w:line="240" w:lineRule="auto"/>
        <w:jc w:val="both"/>
        <w:rPr>
          <w:rFonts w:ascii="Times New Roman" w:hAnsi="Times New Roman"/>
          <w:bCs/>
          <w:sz w:val="20"/>
          <w:szCs w:val="20"/>
          <w:lang w:eastAsia="sk-SK"/>
        </w:rPr>
      </w:pPr>
    </w:p>
    <w:p w14:paraId="604548A3" w14:textId="77777777" w:rsidR="00BD372F" w:rsidRPr="00BD372F" w:rsidRDefault="00BD372F" w:rsidP="00BD372F">
      <w:pPr>
        <w:spacing w:after="0" w:line="240" w:lineRule="auto"/>
        <w:jc w:val="both"/>
        <w:rPr>
          <w:rFonts w:ascii="Times New Roman" w:hAnsi="Times New Roman"/>
          <w:bCs/>
          <w:sz w:val="20"/>
          <w:szCs w:val="20"/>
          <w:lang w:eastAsia="sk-SK"/>
        </w:rPr>
      </w:pPr>
    </w:p>
    <w:p w14:paraId="5D007DF7" w14:textId="77777777" w:rsidR="00BD372F" w:rsidRPr="00BD372F" w:rsidRDefault="00BD372F" w:rsidP="00BD372F">
      <w:pPr>
        <w:spacing w:after="0" w:line="240" w:lineRule="auto"/>
        <w:jc w:val="both"/>
        <w:rPr>
          <w:rFonts w:ascii="Times New Roman" w:hAnsi="Times New Roman"/>
          <w:bCs/>
          <w:sz w:val="20"/>
          <w:szCs w:val="20"/>
          <w:lang w:eastAsia="sk-SK"/>
        </w:rPr>
      </w:pPr>
    </w:p>
    <w:p w14:paraId="76ED4405" w14:textId="77777777" w:rsidR="00BD372F" w:rsidRPr="00BD372F" w:rsidRDefault="00BD372F" w:rsidP="00BD372F">
      <w:pPr>
        <w:spacing w:after="0" w:line="240" w:lineRule="auto"/>
        <w:jc w:val="both"/>
        <w:rPr>
          <w:rFonts w:ascii="Times New Roman" w:hAnsi="Times New Roman"/>
          <w:bCs/>
          <w:sz w:val="20"/>
          <w:szCs w:val="20"/>
          <w:lang w:eastAsia="sk-SK"/>
        </w:rPr>
      </w:pPr>
    </w:p>
    <w:p w14:paraId="0757651D" w14:textId="77777777" w:rsidR="00BD372F" w:rsidRPr="00BD372F" w:rsidRDefault="00BD372F" w:rsidP="00BD372F">
      <w:pPr>
        <w:spacing w:after="0" w:line="240" w:lineRule="auto"/>
        <w:jc w:val="both"/>
        <w:rPr>
          <w:rFonts w:ascii="Times New Roman" w:hAnsi="Times New Roman"/>
          <w:bCs/>
          <w:sz w:val="20"/>
          <w:szCs w:val="20"/>
          <w:lang w:eastAsia="sk-SK"/>
        </w:rPr>
      </w:pPr>
    </w:p>
    <w:p w14:paraId="3ECEAF39" w14:textId="77777777" w:rsidR="00BD372F" w:rsidRPr="00BD372F" w:rsidRDefault="00BD372F" w:rsidP="00BD372F">
      <w:pPr>
        <w:spacing w:after="0" w:line="240" w:lineRule="auto"/>
        <w:jc w:val="both"/>
        <w:rPr>
          <w:rFonts w:ascii="Times New Roman" w:hAnsi="Times New Roman"/>
          <w:bCs/>
          <w:sz w:val="20"/>
          <w:szCs w:val="20"/>
          <w:lang w:eastAsia="sk-SK"/>
        </w:rPr>
      </w:pPr>
    </w:p>
    <w:p w14:paraId="1A25058F" w14:textId="77777777" w:rsidR="00BD372F" w:rsidRPr="00BD372F" w:rsidRDefault="00BD372F" w:rsidP="00BD372F">
      <w:pPr>
        <w:spacing w:after="0" w:line="240" w:lineRule="auto"/>
        <w:jc w:val="both"/>
        <w:rPr>
          <w:rFonts w:ascii="Times New Roman" w:hAnsi="Times New Roman"/>
          <w:bCs/>
          <w:sz w:val="20"/>
          <w:szCs w:val="20"/>
          <w:lang w:eastAsia="sk-SK"/>
        </w:rPr>
      </w:pPr>
    </w:p>
    <w:p w14:paraId="19530F5A" w14:textId="77777777" w:rsidR="00BD372F" w:rsidRPr="00BD372F" w:rsidRDefault="00BD372F" w:rsidP="00BD372F">
      <w:pPr>
        <w:spacing w:after="0" w:line="240" w:lineRule="auto"/>
        <w:jc w:val="both"/>
        <w:rPr>
          <w:rFonts w:ascii="Times New Roman" w:hAnsi="Times New Roman"/>
          <w:bCs/>
          <w:sz w:val="20"/>
          <w:szCs w:val="20"/>
          <w:lang w:eastAsia="sk-SK"/>
        </w:rPr>
      </w:pPr>
    </w:p>
    <w:p w14:paraId="22809F5A" w14:textId="77777777" w:rsidR="00BD372F" w:rsidRPr="00BD372F" w:rsidRDefault="00BD372F" w:rsidP="00BD372F">
      <w:pPr>
        <w:spacing w:after="0" w:line="240" w:lineRule="auto"/>
        <w:jc w:val="both"/>
        <w:rPr>
          <w:rFonts w:ascii="Times New Roman" w:hAnsi="Times New Roman"/>
          <w:bCs/>
          <w:sz w:val="20"/>
          <w:szCs w:val="20"/>
          <w:lang w:eastAsia="sk-SK"/>
        </w:rPr>
      </w:pPr>
    </w:p>
    <w:p w14:paraId="3B6E0741" w14:textId="77777777" w:rsidR="00BD372F" w:rsidRPr="00BD372F" w:rsidRDefault="00BD372F" w:rsidP="00BD372F">
      <w:pPr>
        <w:spacing w:after="0" w:line="240" w:lineRule="auto"/>
        <w:jc w:val="both"/>
        <w:rPr>
          <w:rFonts w:ascii="Times New Roman" w:hAnsi="Times New Roman"/>
          <w:bCs/>
          <w:sz w:val="20"/>
          <w:szCs w:val="20"/>
          <w:lang w:eastAsia="sk-SK"/>
        </w:rPr>
      </w:pPr>
    </w:p>
    <w:p w14:paraId="07190E00" w14:textId="77777777" w:rsidR="00BD372F" w:rsidRPr="00BD372F" w:rsidRDefault="00BD372F" w:rsidP="00BD372F">
      <w:pPr>
        <w:spacing w:after="0" w:line="240" w:lineRule="auto"/>
        <w:jc w:val="both"/>
        <w:rPr>
          <w:rFonts w:ascii="Times New Roman" w:hAnsi="Times New Roman"/>
          <w:bCs/>
          <w:sz w:val="20"/>
          <w:szCs w:val="20"/>
          <w:lang w:eastAsia="sk-SK"/>
        </w:rPr>
      </w:pPr>
    </w:p>
    <w:p w14:paraId="673AD11E" w14:textId="77777777" w:rsidR="00BD372F" w:rsidRPr="00BD372F" w:rsidRDefault="00BD372F" w:rsidP="00BD372F">
      <w:pPr>
        <w:spacing w:after="0" w:line="240" w:lineRule="auto"/>
        <w:jc w:val="both"/>
        <w:rPr>
          <w:rFonts w:ascii="Times New Roman" w:hAnsi="Times New Roman"/>
          <w:bCs/>
          <w:sz w:val="20"/>
          <w:szCs w:val="20"/>
          <w:lang w:eastAsia="sk-SK"/>
        </w:rPr>
      </w:pPr>
    </w:p>
    <w:p w14:paraId="567551CD" w14:textId="77777777" w:rsidR="00BD372F" w:rsidRPr="00BD372F" w:rsidRDefault="00BD372F" w:rsidP="00BD372F">
      <w:pPr>
        <w:spacing w:after="0" w:line="240" w:lineRule="auto"/>
        <w:jc w:val="both"/>
        <w:rPr>
          <w:rFonts w:ascii="Times New Roman" w:hAnsi="Times New Roman"/>
          <w:bCs/>
          <w:sz w:val="20"/>
          <w:szCs w:val="20"/>
          <w:lang w:eastAsia="sk-SK"/>
        </w:rPr>
      </w:pPr>
    </w:p>
    <w:p w14:paraId="6DD00082" w14:textId="77777777" w:rsidR="00BD372F" w:rsidRPr="00BD372F" w:rsidRDefault="00BD372F" w:rsidP="00BD372F">
      <w:pPr>
        <w:spacing w:after="0" w:line="240" w:lineRule="auto"/>
        <w:jc w:val="both"/>
        <w:rPr>
          <w:rFonts w:ascii="Times New Roman" w:hAnsi="Times New Roman"/>
          <w:bCs/>
          <w:sz w:val="20"/>
          <w:szCs w:val="20"/>
          <w:lang w:eastAsia="sk-SK"/>
        </w:rPr>
      </w:pPr>
    </w:p>
    <w:p w14:paraId="5FB06FAA" w14:textId="77777777" w:rsidR="00BD372F" w:rsidRPr="00BD372F" w:rsidRDefault="00BD372F" w:rsidP="00BD372F">
      <w:pPr>
        <w:spacing w:after="0" w:line="240" w:lineRule="auto"/>
        <w:jc w:val="both"/>
        <w:rPr>
          <w:rFonts w:ascii="Times New Roman" w:hAnsi="Times New Roman"/>
          <w:bCs/>
          <w:sz w:val="20"/>
          <w:szCs w:val="20"/>
          <w:lang w:eastAsia="sk-SK"/>
        </w:rPr>
      </w:pPr>
    </w:p>
    <w:p w14:paraId="0EB8B117" w14:textId="77777777" w:rsidR="00BD372F" w:rsidRPr="00BD372F" w:rsidRDefault="00BD372F" w:rsidP="00BD372F">
      <w:pPr>
        <w:spacing w:after="0" w:line="240" w:lineRule="auto"/>
        <w:rPr>
          <w:rFonts w:ascii="Times New Roman" w:hAnsi="Times New Roman"/>
          <w:bCs/>
          <w:sz w:val="24"/>
          <w:szCs w:val="24"/>
          <w:lang w:eastAsia="sk-SK"/>
        </w:rPr>
      </w:pPr>
      <w:r w:rsidRPr="00BD372F">
        <w:rPr>
          <w:rFonts w:ascii="Times New Roman" w:hAnsi="Times New Roman"/>
          <w:bCs/>
          <w:sz w:val="24"/>
          <w:szCs w:val="24"/>
          <w:lang w:eastAsia="sk-SK"/>
        </w:rPr>
        <w:t xml:space="preserve">               </w:t>
      </w:r>
    </w:p>
    <w:p w14:paraId="5E6E7B26" w14:textId="77777777" w:rsidR="00BD372F" w:rsidRPr="00BD372F" w:rsidRDefault="00BD372F" w:rsidP="00BD372F">
      <w:pPr>
        <w:spacing w:after="0" w:line="240" w:lineRule="auto"/>
        <w:jc w:val="both"/>
        <w:rPr>
          <w:rFonts w:ascii="Times New Roman" w:hAnsi="Times New Roman"/>
          <w:bCs/>
          <w:sz w:val="20"/>
          <w:szCs w:val="20"/>
          <w:lang w:eastAsia="sk-SK"/>
        </w:rPr>
      </w:pPr>
      <w:r w:rsidRPr="00BD372F">
        <w:rPr>
          <w:rFonts w:ascii="Times New Roman" w:hAnsi="Times New Roman"/>
          <w:bCs/>
          <w:sz w:val="20"/>
          <w:szCs w:val="20"/>
          <w:lang w:eastAsia="sk-SK"/>
        </w:rPr>
        <w:t xml:space="preserve">                                                                                                                                                                                                                                                                  Tabuľka č. 5</w:t>
      </w:r>
    </w:p>
    <w:tbl>
      <w:tblPr>
        <w:tblW w:w="14954" w:type="dxa"/>
        <w:tblInd w:w="-784" w:type="dxa"/>
        <w:tblCellMar>
          <w:left w:w="70" w:type="dxa"/>
          <w:right w:w="70" w:type="dxa"/>
        </w:tblCellMar>
        <w:tblLook w:val="0000" w:firstRow="0" w:lastRow="0" w:firstColumn="0" w:lastColumn="0" w:noHBand="0" w:noVBand="0"/>
      </w:tblPr>
      <w:tblGrid>
        <w:gridCol w:w="6188"/>
        <w:gridCol w:w="1698"/>
        <w:gridCol w:w="1788"/>
        <w:gridCol w:w="720"/>
        <w:gridCol w:w="1158"/>
        <w:gridCol w:w="1560"/>
        <w:gridCol w:w="1332"/>
        <w:gridCol w:w="510"/>
      </w:tblGrid>
      <w:tr w:rsidR="00BD372F" w:rsidRPr="00BD372F" w14:paraId="4591238D" w14:textId="77777777" w:rsidTr="00BD372F">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4F7738B2"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Zamestnanosť (Úrad vládneho auditu)</w:t>
            </w:r>
          </w:p>
        </w:tc>
        <w:tc>
          <w:tcPr>
            <w:tcW w:w="6924" w:type="dxa"/>
            <w:gridSpan w:val="5"/>
            <w:tcBorders>
              <w:top w:val="single" w:sz="4" w:space="0" w:color="auto"/>
              <w:left w:val="nil"/>
              <w:bottom w:val="single" w:sz="4" w:space="0" w:color="auto"/>
              <w:right w:val="single" w:sz="4" w:space="0" w:color="auto"/>
            </w:tcBorders>
            <w:shd w:val="clear" w:color="auto" w:fill="BFBFBF"/>
          </w:tcPr>
          <w:p w14:paraId="2BC6E0FA"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Vplyv na rozpočet verejnej správy</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07B1A845"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poznámka</w:t>
            </w:r>
          </w:p>
        </w:tc>
      </w:tr>
      <w:tr w:rsidR="00BD372F" w:rsidRPr="00BD372F" w14:paraId="6AF5ED5A" w14:textId="77777777" w:rsidTr="00BD372F">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vAlign w:val="center"/>
          </w:tcPr>
          <w:p w14:paraId="6C0DB2CF" w14:textId="77777777" w:rsidR="00BD372F" w:rsidRPr="00BD372F" w:rsidRDefault="00BD372F" w:rsidP="00BD372F">
            <w:pPr>
              <w:spacing w:after="0" w:line="240" w:lineRule="auto"/>
              <w:rPr>
                <w:rFonts w:ascii="Times New Roman" w:hAnsi="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cPr>
          <w:p w14:paraId="6491A030"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eastAsia="Calibri" w:hAnsi="Times New Roman"/>
                <w:b/>
                <w:sz w:val="24"/>
                <w:szCs w:val="24"/>
              </w:rPr>
              <w:t>2025</w:t>
            </w:r>
          </w:p>
        </w:tc>
        <w:tc>
          <w:tcPr>
            <w:tcW w:w="1788" w:type="dxa"/>
            <w:tcBorders>
              <w:top w:val="nil"/>
              <w:left w:val="nil"/>
              <w:bottom w:val="single" w:sz="4" w:space="0" w:color="auto"/>
              <w:right w:val="single" w:sz="4" w:space="0" w:color="auto"/>
            </w:tcBorders>
            <w:shd w:val="clear" w:color="auto" w:fill="BFBFBF"/>
          </w:tcPr>
          <w:p w14:paraId="41BB4E58"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eastAsia="Calibri" w:hAnsi="Times New Roman"/>
                <w:b/>
                <w:sz w:val="24"/>
                <w:szCs w:val="24"/>
              </w:rPr>
              <w:t>2026</w:t>
            </w:r>
          </w:p>
        </w:tc>
        <w:tc>
          <w:tcPr>
            <w:tcW w:w="1878" w:type="dxa"/>
            <w:gridSpan w:val="2"/>
            <w:tcBorders>
              <w:top w:val="nil"/>
              <w:left w:val="nil"/>
              <w:bottom w:val="single" w:sz="4" w:space="0" w:color="auto"/>
              <w:right w:val="single" w:sz="4" w:space="0" w:color="auto"/>
            </w:tcBorders>
            <w:shd w:val="clear" w:color="auto" w:fill="BFBFBF"/>
          </w:tcPr>
          <w:p w14:paraId="49B957F1"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eastAsia="Calibri" w:hAnsi="Times New Roman"/>
                <w:b/>
                <w:sz w:val="24"/>
                <w:szCs w:val="24"/>
              </w:rPr>
              <w:t>2027</w:t>
            </w:r>
          </w:p>
        </w:tc>
        <w:tc>
          <w:tcPr>
            <w:tcW w:w="1560" w:type="dxa"/>
            <w:tcBorders>
              <w:top w:val="nil"/>
              <w:left w:val="nil"/>
              <w:bottom w:val="single" w:sz="4" w:space="0" w:color="auto"/>
              <w:right w:val="single" w:sz="4" w:space="0" w:color="auto"/>
            </w:tcBorders>
            <w:shd w:val="clear" w:color="auto" w:fill="BFBFBF"/>
          </w:tcPr>
          <w:p w14:paraId="666F8773"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eastAsia="Calibri" w:hAnsi="Times New Roman"/>
                <w:b/>
                <w:sz w:val="24"/>
                <w:szCs w:val="24"/>
              </w:rPr>
              <w:t>2028</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BFBFBF"/>
            <w:vAlign w:val="center"/>
          </w:tcPr>
          <w:p w14:paraId="5FAC2AE1" w14:textId="77777777" w:rsidR="00BD372F" w:rsidRPr="00BD372F" w:rsidRDefault="00BD372F" w:rsidP="00BD372F">
            <w:pPr>
              <w:spacing w:after="0" w:line="240" w:lineRule="auto"/>
              <w:rPr>
                <w:rFonts w:ascii="Times New Roman" w:hAnsi="Times New Roman"/>
                <w:b/>
                <w:bCs/>
                <w:color w:val="FFFFFF"/>
                <w:sz w:val="24"/>
                <w:szCs w:val="24"/>
                <w:lang w:eastAsia="sk-SK"/>
              </w:rPr>
            </w:pPr>
          </w:p>
        </w:tc>
      </w:tr>
      <w:tr w:rsidR="00BD372F" w:rsidRPr="00BD372F" w14:paraId="6EE2EF46" w14:textId="77777777" w:rsidTr="00154BAB">
        <w:trPr>
          <w:trHeight w:val="255"/>
        </w:trPr>
        <w:tc>
          <w:tcPr>
            <w:tcW w:w="6188" w:type="dxa"/>
            <w:tcBorders>
              <w:top w:val="nil"/>
              <w:left w:val="single" w:sz="4" w:space="0" w:color="auto"/>
              <w:bottom w:val="single" w:sz="4" w:space="0" w:color="auto"/>
              <w:right w:val="single" w:sz="4" w:space="0" w:color="auto"/>
            </w:tcBorders>
          </w:tcPr>
          <w:p w14:paraId="779F79F2" w14:textId="77777777" w:rsidR="00BD372F" w:rsidRPr="00BD372F" w:rsidRDefault="00BD372F" w:rsidP="00BD372F">
            <w:pPr>
              <w:spacing w:after="0" w:line="240" w:lineRule="auto"/>
              <w:rPr>
                <w:rFonts w:ascii="Times New Roman" w:hAnsi="Times New Roman"/>
                <w:b/>
                <w:bCs/>
                <w:sz w:val="24"/>
                <w:szCs w:val="24"/>
                <w:lang w:eastAsia="sk-SK"/>
              </w:rPr>
            </w:pPr>
            <w:r w:rsidRPr="00BD372F">
              <w:rPr>
                <w:rFonts w:ascii="Times New Roman" w:hAnsi="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14:paraId="3C163A9E"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0</w:t>
            </w:r>
          </w:p>
        </w:tc>
        <w:tc>
          <w:tcPr>
            <w:tcW w:w="1788" w:type="dxa"/>
            <w:tcBorders>
              <w:top w:val="nil"/>
              <w:left w:val="nil"/>
              <w:bottom w:val="single" w:sz="4" w:space="0" w:color="auto"/>
              <w:right w:val="single" w:sz="4" w:space="0" w:color="auto"/>
            </w:tcBorders>
          </w:tcPr>
          <w:p w14:paraId="3BD3830F"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2</w:t>
            </w:r>
          </w:p>
        </w:tc>
        <w:tc>
          <w:tcPr>
            <w:tcW w:w="1878" w:type="dxa"/>
            <w:gridSpan w:val="2"/>
            <w:tcBorders>
              <w:top w:val="nil"/>
              <w:left w:val="nil"/>
              <w:bottom w:val="single" w:sz="4" w:space="0" w:color="auto"/>
              <w:right w:val="single" w:sz="4" w:space="0" w:color="auto"/>
            </w:tcBorders>
          </w:tcPr>
          <w:p w14:paraId="3C57B11D"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2</w:t>
            </w:r>
          </w:p>
        </w:tc>
        <w:tc>
          <w:tcPr>
            <w:tcW w:w="1560" w:type="dxa"/>
            <w:tcBorders>
              <w:top w:val="nil"/>
              <w:left w:val="nil"/>
              <w:bottom w:val="single" w:sz="4" w:space="0" w:color="auto"/>
              <w:right w:val="single" w:sz="4" w:space="0" w:color="auto"/>
            </w:tcBorders>
          </w:tcPr>
          <w:p w14:paraId="0B327723"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2</w:t>
            </w:r>
          </w:p>
        </w:tc>
        <w:tc>
          <w:tcPr>
            <w:tcW w:w="1842" w:type="dxa"/>
            <w:gridSpan w:val="2"/>
            <w:tcBorders>
              <w:top w:val="nil"/>
              <w:left w:val="nil"/>
              <w:bottom w:val="single" w:sz="4" w:space="0" w:color="auto"/>
              <w:right w:val="single" w:sz="4" w:space="0" w:color="auto"/>
            </w:tcBorders>
            <w:noWrap/>
            <w:vAlign w:val="bottom"/>
          </w:tcPr>
          <w:p w14:paraId="2A1125C6" w14:textId="77777777"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sz w:val="24"/>
                <w:szCs w:val="24"/>
                <w:lang w:eastAsia="sk-SK"/>
              </w:rPr>
              <w:t> </w:t>
            </w:r>
          </w:p>
        </w:tc>
      </w:tr>
      <w:tr w:rsidR="00BD372F" w:rsidRPr="00BD372F" w14:paraId="2AE23012" w14:textId="77777777" w:rsidTr="00154BAB">
        <w:trPr>
          <w:trHeight w:val="255"/>
        </w:trPr>
        <w:tc>
          <w:tcPr>
            <w:tcW w:w="6188" w:type="dxa"/>
            <w:tcBorders>
              <w:top w:val="nil"/>
              <w:left w:val="single" w:sz="4" w:space="0" w:color="auto"/>
              <w:bottom w:val="single" w:sz="4" w:space="0" w:color="auto"/>
              <w:right w:val="single" w:sz="4" w:space="0" w:color="auto"/>
            </w:tcBorders>
          </w:tcPr>
          <w:p w14:paraId="1302422D" w14:textId="77777777" w:rsidR="00BD372F" w:rsidRPr="00BD372F" w:rsidRDefault="00BD372F" w:rsidP="00BD372F">
            <w:pPr>
              <w:spacing w:after="0" w:line="240" w:lineRule="auto"/>
              <w:rPr>
                <w:rFonts w:ascii="Times New Roman" w:hAnsi="Times New Roman"/>
                <w:b/>
                <w:bCs/>
                <w:sz w:val="24"/>
                <w:szCs w:val="24"/>
                <w:lang w:eastAsia="sk-SK"/>
              </w:rPr>
            </w:pPr>
            <w:r w:rsidRPr="00BD372F">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58B161A2"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0</w:t>
            </w:r>
          </w:p>
        </w:tc>
        <w:tc>
          <w:tcPr>
            <w:tcW w:w="1788" w:type="dxa"/>
            <w:tcBorders>
              <w:top w:val="single" w:sz="4" w:space="0" w:color="auto"/>
              <w:left w:val="nil"/>
              <w:bottom w:val="single" w:sz="4" w:space="0" w:color="auto"/>
              <w:right w:val="single" w:sz="4" w:space="0" w:color="auto"/>
            </w:tcBorders>
          </w:tcPr>
          <w:p w14:paraId="27FB60EA"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2</w:t>
            </w:r>
          </w:p>
        </w:tc>
        <w:tc>
          <w:tcPr>
            <w:tcW w:w="1878" w:type="dxa"/>
            <w:gridSpan w:val="2"/>
            <w:tcBorders>
              <w:top w:val="single" w:sz="4" w:space="0" w:color="auto"/>
              <w:left w:val="nil"/>
              <w:bottom w:val="single" w:sz="4" w:space="0" w:color="auto"/>
              <w:right w:val="single" w:sz="4" w:space="0" w:color="auto"/>
            </w:tcBorders>
          </w:tcPr>
          <w:p w14:paraId="71C1BB69"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2</w:t>
            </w:r>
          </w:p>
        </w:tc>
        <w:tc>
          <w:tcPr>
            <w:tcW w:w="1560" w:type="dxa"/>
            <w:tcBorders>
              <w:top w:val="single" w:sz="4" w:space="0" w:color="auto"/>
              <w:left w:val="nil"/>
              <w:bottom w:val="single" w:sz="4" w:space="0" w:color="auto"/>
              <w:right w:val="single" w:sz="4" w:space="0" w:color="auto"/>
            </w:tcBorders>
          </w:tcPr>
          <w:p w14:paraId="303F9325"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2</w:t>
            </w:r>
          </w:p>
        </w:tc>
        <w:tc>
          <w:tcPr>
            <w:tcW w:w="1842" w:type="dxa"/>
            <w:gridSpan w:val="2"/>
            <w:tcBorders>
              <w:top w:val="nil"/>
              <w:left w:val="nil"/>
              <w:bottom w:val="single" w:sz="4" w:space="0" w:color="auto"/>
              <w:right w:val="single" w:sz="4" w:space="0" w:color="auto"/>
            </w:tcBorders>
            <w:noWrap/>
            <w:vAlign w:val="bottom"/>
          </w:tcPr>
          <w:p w14:paraId="11FCD0C7" w14:textId="77777777" w:rsidR="00BD372F" w:rsidRPr="00BD372F" w:rsidRDefault="00BD372F" w:rsidP="00BD372F">
            <w:pPr>
              <w:spacing w:after="0" w:line="240" w:lineRule="auto"/>
              <w:rPr>
                <w:rFonts w:ascii="Times New Roman" w:hAnsi="Times New Roman"/>
                <w:sz w:val="24"/>
                <w:szCs w:val="24"/>
                <w:lang w:eastAsia="sk-SK"/>
              </w:rPr>
            </w:pPr>
          </w:p>
        </w:tc>
      </w:tr>
      <w:tr w:rsidR="00BD372F" w:rsidRPr="00BD372F" w14:paraId="7EE9A5C9" w14:textId="77777777" w:rsidTr="00154BAB">
        <w:trPr>
          <w:trHeight w:val="255"/>
        </w:trPr>
        <w:tc>
          <w:tcPr>
            <w:tcW w:w="6188" w:type="dxa"/>
            <w:tcBorders>
              <w:top w:val="nil"/>
              <w:left w:val="single" w:sz="4" w:space="0" w:color="auto"/>
              <w:bottom w:val="single" w:sz="4" w:space="0" w:color="auto"/>
              <w:right w:val="single" w:sz="4" w:space="0" w:color="auto"/>
            </w:tcBorders>
          </w:tcPr>
          <w:p w14:paraId="425AEAD8" w14:textId="77777777" w:rsidR="00BD372F" w:rsidRPr="00BD372F" w:rsidRDefault="00BD372F" w:rsidP="00BD372F">
            <w:pPr>
              <w:spacing w:after="0" w:line="240" w:lineRule="auto"/>
              <w:rPr>
                <w:rFonts w:ascii="Times New Roman" w:hAnsi="Times New Roman"/>
                <w:b/>
                <w:bCs/>
                <w:sz w:val="24"/>
                <w:szCs w:val="24"/>
                <w:lang w:eastAsia="sk-SK"/>
              </w:rPr>
            </w:pPr>
            <w:r w:rsidRPr="00BD372F">
              <w:rPr>
                <w:rFonts w:ascii="Times New Roman" w:hAnsi="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14:paraId="34F0452C"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0</w:t>
            </w:r>
          </w:p>
        </w:tc>
        <w:tc>
          <w:tcPr>
            <w:tcW w:w="1788" w:type="dxa"/>
            <w:tcBorders>
              <w:top w:val="single" w:sz="4" w:space="0" w:color="auto"/>
              <w:left w:val="nil"/>
              <w:bottom w:val="single" w:sz="4" w:space="0" w:color="auto"/>
              <w:right w:val="single" w:sz="4" w:space="0" w:color="auto"/>
            </w:tcBorders>
          </w:tcPr>
          <w:p w14:paraId="009A879F"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 xml:space="preserve">2 457 </w:t>
            </w:r>
          </w:p>
        </w:tc>
        <w:tc>
          <w:tcPr>
            <w:tcW w:w="1878" w:type="dxa"/>
            <w:gridSpan w:val="2"/>
            <w:tcBorders>
              <w:top w:val="single" w:sz="4" w:space="0" w:color="auto"/>
              <w:left w:val="nil"/>
              <w:bottom w:val="single" w:sz="4" w:space="0" w:color="auto"/>
              <w:right w:val="single" w:sz="4" w:space="0" w:color="auto"/>
            </w:tcBorders>
          </w:tcPr>
          <w:p w14:paraId="4351A20C"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 xml:space="preserve">2 457 </w:t>
            </w:r>
          </w:p>
        </w:tc>
        <w:tc>
          <w:tcPr>
            <w:tcW w:w="1560" w:type="dxa"/>
            <w:tcBorders>
              <w:top w:val="single" w:sz="4" w:space="0" w:color="auto"/>
              <w:left w:val="nil"/>
              <w:bottom w:val="single" w:sz="4" w:space="0" w:color="auto"/>
              <w:right w:val="single" w:sz="4" w:space="0" w:color="auto"/>
            </w:tcBorders>
          </w:tcPr>
          <w:p w14:paraId="2DC2848C"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 xml:space="preserve">2 457 </w:t>
            </w:r>
          </w:p>
        </w:tc>
        <w:tc>
          <w:tcPr>
            <w:tcW w:w="1842" w:type="dxa"/>
            <w:gridSpan w:val="2"/>
            <w:tcBorders>
              <w:top w:val="nil"/>
              <w:left w:val="nil"/>
              <w:bottom w:val="single" w:sz="4" w:space="0" w:color="auto"/>
              <w:right w:val="single" w:sz="4" w:space="0" w:color="auto"/>
            </w:tcBorders>
            <w:noWrap/>
            <w:vAlign w:val="bottom"/>
          </w:tcPr>
          <w:p w14:paraId="1A63BA2A" w14:textId="77777777"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sz w:val="24"/>
                <w:szCs w:val="24"/>
                <w:lang w:eastAsia="sk-SK"/>
              </w:rPr>
              <w:t> </w:t>
            </w:r>
          </w:p>
        </w:tc>
      </w:tr>
      <w:tr w:rsidR="00BD372F" w:rsidRPr="00BD372F" w14:paraId="7D5E2EBD" w14:textId="77777777" w:rsidTr="00154BAB">
        <w:trPr>
          <w:trHeight w:val="255"/>
        </w:trPr>
        <w:tc>
          <w:tcPr>
            <w:tcW w:w="6188" w:type="dxa"/>
            <w:tcBorders>
              <w:top w:val="nil"/>
              <w:left w:val="single" w:sz="4" w:space="0" w:color="auto"/>
              <w:bottom w:val="single" w:sz="4" w:space="0" w:color="auto"/>
              <w:right w:val="single" w:sz="4" w:space="0" w:color="auto"/>
            </w:tcBorders>
          </w:tcPr>
          <w:p w14:paraId="648A09A0" w14:textId="77777777"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1EA037D6" w14:textId="77777777" w:rsidR="00BD372F" w:rsidRPr="00BD372F" w:rsidRDefault="00BD372F" w:rsidP="00BD372F">
            <w:pPr>
              <w:spacing w:after="0" w:line="240" w:lineRule="auto"/>
              <w:jc w:val="center"/>
              <w:rPr>
                <w:rFonts w:ascii="Times New Roman" w:hAnsi="Times New Roman"/>
                <w:sz w:val="24"/>
                <w:szCs w:val="24"/>
                <w:lang w:eastAsia="sk-SK"/>
              </w:rPr>
            </w:pPr>
            <w:r w:rsidRPr="00BD372F">
              <w:rPr>
                <w:rFonts w:ascii="Times New Roman" w:hAnsi="Times New Roman"/>
                <w:sz w:val="24"/>
                <w:szCs w:val="24"/>
                <w:lang w:eastAsia="sk-SK"/>
              </w:rPr>
              <w:t> 0</w:t>
            </w:r>
          </w:p>
        </w:tc>
        <w:tc>
          <w:tcPr>
            <w:tcW w:w="1788" w:type="dxa"/>
            <w:tcBorders>
              <w:top w:val="single" w:sz="4" w:space="0" w:color="auto"/>
              <w:left w:val="nil"/>
              <w:bottom w:val="single" w:sz="4" w:space="0" w:color="auto"/>
              <w:right w:val="single" w:sz="4" w:space="0" w:color="auto"/>
            </w:tcBorders>
          </w:tcPr>
          <w:p w14:paraId="038AD820" w14:textId="77777777" w:rsidR="00BD372F" w:rsidRPr="00BD372F" w:rsidRDefault="00BD372F" w:rsidP="00BD372F">
            <w:pPr>
              <w:spacing w:after="0" w:line="240" w:lineRule="auto"/>
              <w:jc w:val="center"/>
              <w:rPr>
                <w:rFonts w:ascii="Times New Roman" w:hAnsi="Times New Roman"/>
                <w:sz w:val="24"/>
                <w:szCs w:val="24"/>
                <w:lang w:eastAsia="sk-SK"/>
              </w:rPr>
            </w:pPr>
            <w:r w:rsidRPr="00BD372F">
              <w:rPr>
                <w:rFonts w:ascii="Times New Roman" w:hAnsi="Times New Roman"/>
                <w:b/>
                <w:bCs/>
                <w:sz w:val="24"/>
                <w:szCs w:val="24"/>
                <w:lang w:eastAsia="sk-SK"/>
              </w:rPr>
              <w:t xml:space="preserve">2 457 </w:t>
            </w:r>
          </w:p>
        </w:tc>
        <w:tc>
          <w:tcPr>
            <w:tcW w:w="1878" w:type="dxa"/>
            <w:gridSpan w:val="2"/>
            <w:tcBorders>
              <w:top w:val="single" w:sz="4" w:space="0" w:color="auto"/>
              <w:left w:val="nil"/>
              <w:bottom w:val="single" w:sz="4" w:space="0" w:color="auto"/>
              <w:right w:val="single" w:sz="4" w:space="0" w:color="auto"/>
            </w:tcBorders>
          </w:tcPr>
          <w:p w14:paraId="0091ECC4" w14:textId="77777777" w:rsidR="00BD372F" w:rsidRPr="00BD372F" w:rsidRDefault="00BD372F" w:rsidP="00BD372F">
            <w:pPr>
              <w:spacing w:after="0" w:line="240" w:lineRule="auto"/>
              <w:jc w:val="center"/>
              <w:rPr>
                <w:rFonts w:ascii="Times New Roman" w:hAnsi="Times New Roman"/>
                <w:sz w:val="24"/>
                <w:szCs w:val="24"/>
                <w:lang w:eastAsia="sk-SK"/>
              </w:rPr>
            </w:pPr>
            <w:r w:rsidRPr="00BD372F">
              <w:rPr>
                <w:rFonts w:ascii="Times New Roman" w:hAnsi="Times New Roman"/>
                <w:b/>
                <w:bCs/>
                <w:sz w:val="24"/>
                <w:szCs w:val="24"/>
                <w:lang w:eastAsia="sk-SK"/>
              </w:rPr>
              <w:t xml:space="preserve">2 457 </w:t>
            </w:r>
          </w:p>
        </w:tc>
        <w:tc>
          <w:tcPr>
            <w:tcW w:w="1560" w:type="dxa"/>
            <w:tcBorders>
              <w:top w:val="single" w:sz="4" w:space="0" w:color="auto"/>
              <w:left w:val="nil"/>
              <w:bottom w:val="single" w:sz="4" w:space="0" w:color="auto"/>
              <w:right w:val="single" w:sz="4" w:space="0" w:color="auto"/>
            </w:tcBorders>
          </w:tcPr>
          <w:p w14:paraId="7934C3F6" w14:textId="77777777" w:rsidR="00BD372F" w:rsidRPr="00BD372F" w:rsidRDefault="00BD372F" w:rsidP="00BD372F">
            <w:pPr>
              <w:spacing w:after="0" w:line="240" w:lineRule="auto"/>
              <w:jc w:val="center"/>
              <w:rPr>
                <w:rFonts w:ascii="Times New Roman" w:hAnsi="Times New Roman"/>
                <w:sz w:val="24"/>
                <w:szCs w:val="24"/>
                <w:lang w:eastAsia="sk-SK"/>
              </w:rPr>
            </w:pPr>
            <w:r w:rsidRPr="00BD372F">
              <w:rPr>
                <w:rFonts w:ascii="Times New Roman" w:hAnsi="Times New Roman"/>
                <w:b/>
                <w:bCs/>
                <w:sz w:val="24"/>
                <w:szCs w:val="24"/>
                <w:lang w:eastAsia="sk-SK"/>
              </w:rPr>
              <w:t xml:space="preserve">2 457 </w:t>
            </w:r>
          </w:p>
        </w:tc>
        <w:tc>
          <w:tcPr>
            <w:tcW w:w="1842" w:type="dxa"/>
            <w:gridSpan w:val="2"/>
            <w:tcBorders>
              <w:top w:val="nil"/>
              <w:left w:val="nil"/>
              <w:bottom w:val="single" w:sz="4" w:space="0" w:color="auto"/>
              <w:right w:val="single" w:sz="4" w:space="0" w:color="auto"/>
            </w:tcBorders>
            <w:noWrap/>
            <w:vAlign w:val="bottom"/>
          </w:tcPr>
          <w:p w14:paraId="784EAD60" w14:textId="77777777"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sz w:val="24"/>
                <w:szCs w:val="24"/>
                <w:lang w:eastAsia="sk-SK"/>
              </w:rPr>
              <w:t> </w:t>
            </w:r>
          </w:p>
        </w:tc>
      </w:tr>
      <w:tr w:rsidR="00BD372F" w:rsidRPr="00BD372F" w14:paraId="761077AF" w14:textId="77777777" w:rsidTr="00BD372F">
        <w:trPr>
          <w:trHeight w:val="255"/>
        </w:trPr>
        <w:tc>
          <w:tcPr>
            <w:tcW w:w="6188" w:type="dxa"/>
            <w:tcBorders>
              <w:top w:val="nil"/>
              <w:left w:val="single" w:sz="4" w:space="0" w:color="auto"/>
              <w:bottom w:val="single" w:sz="4" w:space="0" w:color="auto"/>
              <w:right w:val="single" w:sz="4" w:space="0" w:color="auto"/>
            </w:tcBorders>
            <w:shd w:val="clear" w:color="auto" w:fill="BFBFBF"/>
          </w:tcPr>
          <w:p w14:paraId="2133F409" w14:textId="77777777" w:rsidR="00BD372F" w:rsidRPr="00BD372F" w:rsidRDefault="00BD372F" w:rsidP="00BD372F">
            <w:pPr>
              <w:spacing w:after="0" w:line="240" w:lineRule="auto"/>
              <w:rPr>
                <w:rFonts w:ascii="Times New Roman" w:hAnsi="Times New Roman"/>
                <w:b/>
                <w:bCs/>
                <w:sz w:val="24"/>
                <w:szCs w:val="24"/>
                <w:lang w:eastAsia="sk-SK"/>
              </w:rPr>
            </w:pPr>
            <w:r w:rsidRPr="00BD372F">
              <w:rPr>
                <w:rFonts w:ascii="Times New Roman" w:hAnsi="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cPr>
          <w:p w14:paraId="6125BBFC"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cPr>
          <w:p w14:paraId="7FA98DA8"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81 607</w:t>
            </w:r>
          </w:p>
        </w:tc>
        <w:tc>
          <w:tcPr>
            <w:tcW w:w="1878" w:type="dxa"/>
            <w:gridSpan w:val="2"/>
            <w:tcBorders>
              <w:top w:val="nil"/>
              <w:left w:val="nil"/>
              <w:bottom w:val="single" w:sz="4" w:space="0" w:color="auto"/>
              <w:right w:val="single" w:sz="4" w:space="0" w:color="auto"/>
            </w:tcBorders>
            <w:shd w:val="clear" w:color="auto" w:fill="BFBFBF"/>
          </w:tcPr>
          <w:p w14:paraId="26AC6171"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81 607</w:t>
            </w:r>
          </w:p>
        </w:tc>
        <w:tc>
          <w:tcPr>
            <w:tcW w:w="1560" w:type="dxa"/>
            <w:tcBorders>
              <w:top w:val="nil"/>
              <w:left w:val="nil"/>
              <w:bottom w:val="single" w:sz="4" w:space="0" w:color="auto"/>
              <w:right w:val="single" w:sz="4" w:space="0" w:color="auto"/>
            </w:tcBorders>
            <w:shd w:val="clear" w:color="auto" w:fill="BFBFBF"/>
          </w:tcPr>
          <w:p w14:paraId="3E22E5D2"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81 607</w:t>
            </w:r>
          </w:p>
        </w:tc>
        <w:tc>
          <w:tcPr>
            <w:tcW w:w="1842" w:type="dxa"/>
            <w:gridSpan w:val="2"/>
            <w:tcBorders>
              <w:top w:val="nil"/>
              <w:left w:val="nil"/>
              <w:bottom w:val="single" w:sz="4" w:space="0" w:color="auto"/>
              <w:right w:val="single" w:sz="4" w:space="0" w:color="auto"/>
            </w:tcBorders>
            <w:shd w:val="clear" w:color="auto" w:fill="BFBFBF"/>
            <w:noWrap/>
            <w:vAlign w:val="bottom"/>
          </w:tcPr>
          <w:p w14:paraId="5BD784DA" w14:textId="77777777" w:rsidR="00BD372F" w:rsidRPr="00BD372F" w:rsidRDefault="00BD372F" w:rsidP="00BD372F">
            <w:pPr>
              <w:spacing w:after="0" w:line="240" w:lineRule="auto"/>
              <w:rPr>
                <w:rFonts w:ascii="Times New Roman" w:hAnsi="Times New Roman"/>
                <w:bCs/>
                <w:sz w:val="24"/>
                <w:szCs w:val="24"/>
                <w:lang w:eastAsia="sk-SK"/>
              </w:rPr>
            </w:pPr>
            <w:r w:rsidRPr="00BD372F">
              <w:rPr>
                <w:rFonts w:ascii="Times New Roman" w:hAnsi="Times New Roman"/>
                <w:bCs/>
                <w:sz w:val="20"/>
                <w:szCs w:val="20"/>
                <w:lang w:eastAsia="sk-SK"/>
              </w:rPr>
              <w:t>ročné mzdové výdavky za 2 zamestnancov vrátane odvodov</w:t>
            </w:r>
          </w:p>
        </w:tc>
      </w:tr>
      <w:tr w:rsidR="00BD372F" w:rsidRPr="00BD372F" w14:paraId="453D4AFE" w14:textId="77777777" w:rsidTr="00154BAB">
        <w:trPr>
          <w:trHeight w:val="255"/>
        </w:trPr>
        <w:tc>
          <w:tcPr>
            <w:tcW w:w="6188" w:type="dxa"/>
            <w:tcBorders>
              <w:top w:val="nil"/>
              <w:left w:val="single" w:sz="4" w:space="0" w:color="auto"/>
              <w:bottom w:val="single" w:sz="4" w:space="0" w:color="auto"/>
              <w:right w:val="single" w:sz="4" w:space="0" w:color="auto"/>
            </w:tcBorders>
          </w:tcPr>
          <w:p w14:paraId="70CC6244" w14:textId="77777777" w:rsidR="00BD372F" w:rsidRPr="00BD372F" w:rsidRDefault="00BD372F" w:rsidP="00BD372F">
            <w:pPr>
              <w:spacing w:after="0" w:line="240" w:lineRule="auto"/>
              <w:rPr>
                <w:rFonts w:ascii="Times New Roman" w:hAnsi="Times New Roman"/>
                <w:b/>
                <w:bCs/>
                <w:sz w:val="24"/>
                <w:szCs w:val="24"/>
                <w:lang w:eastAsia="sk-SK"/>
              </w:rPr>
            </w:pPr>
            <w:r w:rsidRPr="00BD372F">
              <w:rPr>
                <w:rFonts w:ascii="Times New Roman" w:hAnsi="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14:paraId="6BE2C7E8"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0</w:t>
            </w:r>
          </w:p>
        </w:tc>
        <w:tc>
          <w:tcPr>
            <w:tcW w:w="1788" w:type="dxa"/>
            <w:tcBorders>
              <w:top w:val="nil"/>
              <w:left w:val="nil"/>
              <w:bottom w:val="single" w:sz="4" w:space="0" w:color="auto"/>
              <w:right w:val="single" w:sz="4" w:space="0" w:color="auto"/>
            </w:tcBorders>
          </w:tcPr>
          <w:p w14:paraId="761BFD33"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58 968</w:t>
            </w:r>
          </w:p>
        </w:tc>
        <w:tc>
          <w:tcPr>
            <w:tcW w:w="1878" w:type="dxa"/>
            <w:gridSpan w:val="2"/>
            <w:tcBorders>
              <w:top w:val="nil"/>
              <w:left w:val="nil"/>
              <w:bottom w:val="single" w:sz="4" w:space="0" w:color="auto"/>
              <w:right w:val="single" w:sz="4" w:space="0" w:color="auto"/>
            </w:tcBorders>
          </w:tcPr>
          <w:p w14:paraId="2ACD795A"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58 968</w:t>
            </w:r>
          </w:p>
        </w:tc>
        <w:tc>
          <w:tcPr>
            <w:tcW w:w="1560" w:type="dxa"/>
            <w:tcBorders>
              <w:top w:val="nil"/>
              <w:left w:val="nil"/>
              <w:bottom w:val="single" w:sz="4" w:space="0" w:color="auto"/>
              <w:right w:val="single" w:sz="4" w:space="0" w:color="auto"/>
            </w:tcBorders>
          </w:tcPr>
          <w:p w14:paraId="27B533DC"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58 968</w:t>
            </w:r>
          </w:p>
        </w:tc>
        <w:tc>
          <w:tcPr>
            <w:tcW w:w="1842" w:type="dxa"/>
            <w:gridSpan w:val="2"/>
            <w:tcBorders>
              <w:top w:val="nil"/>
              <w:left w:val="nil"/>
              <w:bottom w:val="single" w:sz="4" w:space="0" w:color="auto"/>
              <w:right w:val="single" w:sz="4" w:space="0" w:color="auto"/>
            </w:tcBorders>
            <w:noWrap/>
            <w:vAlign w:val="bottom"/>
          </w:tcPr>
          <w:p w14:paraId="6D93414E" w14:textId="77777777" w:rsidR="00BD372F" w:rsidRPr="00BD372F" w:rsidRDefault="00BD372F" w:rsidP="00BD372F">
            <w:pPr>
              <w:spacing w:after="0" w:line="240" w:lineRule="auto"/>
              <w:rPr>
                <w:rFonts w:ascii="Times New Roman" w:hAnsi="Times New Roman"/>
                <w:b/>
                <w:bCs/>
                <w:sz w:val="24"/>
                <w:szCs w:val="24"/>
                <w:lang w:eastAsia="sk-SK"/>
              </w:rPr>
            </w:pPr>
            <w:r w:rsidRPr="00BD372F">
              <w:rPr>
                <w:rFonts w:ascii="Times New Roman" w:hAnsi="Times New Roman"/>
                <w:b/>
                <w:bCs/>
                <w:sz w:val="24"/>
                <w:szCs w:val="24"/>
                <w:lang w:eastAsia="sk-SK"/>
              </w:rPr>
              <w:t> </w:t>
            </w:r>
          </w:p>
        </w:tc>
      </w:tr>
      <w:tr w:rsidR="00BD372F" w:rsidRPr="00BD372F" w14:paraId="3171BC47" w14:textId="77777777" w:rsidTr="00154BAB">
        <w:trPr>
          <w:trHeight w:val="255"/>
        </w:trPr>
        <w:tc>
          <w:tcPr>
            <w:tcW w:w="6188" w:type="dxa"/>
            <w:tcBorders>
              <w:top w:val="nil"/>
              <w:left w:val="single" w:sz="4" w:space="0" w:color="auto"/>
              <w:bottom w:val="single" w:sz="4" w:space="0" w:color="auto"/>
              <w:right w:val="single" w:sz="4" w:space="0" w:color="auto"/>
            </w:tcBorders>
          </w:tcPr>
          <w:p w14:paraId="5B72BD46" w14:textId="77777777"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5BD41FD0" w14:textId="77777777" w:rsidR="00BD372F" w:rsidRPr="00BD372F" w:rsidRDefault="00BD372F" w:rsidP="00BD372F">
            <w:pPr>
              <w:spacing w:after="0" w:line="240" w:lineRule="auto"/>
              <w:jc w:val="center"/>
              <w:rPr>
                <w:rFonts w:ascii="Times New Roman" w:hAnsi="Times New Roman"/>
                <w:sz w:val="24"/>
                <w:szCs w:val="24"/>
                <w:lang w:eastAsia="sk-SK"/>
              </w:rPr>
            </w:pPr>
            <w:r w:rsidRPr="00BD372F">
              <w:rPr>
                <w:rFonts w:ascii="Times New Roman" w:hAnsi="Times New Roman"/>
                <w:sz w:val="24"/>
                <w:szCs w:val="24"/>
                <w:lang w:eastAsia="sk-SK"/>
              </w:rPr>
              <w:t>0</w:t>
            </w:r>
          </w:p>
        </w:tc>
        <w:tc>
          <w:tcPr>
            <w:tcW w:w="1788" w:type="dxa"/>
            <w:tcBorders>
              <w:top w:val="nil"/>
              <w:left w:val="nil"/>
              <w:bottom w:val="single" w:sz="4" w:space="0" w:color="auto"/>
              <w:right w:val="single" w:sz="4" w:space="0" w:color="auto"/>
            </w:tcBorders>
          </w:tcPr>
          <w:p w14:paraId="73D5524A" w14:textId="77777777" w:rsidR="00BD372F" w:rsidRPr="00BD372F" w:rsidRDefault="00BD372F" w:rsidP="00BD372F">
            <w:pPr>
              <w:spacing w:after="0" w:line="240" w:lineRule="auto"/>
              <w:jc w:val="center"/>
              <w:rPr>
                <w:rFonts w:ascii="Times New Roman" w:hAnsi="Times New Roman"/>
                <w:sz w:val="24"/>
                <w:szCs w:val="24"/>
                <w:lang w:eastAsia="sk-SK"/>
              </w:rPr>
            </w:pPr>
            <w:r w:rsidRPr="00BD372F">
              <w:rPr>
                <w:rFonts w:ascii="Times New Roman" w:hAnsi="Times New Roman"/>
                <w:sz w:val="24"/>
                <w:szCs w:val="24"/>
                <w:lang w:eastAsia="sk-SK"/>
              </w:rPr>
              <w:t>58 968</w:t>
            </w:r>
          </w:p>
        </w:tc>
        <w:tc>
          <w:tcPr>
            <w:tcW w:w="1878" w:type="dxa"/>
            <w:gridSpan w:val="2"/>
            <w:tcBorders>
              <w:top w:val="nil"/>
              <w:left w:val="nil"/>
              <w:bottom w:val="single" w:sz="4" w:space="0" w:color="auto"/>
              <w:right w:val="single" w:sz="4" w:space="0" w:color="auto"/>
            </w:tcBorders>
          </w:tcPr>
          <w:p w14:paraId="59C2D804" w14:textId="77777777" w:rsidR="00BD372F" w:rsidRPr="00BD372F" w:rsidRDefault="00BD372F" w:rsidP="00BD372F">
            <w:pPr>
              <w:spacing w:after="0" w:line="240" w:lineRule="auto"/>
              <w:jc w:val="center"/>
              <w:rPr>
                <w:rFonts w:ascii="Times New Roman" w:hAnsi="Times New Roman"/>
                <w:sz w:val="24"/>
                <w:szCs w:val="24"/>
                <w:lang w:eastAsia="sk-SK"/>
              </w:rPr>
            </w:pPr>
            <w:r w:rsidRPr="00BD372F">
              <w:rPr>
                <w:rFonts w:ascii="Times New Roman" w:hAnsi="Times New Roman"/>
                <w:sz w:val="24"/>
                <w:szCs w:val="24"/>
                <w:lang w:eastAsia="sk-SK"/>
              </w:rPr>
              <w:t>58 968</w:t>
            </w:r>
          </w:p>
        </w:tc>
        <w:tc>
          <w:tcPr>
            <w:tcW w:w="1560" w:type="dxa"/>
            <w:tcBorders>
              <w:top w:val="nil"/>
              <w:left w:val="nil"/>
              <w:bottom w:val="single" w:sz="4" w:space="0" w:color="auto"/>
              <w:right w:val="single" w:sz="4" w:space="0" w:color="auto"/>
            </w:tcBorders>
          </w:tcPr>
          <w:p w14:paraId="22E60A77" w14:textId="77777777" w:rsidR="00BD372F" w:rsidRPr="00BD372F" w:rsidRDefault="00BD372F" w:rsidP="00BD372F">
            <w:pPr>
              <w:spacing w:after="0" w:line="240" w:lineRule="auto"/>
              <w:jc w:val="center"/>
              <w:rPr>
                <w:rFonts w:ascii="Times New Roman" w:hAnsi="Times New Roman"/>
                <w:sz w:val="24"/>
                <w:szCs w:val="24"/>
                <w:lang w:eastAsia="sk-SK"/>
              </w:rPr>
            </w:pPr>
            <w:r w:rsidRPr="00BD372F">
              <w:rPr>
                <w:rFonts w:ascii="Times New Roman" w:hAnsi="Times New Roman"/>
                <w:sz w:val="24"/>
                <w:szCs w:val="24"/>
                <w:lang w:eastAsia="sk-SK"/>
              </w:rPr>
              <w:t>58 968</w:t>
            </w:r>
          </w:p>
        </w:tc>
        <w:tc>
          <w:tcPr>
            <w:tcW w:w="1842" w:type="dxa"/>
            <w:gridSpan w:val="2"/>
            <w:tcBorders>
              <w:top w:val="nil"/>
              <w:left w:val="nil"/>
              <w:bottom w:val="single" w:sz="4" w:space="0" w:color="auto"/>
              <w:right w:val="single" w:sz="4" w:space="0" w:color="auto"/>
            </w:tcBorders>
            <w:noWrap/>
            <w:vAlign w:val="bottom"/>
          </w:tcPr>
          <w:p w14:paraId="6E2C381E" w14:textId="77777777"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sz w:val="24"/>
                <w:szCs w:val="24"/>
                <w:lang w:eastAsia="sk-SK"/>
              </w:rPr>
              <w:t> </w:t>
            </w:r>
          </w:p>
        </w:tc>
      </w:tr>
      <w:tr w:rsidR="00BD372F" w:rsidRPr="00BD372F" w14:paraId="471D166D" w14:textId="77777777" w:rsidTr="00154BAB">
        <w:trPr>
          <w:trHeight w:val="255"/>
        </w:trPr>
        <w:tc>
          <w:tcPr>
            <w:tcW w:w="6188" w:type="dxa"/>
            <w:tcBorders>
              <w:top w:val="nil"/>
              <w:left w:val="single" w:sz="4" w:space="0" w:color="auto"/>
              <w:bottom w:val="single" w:sz="4" w:space="0" w:color="auto"/>
              <w:right w:val="single" w:sz="4" w:space="0" w:color="auto"/>
            </w:tcBorders>
          </w:tcPr>
          <w:p w14:paraId="7350C07D" w14:textId="77777777" w:rsidR="00BD372F" w:rsidRPr="00BD372F" w:rsidRDefault="00BD372F" w:rsidP="00BD372F">
            <w:pPr>
              <w:spacing w:after="0" w:line="240" w:lineRule="auto"/>
              <w:rPr>
                <w:rFonts w:ascii="Times New Roman" w:hAnsi="Times New Roman"/>
                <w:b/>
                <w:bCs/>
                <w:sz w:val="24"/>
                <w:szCs w:val="24"/>
                <w:lang w:eastAsia="sk-SK"/>
              </w:rPr>
            </w:pPr>
            <w:r w:rsidRPr="00BD372F">
              <w:rPr>
                <w:rFonts w:ascii="Times New Roman" w:hAnsi="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14:paraId="7BF56D4C"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0</w:t>
            </w:r>
          </w:p>
        </w:tc>
        <w:tc>
          <w:tcPr>
            <w:tcW w:w="1788" w:type="dxa"/>
            <w:tcBorders>
              <w:top w:val="nil"/>
              <w:left w:val="nil"/>
              <w:bottom w:val="single" w:sz="4" w:space="0" w:color="auto"/>
              <w:right w:val="single" w:sz="4" w:space="0" w:color="auto"/>
            </w:tcBorders>
          </w:tcPr>
          <w:p w14:paraId="116F0069"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22 639</w:t>
            </w:r>
          </w:p>
        </w:tc>
        <w:tc>
          <w:tcPr>
            <w:tcW w:w="1878" w:type="dxa"/>
            <w:gridSpan w:val="2"/>
            <w:tcBorders>
              <w:top w:val="nil"/>
              <w:left w:val="nil"/>
              <w:bottom w:val="single" w:sz="4" w:space="0" w:color="auto"/>
              <w:right w:val="single" w:sz="4" w:space="0" w:color="auto"/>
            </w:tcBorders>
          </w:tcPr>
          <w:p w14:paraId="6A6F8319"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22 639</w:t>
            </w:r>
          </w:p>
        </w:tc>
        <w:tc>
          <w:tcPr>
            <w:tcW w:w="1560" w:type="dxa"/>
            <w:tcBorders>
              <w:top w:val="nil"/>
              <w:left w:val="nil"/>
              <w:bottom w:val="single" w:sz="4" w:space="0" w:color="auto"/>
              <w:right w:val="single" w:sz="4" w:space="0" w:color="auto"/>
            </w:tcBorders>
          </w:tcPr>
          <w:p w14:paraId="530556CF"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22 639</w:t>
            </w:r>
          </w:p>
        </w:tc>
        <w:tc>
          <w:tcPr>
            <w:tcW w:w="1842" w:type="dxa"/>
            <w:gridSpan w:val="2"/>
            <w:tcBorders>
              <w:top w:val="nil"/>
              <w:left w:val="nil"/>
              <w:bottom w:val="single" w:sz="4" w:space="0" w:color="auto"/>
              <w:right w:val="single" w:sz="4" w:space="0" w:color="auto"/>
            </w:tcBorders>
            <w:noWrap/>
            <w:vAlign w:val="bottom"/>
          </w:tcPr>
          <w:p w14:paraId="0EE01F4A" w14:textId="77777777" w:rsidR="00BD372F" w:rsidRPr="00BD372F" w:rsidRDefault="00BD372F" w:rsidP="00BD372F">
            <w:pPr>
              <w:spacing w:after="0" w:line="240" w:lineRule="auto"/>
              <w:rPr>
                <w:rFonts w:ascii="Times New Roman" w:hAnsi="Times New Roman"/>
                <w:b/>
                <w:bCs/>
                <w:sz w:val="24"/>
                <w:szCs w:val="24"/>
                <w:lang w:eastAsia="sk-SK"/>
              </w:rPr>
            </w:pPr>
            <w:r w:rsidRPr="00BD372F">
              <w:rPr>
                <w:rFonts w:ascii="Times New Roman" w:hAnsi="Times New Roman"/>
                <w:b/>
                <w:bCs/>
                <w:sz w:val="24"/>
                <w:szCs w:val="24"/>
                <w:lang w:eastAsia="sk-SK"/>
              </w:rPr>
              <w:t> </w:t>
            </w:r>
          </w:p>
        </w:tc>
      </w:tr>
      <w:tr w:rsidR="00BD372F" w:rsidRPr="00BD372F" w14:paraId="72EFAEEB" w14:textId="77777777" w:rsidTr="00154BAB">
        <w:trPr>
          <w:trHeight w:val="255"/>
        </w:trPr>
        <w:tc>
          <w:tcPr>
            <w:tcW w:w="6188" w:type="dxa"/>
            <w:tcBorders>
              <w:top w:val="nil"/>
              <w:left w:val="single" w:sz="4" w:space="0" w:color="auto"/>
              <w:bottom w:val="single" w:sz="4" w:space="0" w:color="auto"/>
              <w:right w:val="single" w:sz="4" w:space="0" w:color="auto"/>
            </w:tcBorders>
          </w:tcPr>
          <w:p w14:paraId="41F22472" w14:textId="77777777"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016D02E2" w14:textId="77777777" w:rsidR="00BD372F" w:rsidRPr="00BD372F" w:rsidRDefault="00BD372F" w:rsidP="00BD372F">
            <w:pPr>
              <w:spacing w:after="0" w:line="240" w:lineRule="auto"/>
              <w:jc w:val="center"/>
              <w:rPr>
                <w:rFonts w:ascii="Times New Roman" w:hAnsi="Times New Roman"/>
                <w:sz w:val="24"/>
                <w:szCs w:val="24"/>
                <w:lang w:eastAsia="sk-SK"/>
              </w:rPr>
            </w:pPr>
            <w:r w:rsidRPr="00BD372F">
              <w:rPr>
                <w:rFonts w:ascii="Times New Roman" w:hAnsi="Times New Roman"/>
                <w:sz w:val="24"/>
                <w:szCs w:val="24"/>
                <w:lang w:eastAsia="sk-SK"/>
              </w:rPr>
              <w:t>0</w:t>
            </w:r>
          </w:p>
        </w:tc>
        <w:tc>
          <w:tcPr>
            <w:tcW w:w="1788" w:type="dxa"/>
            <w:tcBorders>
              <w:top w:val="nil"/>
              <w:left w:val="nil"/>
              <w:bottom w:val="single" w:sz="4" w:space="0" w:color="auto"/>
              <w:right w:val="single" w:sz="4" w:space="0" w:color="auto"/>
            </w:tcBorders>
          </w:tcPr>
          <w:p w14:paraId="4E1446EE" w14:textId="77777777" w:rsidR="00BD372F" w:rsidRPr="00BD372F" w:rsidRDefault="00BD372F" w:rsidP="00BD372F">
            <w:pPr>
              <w:spacing w:after="0" w:line="240" w:lineRule="auto"/>
              <w:jc w:val="center"/>
              <w:rPr>
                <w:rFonts w:ascii="Times New Roman" w:hAnsi="Times New Roman"/>
                <w:sz w:val="24"/>
                <w:szCs w:val="24"/>
                <w:lang w:eastAsia="sk-SK"/>
              </w:rPr>
            </w:pPr>
            <w:r w:rsidRPr="00BD372F">
              <w:rPr>
                <w:rFonts w:ascii="Times New Roman" w:hAnsi="Times New Roman"/>
                <w:sz w:val="24"/>
                <w:szCs w:val="24"/>
                <w:lang w:eastAsia="sk-SK"/>
              </w:rPr>
              <w:t>22 639</w:t>
            </w:r>
          </w:p>
        </w:tc>
        <w:tc>
          <w:tcPr>
            <w:tcW w:w="1878" w:type="dxa"/>
            <w:gridSpan w:val="2"/>
            <w:tcBorders>
              <w:top w:val="nil"/>
              <w:left w:val="nil"/>
              <w:bottom w:val="single" w:sz="4" w:space="0" w:color="auto"/>
              <w:right w:val="single" w:sz="4" w:space="0" w:color="auto"/>
            </w:tcBorders>
          </w:tcPr>
          <w:p w14:paraId="7AF20674" w14:textId="77777777" w:rsidR="00BD372F" w:rsidRPr="00BD372F" w:rsidRDefault="00BD372F" w:rsidP="00BD372F">
            <w:pPr>
              <w:spacing w:after="0" w:line="240" w:lineRule="auto"/>
              <w:jc w:val="center"/>
              <w:rPr>
                <w:rFonts w:ascii="Times New Roman" w:hAnsi="Times New Roman"/>
                <w:sz w:val="24"/>
                <w:szCs w:val="24"/>
                <w:lang w:eastAsia="sk-SK"/>
              </w:rPr>
            </w:pPr>
            <w:r w:rsidRPr="00BD372F">
              <w:rPr>
                <w:rFonts w:ascii="Times New Roman" w:hAnsi="Times New Roman"/>
                <w:sz w:val="24"/>
                <w:szCs w:val="24"/>
                <w:lang w:eastAsia="sk-SK"/>
              </w:rPr>
              <w:t>22 639</w:t>
            </w:r>
          </w:p>
        </w:tc>
        <w:tc>
          <w:tcPr>
            <w:tcW w:w="1560" w:type="dxa"/>
            <w:tcBorders>
              <w:top w:val="nil"/>
              <w:left w:val="nil"/>
              <w:bottom w:val="single" w:sz="4" w:space="0" w:color="auto"/>
              <w:right w:val="single" w:sz="4" w:space="0" w:color="auto"/>
            </w:tcBorders>
          </w:tcPr>
          <w:p w14:paraId="31EE8E52" w14:textId="77777777" w:rsidR="00BD372F" w:rsidRPr="00BD372F" w:rsidRDefault="00BD372F" w:rsidP="00BD372F">
            <w:pPr>
              <w:spacing w:after="0" w:line="240" w:lineRule="auto"/>
              <w:jc w:val="center"/>
              <w:rPr>
                <w:rFonts w:ascii="Times New Roman" w:hAnsi="Times New Roman"/>
                <w:sz w:val="24"/>
                <w:szCs w:val="24"/>
                <w:lang w:eastAsia="sk-SK"/>
              </w:rPr>
            </w:pPr>
            <w:r w:rsidRPr="00BD372F">
              <w:rPr>
                <w:rFonts w:ascii="Times New Roman" w:hAnsi="Times New Roman"/>
                <w:sz w:val="24"/>
                <w:szCs w:val="24"/>
                <w:lang w:eastAsia="sk-SK"/>
              </w:rPr>
              <w:t>22 639</w:t>
            </w:r>
          </w:p>
        </w:tc>
        <w:tc>
          <w:tcPr>
            <w:tcW w:w="1842" w:type="dxa"/>
            <w:gridSpan w:val="2"/>
            <w:tcBorders>
              <w:top w:val="nil"/>
              <w:left w:val="nil"/>
              <w:bottom w:val="single" w:sz="4" w:space="0" w:color="auto"/>
              <w:right w:val="single" w:sz="4" w:space="0" w:color="auto"/>
            </w:tcBorders>
            <w:noWrap/>
            <w:vAlign w:val="bottom"/>
          </w:tcPr>
          <w:p w14:paraId="27D6B522" w14:textId="77777777"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sz w:val="24"/>
                <w:szCs w:val="24"/>
                <w:lang w:eastAsia="sk-SK"/>
              </w:rPr>
              <w:t> </w:t>
            </w:r>
          </w:p>
        </w:tc>
      </w:tr>
      <w:tr w:rsidR="00BD372F" w:rsidRPr="00BD372F" w14:paraId="49F278F4" w14:textId="77777777" w:rsidTr="00154BAB">
        <w:trPr>
          <w:trHeight w:val="255"/>
        </w:trPr>
        <w:tc>
          <w:tcPr>
            <w:tcW w:w="6188" w:type="dxa"/>
            <w:tcBorders>
              <w:top w:val="nil"/>
              <w:left w:val="nil"/>
              <w:bottom w:val="nil"/>
              <w:right w:val="nil"/>
            </w:tcBorders>
            <w:noWrap/>
            <w:vAlign w:val="bottom"/>
          </w:tcPr>
          <w:p w14:paraId="701657D7" w14:textId="77777777" w:rsidR="00BD372F" w:rsidRPr="00BD372F" w:rsidRDefault="00BD372F" w:rsidP="00BD372F">
            <w:pPr>
              <w:spacing w:after="0" w:line="240" w:lineRule="auto"/>
              <w:rPr>
                <w:rFonts w:ascii="Times New Roman" w:hAnsi="Times New Roman"/>
                <w:sz w:val="24"/>
                <w:szCs w:val="24"/>
                <w:lang w:eastAsia="sk-SK"/>
              </w:rPr>
            </w:pPr>
          </w:p>
        </w:tc>
        <w:tc>
          <w:tcPr>
            <w:tcW w:w="1698" w:type="dxa"/>
            <w:tcBorders>
              <w:top w:val="nil"/>
              <w:left w:val="nil"/>
              <w:bottom w:val="nil"/>
              <w:right w:val="nil"/>
            </w:tcBorders>
            <w:noWrap/>
            <w:vAlign w:val="bottom"/>
          </w:tcPr>
          <w:p w14:paraId="2434D7A8" w14:textId="77777777" w:rsidR="00BD372F" w:rsidRPr="00BD372F" w:rsidRDefault="00BD372F" w:rsidP="00BD372F">
            <w:pPr>
              <w:spacing w:after="0" w:line="240" w:lineRule="auto"/>
              <w:rPr>
                <w:rFonts w:ascii="Times New Roman" w:hAnsi="Times New Roman"/>
                <w:sz w:val="24"/>
                <w:szCs w:val="24"/>
                <w:lang w:eastAsia="sk-SK"/>
              </w:rPr>
            </w:pPr>
          </w:p>
        </w:tc>
        <w:tc>
          <w:tcPr>
            <w:tcW w:w="1788" w:type="dxa"/>
            <w:tcBorders>
              <w:top w:val="nil"/>
              <w:left w:val="nil"/>
              <w:bottom w:val="nil"/>
              <w:right w:val="nil"/>
            </w:tcBorders>
            <w:noWrap/>
            <w:vAlign w:val="bottom"/>
          </w:tcPr>
          <w:p w14:paraId="1A4207F3" w14:textId="77777777" w:rsidR="00BD372F" w:rsidRPr="00BD372F" w:rsidRDefault="00BD372F" w:rsidP="00BD372F">
            <w:pPr>
              <w:spacing w:after="0" w:line="240" w:lineRule="auto"/>
              <w:rPr>
                <w:rFonts w:ascii="Times New Roman" w:hAnsi="Times New Roman"/>
                <w:sz w:val="24"/>
                <w:szCs w:val="24"/>
                <w:lang w:eastAsia="sk-SK"/>
              </w:rPr>
            </w:pPr>
          </w:p>
        </w:tc>
        <w:tc>
          <w:tcPr>
            <w:tcW w:w="1878" w:type="dxa"/>
            <w:gridSpan w:val="2"/>
            <w:tcBorders>
              <w:top w:val="nil"/>
              <w:left w:val="nil"/>
              <w:bottom w:val="nil"/>
              <w:right w:val="nil"/>
            </w:tcBorders>
            <w:noWrap/>
            <w:vAlign w:val="bottom"/>
          </w:tcPr>
          <w:p w14:paraId="7237A66D" w14:textId="77777777" w:rsidR="00BD372F" w:rsidRPr="00BD372F" w:rsidRDefault="00BD372F" w:rsidP="00BD372F">
            <w:pPr>
              <w:spacing w:after="0" w:line="240" w:lineRule="auto"/>
              <w:rPr>
                <w:rFonts w:ascii="Times New Roman" w:hAnsi="Times New Roman"/>
                <w:sz w:val="24"/>
                <w:szCs w:val="24"/>
                <w:lang w:eastAsia="sk-SK"/>
              </w:rPr>
            </w:pPr>
          </w:p>
        </w:tc>
        <w:tc>
          <w:tcPr>
            <w:tcW w:w="1560" w:type="dxa"/>
            <w:tcBorders>
              <w:top w:val="nil"/>
              <w:left w:val="nil"/>
              <w:bottom w:val="nil"/>
              <w:right w:val="nil"/>
            </w:tcBorders>
            <w:noWrap/>
            <w:vAlign w:val="bottom"/>
          </w:tcPr>
          <w:p w14:paraId="5BF8A9CB" w14:textId="77777777" w:rsidR="00BD372F" w:rsidRPr="00BD372F" w:rsidRDefault="00BD372F" w:rsidP="00BD372F">
            <w:pPr>
              <w:spacing w:after="0" w:line="240" w:lineRule="auto"/>
              <w:rPr>
                <w:rFonts w:ascii="Times New Roman" w:hAnsi="Times New Roman"/>
                <w:sz w:val="24"/>
                <w:szCs w:val="24"/>
                <w:lang w:eastAsia="sk-SK"/>
              </w:rPr>
            </w:pPr>
          </w:p>
        </w:tc>
        <w:tc>
          <w:tcPr>
            <w:tcW w:w="1842" w:type="dxa"/>
            <w:gridSpan w:val="2"/>
            <w:tcBorders>
              <w:top w:val="nil"/>
              <w:left w:val="nil"/>
              <w:bottom w:val="nil"/>
              <w:right w:val="nil"/>
            </w:tcBorders>
            <w:noWrap/>
            <w:vAlign w:val="bottom"/>
          </w:tcPr>
          <w:p w14:paraId="6D96B6DF" w14:textId="77777777" w:rsidR="00BD372F" w:rsidRPr="00BD372F" w:rsidRDefault="00BD372F" w:rsidP="00BD372F">
            <w:pPr>
              <w:spacing w:after="0" w:line="240" w:lineRule="auto"/>
              <w:rPr>
                <w:rFonts w:ascii="Times New Roman" w:hAnsi="Times New Roman"/>
                <w:sz w:val="24"/>
                <w:szCs w:val="24"/>
                <w:lang w:eastAsia="sk-SK"/>
              </w:rPr>
            </w:pPr>
          </w:p>
        </w:tc>
      </w:tr>
      <w:tr w:rsidR="00BD372F" w:rsidRPr="00BD372F" w14:paraId="16433A07" w14:textId="77777777" w:rsidTr="00154BAB">
        <w:trPr>
          <w:trHeight w:val="255"/>
        </w:trPr>
        <w:tc>
          <w:tcPr>
            <w:tcW w:w="6188" w:type="dxa"/>
            <w:tcBorders>
              <w:top w:val="nil"/>
              <w:left w:val="nil"/>
              <w:bottom w:val="nil"/>
              <w:right w:val="nil"/>
            </w:tcBorders>
          </w:tcPr>
          <w:p w14:paraId="761710DD" w14:textId="77777777" w:rsidR="00BD372F" w:rsidRPr="00BD372F" w:rsidRDefault="00BD372F" w:rsidP="00BD372F">
            <w:pPr>
              <w:spacing w:after="0" w:line="240" w:lineRule="auto"/>
              <w:rPr>
                <w:rFonts w:ascii="Times New Roman" w:hAnsi="Times New Roman"/>
                <w:b/>
                <w:bCs/>
                <w:sz w:val="24"/>
                <w:szCs w:val="24"/>
                <w:lang w:eastAsia="sk-SK"/>
              </w:rPr>
            </w:pPr>
            <w:r w:rsidRPr="00BD372F">
              <w:rPr>
                <w:rFonts w:ascii="Times New Roman" w:hAnsi="Times New Roman"/>
                <w:b/>
                <w:bCs/>
                <w:sz w:val="24"/>
                <w:szCs w:val="24"/>
                <w:lang w:eastAsia="sk-SK"/>
              </w:rPr>
              <w:t>Poznámka:</w:t>
            </w:r>
          </w:p>
        </w:tc>
        <w:tc>
          <w:tcPr>
            <w:tcW w:w="1698" w:type="dxa"/>
            <w:tcBorders>
              <w:top w:val="nil"/>
              <w:left w:val="nil"/>
              <w:bottom w:val="nil"/>
              <w:right w:val="nil"/>
            </w:tcBorders>
            <w:noWrap/>
            <w:vAlign w:val="bottom"/>
          </w:tcPr>
          <w:p w14:paraId="6DEEE186" w14:textId="77777777" w:rsidR="00BD372F" w:rsidRPr="00BD372F" w:rsidRDefault="00BD372F" w:rsidP="00BD372F">
            <w:pPr>
              <w:spacing w:after="0" w:line="240" w:lineRule="auto"/>
              <w:rPr>
                <w:rFonts w:ascii="Times New Roman" w:hAnsi="Times New Roman"/>
                <w:sz w:val="24"/>
                <w:szCs w:val="24"/>
                <w:lang w:eastAsia="sk-SK"/>
              </w:rPr>
            </w:pPr>
          </w:p>
        </w:tc>
        <w:tc>
          <w:tcPr>
            <w:tcW w:w="1788" w:type="dxa"/>
            <w:tcBorders>
              <w:top w:val="nil"/>
              <w:left w:val="nil"/>
              <w:bottom w:val="nil"/>
              <w:right w:val="nil"/>
            </w:tcBorders>
            <w:noWrap/>
            <w:vAlign w:val="bottom"/>
          </w:tcPr>
          <w:p w14:paraId="004EB99C" w14:textId="77777777" w:rsidR="00BD372F" w:rsidRPr="00BD372F" w:rsidRDefault="00BD372F" w:rsidP="00BD372F">
            <w:pPr>
              <w:spacing w:after="0" w:line="240" w:lineRule="auto"/>
              <w:rPr>
                <w:rFonts w:ascii="Times New Roman" w:hAnsi="Times New Roman"/>
                <w:sz w:val="24"/>
                <w:szCs w:val="24"/>
                <w:lang w:eastAsia="sk-SK"/>
              </w:rPr>
            </w:pPr>
          </w:p>
        </w:tc>
        <w:tc>
          <w:tcPr>
            <w:tcW w:w="1878" w:type="dxa"/>
            <w:gridSpan w:val="2"/>
            <w:tcBorders>
              <w:top w:val="nil"/>
              <w:left w:val="nil"/>
              <w:bottom w:val="nil"/>
              <w:right w:val="nil"/>
            </w:tcBorders>
            <w:noWrap/>
            <w:vAlign w:val="bottom"/>
          </w:tcPr>
          <w:p w14:paraId="673346BF" w14:textId="77777777" w:rsidR="00BD372F" w:rsidRPr="00BD372F" w:rsidRDefault="00BD372F" w:rsidP="00BD372F">
            <w:pPr>
              <w:spacing w:after="0" w:line="240" w:lineRule="auto"/>
              <w:rPr>
                <w:rFonts w:ascii="Times New Roman" w:hAnsi="Times New Roman"/>
                <w:sz w:val="24"/>
                <w:szCs w:val="24"/>
                <w:lang w:eastAsia="sk-SK"/>
              </w:rPr>
            </w:pPr>
          </w:p>
        </w:tc>
        <w:tc>
          <w:tcPr>
            <w:tcW w:w="1560" w:type="dxa"/>
            <w:tcBorders>
              <w:top w:val="nil"/>
              <w:left w:val="nil"/>
              <w:bottom w:val="nil"/>
              <w:right w:val="nil"/>
            </w:tcBorders>
            <w:noWrap/>
            <w:vAlign w:val="bottom"/>
          </w:tcPr>
          <w:p w14:paraId="352E0C9E" w14:textId="77777777" w:rsidR="00BD372F" w:rsidRPr="00BD372F" w:rsidRDefault="00BD372F" w:rsidP="00BD372F">
            <w:pPr>
              <w:spacing w:after="0" w:line="240" w:lineRule="auto"/>
              <w:rPr>
                <w:rFonts w:ascii="Times New Roman" w:hAnsi="Times New Roman"/>
                <w:sz w:val="24"/>
                <w:szCs w:val="24"/>
                <w:lang w:eastAsia="sk-SK"/>
              </w:rPr>
            </w:pPr>
          </w:p>
        </w:tc>
        <w:tc>
          <w:tcPr>
            <w:tcW w:w="1842" w:type="dxa"/>
            <w:gridSpan w:val="2"/>
            <w:tcBorders>
              <w:top w:val="nil"/>
              <w:left w:val="nil"/>
              <w:bottom w:val="nil"/>
              <w:right w:val="nil"/>
            </w:tcBorders>
            <w:noWrap/>
            <w:vAlign w:val="bottom"/>
          </w:tcPr>
          <w:p w14:paraId="42A6DB98" w14:textId="77777777" w:rsidR="00BD372F" w:rsidRPr="00BD372F" w:rsidRDefault="00BD372F" w:rsidP="00BD372F">
            <w:pPr>
              <w:spacing w:after="0" w:line="240" w:lineRule="auto"/>
              <w:rPr>
                <w:rFonts w:ascii="Times New Roman" w:hAnsi="Times New Roman"/>
                <w:sz w:val="24"/>
                <w:szCs w:val="24"/>
                <w:lang w:eastAsia="sk-SK"/>
              </w:rPr>
            </w:pPr>
          </w:p>
        </w:tc>
      </w:tr>
      <w:tr w:rsidR="00BD372F" w:rsidRPr="00BD372F" w14:paraId="38747805" w14:textId="77777777" w:rsidTr="00154BAB">
        <w:trPr>
          <w:trHeight w:val="255"/>
        </w:trPr>
        <w:tc>
          <w:tcPr>
            <w:tcW w:w="13112" w:type="dxa"/>
            <w:gridSpan w:val="6"/>
            <w:tcBorders>
              <w:top w:val="nil"/>
              <w:left w:val="nil"/>
              <w:bottom w:val="nil"/>
              <w:right w:val="nil"/>
            </w:tcBorders>
            <w:noWrap/>
          </w:tcPr>
          <w:p w14:paraId="2C15CFEC" w14:textId="77777777" w:rsidR="00BD372F" w:rsidRPr="00BD372F" w:rsidRDefault="00BD372F" w:rsidP="00BD372F">
            <w:pPr>
              <w:spacing w:after="0" w:line="240" w:lineRule="auto"/>
              <w:jc w:val="both"/>
              <w:rPr>
                <w:rFonts w:ascii="Times New Roman" w:hAnsi="Times New Roman"/>
                <w:bCs/>
                <w:sz w:val="24"/>
                <w:szCs w:val="20"/>
                <w:lang w:eastAsia="sk-SK"/>
              </w:rPr>
            </w:pPr>
            <w:r w:rsidRPr="00BD372F">
              <w:rPr>
                <w:rFonts w:ascii="Times New Roman" w:hAnsi="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5BD65F1C" w14:textId="77777777"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sz w:val="24"/>
                <w:szCs w:val="24"/>
                <w:lang w:eastAsia="sk-SK"/>
              </w:rPr>
              <w:t>Priemerný mzdový výdavok je tvorený podielom mzdových výdavkov na jedného zamestnanca na jeden kalendárny mesiac bežného roka.</w:t>
            </w:r>
          </w:p>
        </w:tc>
        <w:tc>
          <w:tcPr>
            <w:tcW w:w="1842" w:type="dxa"/>
            <w:gridSpan w:val="2"/>
            <w:tcBorders>
              <w:top w:val="nil"/>
              <w:left w:val="nil"/>
              <w:bottom w:val="nil"/>
              <w:right w:val="nil"/>
            </w:tcBorders>
            <w:noWrap/>
            <w:vAlign w:val="bottom"/>
          </w:tcPr>
          <w:p w14:paraId="4A0B8EDC" w14:textId="77777777" w:rsidR="00BD372F" w:rsidRPr="00BD372F" w:rsidRDefault="00BD372F" w:rsidP="00BD372F">
            <w:pPr>
              <w:spacing w:after="0" w:line="240" w:lineRule="auto"/>
              <w:rPr>
                <w:rFonts w:ascii="Times New Roman" w:hAnsi="Times New Roman"/>
                <w:sz w:val="24"/>
                <w:szCs w:val="24"/>
                <w:lang w:eastAsia="sk-SK"/>
              </w:rPr>
            </w:pPr>
          </w:p>
        </w:tc>
      </w:tr>
      <w:tr w:rsidR="00BD372F" w:rsidRPr="00BD372F" w14:paraId="058BEF3C" w14:textId="77777777" w:rsidTr="00154BAB">
        <w:trPr>
          <w:trHeight w:val="255"/>
        </w:trPr>
        <w:tc>
          <w:tcPr>
            <w:tcW w:w="10394" w:type="dxa"/>
            <w:gridSpan w:val="4"/>
            <w:tcBorders>
              <w:top w:val="nil"/>
              <w:left w:val="nil"/>
              <w:bottom w:val="nil"/>
              <w:right w:val="nil"/>
            </w:tcBorders>
            <w:noWrap/>
            <w:vAlign w:val="bottom"/>
          </w:tcPr>
          <w:p w14:paraId="672D3972" w14:textId="77777777"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sz w:val="24"/>
                <w:szCs w:val="24"/>
                <w:lang w:eastAsia="sk-SK"/>
              </w:rPr>
              <w:t>Kategórie 610 a 620 sú z tejto prílohy prenášané do príslušných kategórií prílohy „výdavky“.</w:t>
            </w:r>
          </w:p>
        </w:tc>
        <w:tc>
          <w:tcPr>
            <w:tcW w:w="1158" w:type="dxa"/>
            <w:tcBorders>
              <w:top w:val="nil"/>
              <w:left w:val="nil"/>
              <w:bottom w:val="nil"/>
              <w:right w:val="nil"/>
            </w:tcBorders>
            <w:noWrap/>
            <w:vAlign w:val="bottom"/>
          </w:tcPr>
          <w:p w14:paraId="4D01BE41" w14:textId="77777777" w:rsidR="00BD372F" w:rsidRPr="00BD372F" w:rsidRDefault="00BD372F" w:rsidP="00BD372F">
            <w:pPr>
              <w:spacing w:after="0" w:line="240" w:lineRule="auto"/>
              <w:rPr>
                <w:rFonts w:ascii="Times New Roman" w:hAnsi="Times New Roman"/>
                <w:sz w:val="24"/>
                <w:szCs w:val="24"/>
                <w:lang w:eastAsia="sk-SK"/>
              </w:rPr>
            </w:pPr>
          </w:p>
        </w:tc>
        <w:tc>
          <w:tcPr>
            <w:tcW w:w="2892" w:type="dxa"/>
            <w:gridSpan w:val="2"/>
            <w:tcBorders>
              <w:top w:val="nil"/>
              <w:left w:val="nil"/>
              <w:bottom w:val="nil"/>
              <w:right w:val="nil"/>
            </w:tcBorders>
            <w:noWrap/>
            <w:vAlign w:val="bottom"/>
          </w:tcPr>
          <w:p w14:paraId="56EC9668" w14:textId="77777777" w:rsidR="00BD372F" w:rsidRPr="00BD372F" w:rsidRDefault="00BD372F" w:rsidP="00BD372F">
            <w:pPr>
              <w:spacing w:after="0" w:line="240" w:lineRule="auto"/>
              <w:rPr>
                <w:rFonts w:ascii="Times New Roman" w:hAnsi="Times New Roman"/>
                <w:sz w:val="24"/>
                <w:szCs w:val="24"/>
                <w:lang w:eastAsia="sk-SK"/>
              </w:rPr>
            </w:pPr>
          </w:p>
        </w:tc>
        <w:tc>
          <w:tcPr>
            <w:tcW w:w="510" w:type="dxa"/>
            <w:tcBorders>
              <w:top w:val="nil"/>
              <w:left w:val="nil"/>
              <w:bottom w:val="nil"/>
              <w:right w:val="nil"/>
            </w:tcBorders>
            <w:noWrap/>
            <w:vAlign w:val="bottom"/>
          </w:tcPr>
          <w:p w14:paraId="4D5308F8" w14:textId="77777777" w:rsidR="00BD372F" w:rsidRPr="00BD372F" w:rsidRDefault="00BD372F" w:rsidP="00BD372F">
            <w:pPr>
              <w:spacing w:after="0" w:line="240" w:lineRule="auto"/>
              <w:rPr>
                <w:rFonts w:ascii="Times New Roman" w:hAnsi="Times New Roman"/>
                <w:sz w:val="24"/>
                <w:szCs w:val="24"/>
                <w:lang w:eastAsia="sk-SK"/>
              </w:rPr>
            </w:pPr>
          </w:p>
        </w:tc>
      </w:tr>
    </w:tbl>
    <w:p w14:paraId="64657BCE" w14:textId="77777777" w:rsidR="00BD372F" w:rsidRPr="00BD372F" w:rsidRDefault="00BD372F" w:rsidP="00BD372F">
      <w:pPr>
        <w:spacing w:after="0" w:line="240" w:lineRule="auto"/>
        <w:rPr>
          <w:rFonts w:ascii="Times New Roman" w:hAnsi="Times New Roman"/>
          <w:b/>
          <w:bCs/>
          <w:sz w:val="24"/>
          <w:szCs w:val="24"/>
          <w:lang w:eastAsia="sk-SK"/>
        </w:rPr>
      </w:pPr>
    </w:p>
    <w:p w14:paraId="244B71B8" w14:textId="77777777" w:rsidR="00BD372F" w:rsidRPr="00BD372F" w:rsidRDefault="00BD372F" w:rsidP="00BD372F">
      <w:pPr>
        <w:spacing w:after="0"/>
        <w:jc w:val="right"/>
        <w:rPr>
          <w:rFonts w:ascii="Times New Roman" w:hAnsi="Times New Roman"/>
          <w:b/>
          <w:bCs/>
          <w:sz w:val="24"/>
          <w:szCs w:val="24"/>
          <w:lang w:eastAsia="sk-SK"/>
        </w:rPr>
      </w:pPr>
      <w:r w:rsidRPr="00BD372F">
        <w:rPr>
          <w:rFonts w:ascii="Times New Roman" w:hAnsi="Times New Roman"/>
          <w:b/>
          <w:bCs/>
          <w:sz w:val="24"/>
          <w:szCs w:val="24"/>
          <w:lang w:eastAsia="sk-SK"/>
        </w:rPr>
        <w:br w:type="page"/>
      </w:r>
      <w:r w:rsidRPr="00BD372F">
        <w:rPr>
          <w:rFonts w:ascii="Times New Roman" w:hAnsi="Times New Roman"/>
          <w:bCs/>
          <w:sz w:val="20"/>
          <w:szCs w:val="20"/>
          <w:lang w:eastAsia="sk-SK"/>
        </w:rPr>
        <w:t>Tabuľka č. 5</w:t>
      </w:r>
    </w:p>
    <w:tbl>
      <w:tblPr>
        <w:tblW w:w="14954" w:type="dxa"/>
        <w:tblInd w:w="-784" w:type="dxa"/>
        <w:tblCellMar>
          <w:left w:w="70" w:type="dxa"/>
          <w:right w:w="70" w:type="dxa"/>
        </w:tblCellMar>
        <w:tblLook w:val="0000" w:firstRow="0" w:lastRow="0" w:firstColumn="0" w:lastColumn="0" w:noHBand="0" w:noVBand="0"/>
      </w:tblPr>
      <w:tblGrid>
        <w:gridCol w:w="6188"/>
        <w:gridCol w:w="1698"/>
        <w:gridCol w:w="1788"/>
        <w:gridCol w:w="720"/>
        <w:gridCol w:w="1158"/>
        <w:gridCol w:w="1560"/>
        <w:gridCol w:w="1332"/>
        <w:gridCol w:w="510"/>
      </w:tblGrid>
      <w:tr w:rsidR="00BD372F" w:rsidRPr="00BD372F" w14:paraId="14EE2954" w14:textId="77777777" w:rsidTr="00BD372F">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7D565830"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Zamestnanosť (Finančné riaditeľstvo SR)</w:t>
            </w:r>
          </w:p>
        </w:tc>
        <w:tc>
          <w:tcPr>
            <w:tcW w:w="6924" w:type="dxa"/>
            <w:gridSpan w:val="5"/>
            <w:tcBorders>
              <w:top w:val="single" w:sz="4" w:space="0" w:color="auto"/>
              <w:left w:val="nil"/>
              <w:bottom w:val="single" w:sz="4" w:space="0" w:color="auto"/>
              <w:right w:val="single" w:sz="4" w:space="0" w:color="auto"/>
            </w:tcBorders>
            <w:shd w:val="clear" w:color="auto" w:fill="BFBFBF"/>
          </w:tcPr>
          <w:p w14:paraId="74821A0D"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Vplyv na rozpočet verejnej správy</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3E2E653A"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poznámka</w:t>
            </w:r>
          </w:p>
        </w:tc>
      </w:tr>
      <w:tr w:rsidR="00BD372F" w:rsidRPr="00BD372F" w14:paraId="1291C36E" w14:textId="77777777" w:rsidTr="00BD372F">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vAlign w:val="center"/>
          </w:tcPr>
          <w:p w14:paraId="0FB44B64" w14:textId="77777777" w:rsidR="00BD372F" w:rsidRPr="00BD372F" w:rsidRDefault="00BD372F" w:rsidP="00BD372F">
            <w:pPr>
              <w:spacing w:after="0" w:line="240" w:lineRule="auto"/>
              <w:rPr>
                <w:rFonts w:ascii="Times New Roman" w:hAnsi="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cPr>
          <w:p w14:paraId="12BD06EF"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eastAsia="Calibri" w:hAnsi="Times New Roman"/>
                <w:b/>
                <w:sz w:val="24"/>
                <w:szCs w:val="24"/>
              </w:rPr>
              <w:t>2025</w:t>
            </w:r>
          </w:p>
        </w:tc>
        <w:tc>
          <w:tcPr>
            <w:tcW w:w="1788" w:type="dxa"/>
            <w:tcBorders>
              <w:top w:val="nil"/>
              <w:left w:val="nil"/>
              <w:bottom w:val="single" w:sz="4" w:space="0" w:color="auto"/>
              <w:right w:val="single" w:sz="4" w:space="0" w:color="auto"/>
            </w:tcBorders>
            <w:shd w:val="clear" w:color="auto" w:fill="BFBFBF"/>
          </w:tcPr>
          <w:p w14:paraId="78BFBCDD"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eastAsia="Calibri" w:hAnsi="Times New Roman"/>
                <w:b/>
                <w:sz w:val="24"/>
                <w:szCs w:val="24"/>
              </w:rPr>
              <w:t>2026</w:t>
            </w:r>
          </w:p>
        </w:tc>
        <w:tc>
          <w:tcPr>
            <w:tcW w:w="1878" w:type="dxa"/>
            <w:gridSpan w:val="2"/>
            <w:tcBorders>
              <w:top w:val="nil"/>
              <w:left w:val="nil"/>
              <w:bottom w:val="single" w:sz="4" w:space="0" w:color="auto"/>
              <w:right w:val="single" w:sz="4" w:space="0" w:color="auto"/>
            </w:tcBorders>
            <w:shd w:val="clear" w:color="auto" w:fill="BFBFBF"/>
          </w:tcPr>
          <w:p w14:paraId="6EBD5368"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eastAsia="Calibri" w:hAnsi="Times New Roman"/>
                <w:b/>
                <w:sz w:val="24"/>
                <w:szCs w:val="24"/>
              </w:rPr>
              <w:t>2027</w:t>
            </w:r>
          </w:p>
        </w:tc>
        <w:tc>
          <w:tcPr>
            <w:tcW w:w="1560" w:type="dxa"/>
            <w:tcBorders>
              <w:top w:val="nil"/>
              <w:left w:val="nil"/>
              <w:bottom w:val="single" w:sz="4" w:space="0" w:color="auto"/>
              <w:right w:val="single" w:sz="4" w:space="0" w:color="auto"/>
            </w:tcBorders>
            <w:shd w:val="clear" w:color="auto" w:fill="BFBFBF"/>
          </w:tcPr>
          <w:p w14:paraId="7035B6FD"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eastAsia="Calibri" w:hAnsi="Times New Roman"/>
                <w:b/>
                <w:sz w:val="24"/>
                <w:szCs w:val="24"/>
              </w:rPr>
              <w:t>2028</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BFBFBF"/>
            <w:vAlign w:val="center"/>
          </w:tcPr>
          <w:p w14:paraId="57B9EBA3" w14:textId="77777777" w:rsidR="00BD372F" w:rsidRPr="00BD372F" w:rsidRDefault="00BD372F" w:rsidP="00BD372F">
            <w:pPr>
              <w:spacing w:after="0" w:line="240" w:lineRule="auto"/>
              <w:rPr>
                <w:rFonts w:ascii="Times New Roman" w:hAnsi="Times New Roman"/>
                <w:b/>
                <w:bCs/>
                <w:color w:val="FFFFFF"/>
                <w:sz w:val="24"/>
                <w:szCs w:val="24"/>
                <w:lang w:eastAsia="sk-SK"/>
              </w:rPr>
            </w:pPr>
          </w:p>
        </w:tc>
      </w:tr>
      <w:tr w:rsidR="00BD372F" w:rsidRPr="00BD372F" w14:paraId="110F0FFC" w14:textId="77777777" w:rsidTr="00154BAB">
        <w:trPr>
          <w:trHeight w:val="255"/>
        </w:trPr>
        <w:tc>
          <w:tcPr>
            <w:tcW w:w="6188" w:type="dxa"/>
            <w:tcBorders>
              <w:top w:val="nil"/>
              <w:left w:val="single" w:sz="4" w:space="0" w:color="auto"/>
              <w:bottom w:val="single" w:sz="4" w:space="0" w:color="auto"/>
              <w:right w:val="single" w:sz="4" w:space="0" w:color="auto"/>
            </w:tcBorders>
          </w:tcPr>
          <w:p w14:paraId="7D03060F" w14:textId="77777777" w:rsidR="00BD372F" w:rsidRPr="00BD372F" w:rsidRDefault="00BD372F" w:rsidP="00BD372F">
            <w:pPr>
              <w:spacing w:after="0" w:line="240" w:lineRule="auto"/>
              <w:rPr>
                <w:rFonts w:ascii="Times New Roman" w:hAnsi="Times New Roman"/>
                <w:b/>
                <w:bCs/>
                <w:sz w:val="24"/>
                <w:szCs w:val="24"/>
                <w:lang w:eastAsia="sk-SK"/>
              </w:rPr>
            </w:pPr>
            <w:r w:rsidRPr="00BD372F">
              <w:rPr>
                <w:rFonts w:ascii="Times New Roman" w:hAnsi="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14:paraId="780C6901"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0</w:t>
            </w:r>
          </w:p>
        </w:tc>
        <w:tc>
          <w:tcPr>
            <w:tcW w:w="1788" w:type="dxa"/>
            <w:tcBorders>
              <w:top w:val="nil"/>
              <w:left w:val="nil"/>
              <w:bottom w:val="single" w:sz="4" w:space="0" w:color="auto"/>
              <w:right w:val="single" w:sz="4" w:space="0" w:color="auto"/>
            </w:tcBorders>
          </w:tcPr>
          <w:p w14:paraId="0F253970"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-2</w:t>
            </w:r>
          </w:p>
        </w:tc>
        <w:tc>
          <w:tcPr>
            <w:tcW w:w="1878" w:type="dxa"/>
            <w:gridSpan w:val="2"/>
            <w:tcBorders>
              <w:top w:val="nil"/>
              <w:left w:val="nil"/>
              <w:bottom w:val="single" w:sz="4" w:space="0" w:color="auto"/>
              <w:right w:val="single" w:sz="4" w:space="0" w:color="auto"/>
            </w:tcBorders>
          </w:tcPr>
          <w:p w14:paraId="22192AB9"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-2</w:t>
            </w:r>
          </w:p>
        </w:tc>
        <w:tc>
          <w:tcPr>
            <w:tcW w:w="1560" w:type="dxa"/>
            <w:tcBorders>
              <w:top w:val="nil"/>
              <w:left w:val="nil"/>
              <w:bottom w:val="single" w:sz="4" w:space="0" w:color="auto"/>
              <w:right w:val="single" w:sz="4" w:space="0" w:color="auto"/>
            </w:tcBorders>
          </w:tcPr>
          <w:p w14:paraId="3A88B50D"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-2</w:t>
            </w:r>
          </w:p>
        </w:tc>
        <w:tc>
          <w:tcPr>
            <w:tcW w:w="1842" w:type="dxa"/>
            <w:gridSpan w:val="2"/>
            <w:tcBorders>
              <w:top w:val="nil"/>
              <w:left w:val="nil"/>
              <w:bottom w:val="single" w:sz="4" w:space="0" w:color="auto"/>
              <w:right w:val="single" w:sz="4" w:space="0" w:color="auto"/>
            </w:tcBorders>
            <w:noWrap/>
            <w:vAlign w:val="bottom"/>
          </w:tcPr>
          <w:p w14:paraId="29969641" w14:textId="77777777"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sz w:val="24"/>
                <w:szCs w:val="24"/>
                <w:lang w:eastAsia="sk-SK"/>
              </w:rPr>
              <w:t> </w:t>
            </w:r>
          </w:p>
        </w:tc>
      </w:tr>
      <w:tr w:rsidR="00BD372F" w:rsidRPr="00BD372F" w14:paraId="4E536C89" w14:textId="77777777" w:rsidTr="00154BAB">
        <w:trPr>
          <w:trHeight w:val="255"/>
        </w:trPr>
        <w:tc>
          <w:tcPr>
            <w:tcW w:w="6188" w:type="dxa"/>
            <w:tcBorders>
              <w:top w:val="nil"/>
              <w:left w:val="single" w:sz="4" w:space="0" w:color="auto"/>
              <w:bottom w:val="single" w:sz="4" w:space="0" w:color="auto"/>
              <w:right w:val="single" w:sz="4" w:space="0" w:color="auto"/>
            </w:tcBorders>
          </w:tcPr>
          <w:p w14:paraId="09E4FE42" w14:textId="77777777" w:rsidR="00BD372F" w:rsidRPr="00BD372F" w:rsidRDefault="00BD372F" w:rsidP="00BD372F">
            <w:pPr>
              <w:spacing w:after="0" w:line="240" w:lineRule="auto"/>
              <w:rPr>
                <w:rFonts w:ascii="Times New Roman" w:hAnsi="Times New Roman"/>
                <w:b/>
                <w:bCs/>
                <w:sz w:val="24"/>
                <w:szCs w:val="24"/>
                <w:lang w:eastAsia="sk-SK"/>
              </w:rPr>
            </w:pPr>
            <w:r w:rsidRPr="00BD372F">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30FAD6EF"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0</w:t>
            </w:r>
          </w:p>
        </w:tc>
        <w:tc>
          <w:tcPr>
            <w:tcW w:w="1788" w:type="dxa"/>
            <w:tcBorders>
              <w:top w:val="single" w:sz="4" w:space="0" w:color="auto"/>
              <w:left w:val="nil"/>
              <w:bottom w:val="single" w:sz="4" w:space="0" w:color="auto"/>
              <w:right w:val="single" w:sz="4" w:space="0" w:color="auto"/>
            </w:tcBorders>
          </w:tcPr>
          <w:p w14:paraId="22146811"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-2</w:t>
            </w:r>
          </w:p>
        </w:tc>
        <w:tc>
          <w:tcPr>
            <w:tcW w:w="1878" w:type="dxa"/>
            <w:gridSpan w:val="2"/>
            <w:tcBorders>
              <w:top w:val="single" w:sz="4" w:space="0" w:color="auto"/>
              <w:left w:val="nil"/>
              <w:bottom w:val="single" w:sz="4" w:space="0" w:color="auto"/>
              <w:right w:val="single" w:sz="4" w:space="0" w:color="auto"/>
            </w:tcBorders>
          </w:tcPr>
          <w:p w14:paraId="03E91478"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-2</w:t>
            </w:r>
          </w:p>
        </w:tc>
        <w:tc>
          <w:tcPr>
            <w:tcW w:w="1560" w:type="dxa"/>
            <w:tcBorders>
              <w:top w:val="single" w:sz="4" w:space="0" w:color="auto"/>
              <w:left w:val="nil"/>
              <w:bottom w:val="single" w:sz="4" w:space="0" w:color="auto"/>
              <w:right w:val="single" w:sz="4" w:space="0" w:color="auto"/>
            </w:tcBorders>
          </w:tcPr>
          <w:p w14:paraId="1FC2ED3A"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-2</w:t>
            </w:r>
          </w:p>
        </w:tc>
        <w:tc>
          <w:tcPr>
            <w:tcW w:w="1842" w:type="dxa"/>
            <w:gridSpan w:val="2"/>
            <w:tcBorders>
              <w:top w:val="nil"/>
              <w:left w:val="nil"/>
              <w:bottom w:val="single" w:sz="4" w:space="0" w:color="auto"/>
              <w:right w:val="single" w:sz="4" w:space="0" w:color="auto"/>
            </w:tcBorders>
            <w:noWrap/>
            <w:vAlign w:val="bottom"/>
          </w:tcPr>
          <w:p w14:paraId="1413954D" w14:textId="77777777" w:rsidR="00BD372F" w:rsidRPr="00BD372F" w:rsidRDefault="00BD372F" w:rsidP="00BD372F">
            <w:pPr>
              <w:spacing w:after="0" w:line="240" w:lineRule="auto"/>
              <w:rPr>
                <w:rFonts w:ascii="Times New Roman" w:hAnsi="Times New Roman"/>
                <w:sz w:val="24"/>
                <w:szCs w:val="24"/>
                <w:lang w:eastAsia="sk-SK"/>
              </w:rPr>
            </w:pPr>
          </w:p>
        </w:tc>
      </w:tr>
      <w:tr w:rsidR="00BD372F" w:rsidRPr="00BD372F" w14:paraId="4B903EC0" w14:textId="77777777" w:rsidTr="00154BAB">
        <w:trPr>
          <w:trHeight w:val="255"/>
        </w:trPr>
        <w:tc>
          <w:tcPr>
            <w:tcW w:w="6188" w:type="dxa"/>
            <w:tcBorders>
              <w:top w:val="nil"/>
              <w:left w:val="single" w:sz="4" w:space="0" w:color="auto"/>
              <w:bottom w:val="single" w:sz="4" w:space="0" w:color="auto"/>
              <w:right w:val="single" w:sz="4" w:space="0" w:color="auto"/>
            </w:tcBorders>
          </w:tcPr>
          <w:p w14:paraId="71779B22" w14:textId="77777777" w:rsidR="00BD372F" w:rsidRPr="00BD372F" w:rsidRDefault="00BD372F" w:rsidP="00BD372F">
            <w:pPr>
              <w:spacing w:after="0" w:line="240" w:lineRule="auto"/>
              <w:rPr>
                <w:rFonts w:ascii="Times New Roman" w:hAnsi="Times New Roman"/>
                <w:b/>
                <w:bCs/>
                <w:sz w:val="24"/>
                <w:szCs w:val="24"/>
                <w:lang w:eastAsia="sk-SK"/>
              </w:rPr>
            </w:pPr>
            <w:r w:rsidRPr="00BD372F">
              <w:rPr>
                <w:rFonts w:ascii="Times New Roman" w:hAnsi="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14:paraId="14875F9D"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0</w:t>
            </w:r>
          </w:p>
        </w:tc>
        <w:tc>
          <w:tcPr>
            <w:tcW w:w="1788" w:type="dxa"/>
            <w:tcBorders>
              <w:top w:val="single" w:sz="4" w:space="0" w:color="auto"/>
              <w:left w:val="nil"/>
              <w:bottom w:val="single" w:sz="4" w:space="0" w:color="auto"/>
              <w:right w:val="single" w:sz="4" w:space="0" w:color="auto"/>
            </w:tcBorders>
          </w:tcPr>
          <w:p w14:paraId="286BD20B"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 xml:space="preserve">-2 457 </w:t>
            </w:r>
          </w:p>
        </w:tc>
        <w:tc>
          <w:tcPr>
            <w:tcW w:w="1878" w:type="dxa"/>
            <w:gridSpan w:val="2"/>
            <w:tcBorders>
              <w:top w:val="single" w:sz="4" w:space="0" w:color="auto"/>
              <w:left w:val="nil"/>
              <w:bottom w:val="single" w:sz="4" w:space="0" w:color="auto"/>
              <w:right w:val="single" w:sz="4" w:space="0" w:color="auto"/>
            </w:tcBorders>
          </w:tcPr>
          <w:p w14:paraId="4B65B8D3"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 xml:space="preserve">-2 457 </w:t>
            </w:r>
          </w:p>
        </w:tc>
        <w:tc>
          <w:tcPr>
            <w:tcW w:w="1560" w:type="dxa"/>
            <w:tcBorders>
              <w:top w:val="single" w:sz="4" w:space="0" w:color="auto"/>
              <w:left w:val="nil"/>
              <w:bottom w:val="single" w:sz="4" w:space="0" w:color="auto"/>
              <w:right w:val="single" w:sz="4" w:space="0" w:color="auto"/>
            </w:tcBorders>
          </w:tcPr>
          <w:p w14:paraId="187065C6"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 xml:space="preserve">-2 457 </w:t>
            </w:r>
          </w:p>
        </w:tc>
        <w:tc>
          <w:tcPr>
            <w:tcW w:w="1842" w:type="dxa"/>
            <w:gridSpan w:val="2"/>
            <w:tcBorders>
              <w:top w:val="nil"/>
              <w:left w:val="nil"/>
              <w:bottom w:val="single" w:sz="4" w:space="0" w:color="auto"/>
              <w:right w:val="single" w:sz="4" w:space="0" w:color="auto"/>
            </w:tcBorders>
            <w:noWrap/>
            <w:vAlign w:val="bottom"/>
          </w:tcPr>
          <w:p w14:paraId="2AFD1EB8" w14:textId="77777777"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sz w:val="24"/>
                <w:szCs w:val="24"/>
                <w:lang w:eastAsia="sk-SK"/>
              </w:rPr>
              <w:t> </w:t>
            </w:r>
          </w:p>
        </w:tc>
      </w:tr>
      <w:tr w:rsidR="00BD372F" w:rsidRPr="00BD372F" w14:paraId="59AEF45D" w14:textId="77777777" w:rsidTr="00154BAB">
        <w:trPr>
          <w:trHeight w:val="255"/>
        </w:trPr>
        <w:tc>
          <w:tcPr>
            <w:tcW w:w="6188" w:type="dxa"/>
            <w:tcBorders>
              <w:top w:val="nil"/>
              <w:left w:val="single" w:sz="4" w:space="0" w:color="auto"/>
              <w:bottom w:val="single" w:sz="4" w:space="0" w:color="auto"/>
              <w:right w:val="single" w:sz="4" w:space="0" w:color="auto"/>
            </w:tcBorders>
          </w:tcPr>
          <w:p w14:paraId="77C437A5" w14:textId="77777777"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3D97A45C" w14:textId="77777777" w:rsidR="00BD372F" w:rsidRPr="00BD372F" w:rsidRDefault="00BD372F" w:rsidP="00BD372F">
            <w:pPr>
              <w:spacing w:after="0" w:line="240" w:lineRule="auto"/>
              <w:jc w:val="center"/>
              <w:rPr>
                <w:rFonts w:ascii="Times New Roman" w:hAnsi="Times New Roman"/>
                <w:sz w:val="24"/>
                <w:szCs w:val="24"/>
                <w:lang w:eastAsia="sk-SK"/>
              </w:rPr>
            </w:pPr>
            <w:r w:rsidRPr="00BD372F">
              <w:rPr>
                <w:rFonts w:ascii="Times New Roman" w:hAnsi="Times New Roman"/>
                <w:sz w:val="24"/>
                <w:szCs w:val="24"/>
                <w:lang w:eastAsia="sk-SK"/>
              </w:rPr>
              <w:t> 0</w:t>
            </w:r>
          </w:p>
        </w:tc>
        <w:tc>
          <w:tcPr>
            <w:tcW w:w="1788" w:type="dxa"/>
            <w:tcBorders>
              <w:top w:val="single" w:sz="4" w:space="0" w:color="auto"/>
              <w:left w:val="nil"/>
              <w:bottom w:val="single" w:sz="4" w:space="0" w:color="auto"/>
              <w:right w:val="single" w:sz="4" w:space="0" w:color="auto"/>
            </w:tcBorders>
          </w:tcPr>
          <w:p w14:paraId="7D893B27" w14:textId="77777777" w:rsidR="00BD372F" w:rsidRPr="00BD372F" w:rsidRDefault="00BD372F" w:rsidP="00BD372F">
            <w:pPr>
              <w:spacing w:after="0" w:line="240" w:lineRule="auto"/>
              <w:jc w:val="center"/>
              <w:rPr>
                <w:rFonts w:ascii="Times New Roman" w:hAnsi="Times New Roman"/>
                <w:sz w:val="24"/>
                <w:szCs w:val="24"/>
                <w:lang w:eastAsia="sk-SK"/>
              </w:rPr>
            </w:pPr>
            <w:r w:rsidRPr="00BD372F">
              <w:rPr>
                <w:rFonts w:ascii="Times New Roman" w:hAnsi="Times New Roman"/>
                <w:b/>
                <w:bCs/>
                <w:sz w:val="24"/>
                <w:szCs w:val="24"/>
                <w:lang w:eastAsia="sk-SK"/>
              </w:rPr>
              <w:t xml:space="preserve">-2 457 </w:t>
            </w:r>
          </w:p>
        </w:tc>
        <w:tc>
          <w:tcPr>
            <w:tcW w:w="1878" w:type="dxa"/>
            <w:gridSpan w:val="2"/>
            <w:tcBorders>
              <w:top w:val="single" w:sz="4" w:space="0" w:color="auto"/>
              <w:left w:val="nil"/>
              <w:bottom w:val="single" w:sz="4" w:space="0" w:color="auto"/>
              <w:right w:val="single" w:sz="4" w:space="0" w:color="auto"/>
            </w:tcBorders>
          </w:tcPr>
          <w:p w14:paraId="14AF504A" w14:textId="77777777" w:rsidR="00BD372F" w:rsidRPr="00BD372F" w:rsidRDefault="00BD372F" w:rsidP="00BD372F">
            <w:pPr>
              <w:spacing w:after="0" w:line="240" w:lineRule="auto"/>
              <w:jc w:val="center"/>
              <w:rPr>
                <w:rFonts w:ascii="Times New Roman" w:hAnsi="Times New Roman"/>
                <w:sz w:val="24"/>
                <w:szCs w:val="24"/>
                <w:lang w:eastAsia="sk-SK"/>
              </w:rPr>
            </w:pPr>
            <w:r w:rsidRPr="00BD372F">
              <w:rPr>
                <w:rFonts w:ascii="Times New Roman" w:hAnsi="Times New Roman"/>
                <w:b/>
                <w:bCs/>
                <w:sz w:val="24"/>
                <w:szCs w:val="24"/>
                <w:lang w:eastAsia="sk-SK"/>
              </w:rPr>
              <w:t xml:space="preserve">2 457 </w:t>
            </w:r>
          </w:p>
        </w:tc>
        <w:tc>
          <w:tcPr>
            <w:tcW w:w="1560" w:type="dxa"/>
            <w:tcBorders>
              <w:top w:val="single" w:sz="4" w:space="0" w:color="auto"/>
              <w:left w:val="nil"/>
              <w:bottom w:val="single" w:sz="4" w:space="0" w:color="auto"/>
              <w:right w:val="single" w:sz="4" w:space="0" w:color="auto"/>
            </w:tcBorders>
          </w:tcPr>
          <w:p w14:paraId="24A7E9F2" w14:textId="77777777" w:rsidR="00BD372F" w:rsidRPr="00BD372F" w:rsidRDefault="00BD372F" w:rsidP="00BD372F">
            <w:pPr>
              <w:spacing w:after="0" w:line="240" w:lineRule="auto"/>
              <w:jc w:val="center"/>
              <w:rPr>
                <w:rFonts w:ascii="Times New Roman" w:hAnsi="Times New Roman"/>
                <w:sz w:val="24"/>
                <w:szCs w:val="24"/>
                <w:lang w:eastAsia="sk-SK"/>
              </w:rPr>
            </w:pPr>
            <w:r w:rsidRPr="00BD372F">
              <w:rPr>
                <w:rFonts w:ascii="Times New Roman" w:hAnsi="Times New Roman"/>
                <w:b/>
                <w:bCs/>
                <w:sz w:val="24"/>
                <w:szCs w:val="24"/>
                <w:lang w:eastAsia="sk-SK"/>
              </w:rPr>
              <w:t xml:space="preserve">-2 457 </w:t>
            </w:r>
          </w:p>
        </w:tc>
        <w:tc>
          <w:tcPr>
            <w:tcW w:w="1842" w:type="dxa"/>
            <w:gridSpan w:val="2"/>
            <w:tcBorders>
              <w:top w:val="nil"/>
              <w:left w:val="nil"/>
              <w:bottom w:val="single" w:sz="4" w:space="0" w:color="auto"/>
              <w:right w:val="single" w:sz="4" w:space="0" w:color="auto"/>
            </w:tcBorders>
            <w:noWrap/>
            <w:vAlign w:val="bottom"/>
          </w:tcPr>
          <w:p w14:paraId="58C6B231" w14:textId="77777777"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sz w:val="24"/>
                <w:szCs w:val="24"/>
                <w:lang w:eastAsia="sk-SK"/>
              </w:rPr>
              <w:t> </w:t>
            </w:r>
          </w:p>
        </w:tc>
      </w:tr>
      <w:tr w:rsidR="00BD372F" w:rsidRPr="00BD372F" w14:paraId="0344B67D" w14:textId="77777777" w:rsidTr="00BD372F">
        <w:trPr>
          <w:trHeight w:val="255"/>
        </w:trPr>
        <w:tc>
          <w:tcPr>
            <w:tcW w:w="6188" w:type="dxa"/>
            <w:tcBorders>
              <w:top w:val="nil"/>
              <w:left w:val="single" w:sz="4" w:space="0" w:color="auto"/>
              <w:bottom w:val="single" w:sz="4" w:space="0" w:color="auto"/>
              <w:right w:val="single" w:sz="4" w:space="0" w:color="auto"/>
            </w:tcBorders>
            <w:shd w:val="clear" w:color="auto" w:fill="BFBFBF"/>
          </w:tcPr>
          <w:p w14:paraId="27E18993" w14:textId="77777777" w:rsidR="00BD372F" w:rsidRPr="00BD372F" w:rsidRDefault="00BD372F" w:rsidP="00BD372F">
            <w:pPr>
              <w:spacing w:after="0" w:line="240" w:lineRule="auto"/>
              <w:rPr>
                <w:rFonts w:ascii="Times New Roman" w:hAnsi="Times New Roman"/>
                <w:b/>
                <w:bCs/>
                <w:sz w:val="24"/>
                <w:szCs w:val="24"/>
                <w:lang w:eastAsia="sk-SK"/>
              </w:rPr>
            </w:pPr>
            <w:r w:rsidRPr="00BD372F">
              <w:rPr>
                <w:rFonts w:ascii="Times New Roman" w:hAnsi="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cPr>
          <w:p w14:paraId="12679490"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cPr>
          <w:p w14:paraId="2ABB08B8"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-81 607</w:t>
            </w:r>
          </w:p>
        </w:tc>
        <w:tc>
          <w:tcPr>
            <w:tcW w:w="1878" w:type="dxa"/>
            <w:gridSpan w:val="2"/>
            <w:tcBorders>
              <w:top w:val="nil"/>
              <w:left w:val="nil"/>
              <w:bottom w:val="single" w:sz="4" w:space="0" w:color="auto"/>
              <w:right w:val="single" w:sz="4" w:space="0" w:color="auto"/>
            </w:tcBorders>
            <w:shd w:val="clear" w:color="auto" w:fill="BFBFBF"/>
          </w:tcPr>
          <w:p w14:paraId="644A3B5B"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-81 607</w:t>
            </w:r>
          </w:p>
        </w:tc>
        <w:tc>
          <w:tcPr>
            <w:tcW w:w="1560" w:type="dxa"/>
            <w:tcBorders>
              <w:top w:val="nil"/>
              <w:left w:val="nil"/>
              <w:bottom w:val="single" w:sz="4" w:space="0" w:color="auto"/>
              <w:right w:val="single" w:sz="4" w:space="0" w:color="auto"/>
            </w:tcBorders>
            <w:shd w:val="clear" w:color="auto" w:fill="BFBFBF"/>
          </w:tcPr>
          <w:p w14:paraId="0ED3FAF6"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-81 607</w:t>
            </w:r>
          </w:p>
        </w:tc>
        <w:tc>
          <w:tcPr>
            <w:tcW w:w="1842" w:type="dxa"/>
            <w:gridSpan w:val="2"/>
            <w:tcBorders>
              <w:top w:val="nil"/>
              <w:left w:val="nil"/>
              <w:bottom w:val="single" w:sz="4" w:space="0" w:color="auto"/>
              <w:right w:val="single" w:sz="4" w:space="0" w:color="auto"/>
            </w:tcBorders>
            <w:shd w:val="clear" w:color="auto" w:fill="BFBFBF"/>
            <w:noWrap/>
            <w:vAlign w:val="bottom"/>
          </w:tcPr>
          <w:p w14:paraId="754F6E3B" w14:textId="77777777" w:rsidR="00BD372F" w:rsidRPr="00BD372F" w:rsidRDefault="00BD372F" w:rsidP="00BD372F">
            <w:pPr>
              <w:spacing w:after="0" w:line="240" w:lineRule="auto"/>
              <w:rPr>
                <w:rFonts w:ascii="Times New Roman" w:hAnsi="Times New Roman"/>
                <w:b/>
                <w:bCs/>
                <w:sz w:val="20"/>
                <w:szCs w:val="20"/>
                <w:lang w:eastAsia="sk-SK"/>
              </w:rPr>
            </w:pPr>
            <w:r w:rsidRPr="00BD372F">
              <w:rPr>
                <w:rFonts w:ascii="Times New Roman" w:hAnsi="Times New Roman"/>
                <w:bCs/>
                <w:sz w:val="20"/>
                <w:szCs w:val="20"/>
                <w:lang w:eastAsia="sk-SK"/>
              </w:rPr>
              <w:t>zníženie výdavkov o ročné mzdové výdavky za 2 zamestnancov vrátane odvodov</w:t>
            </w:r>
          </w:p>
        </w:tc>
      </w:tr>
      <w:tr w:rsidR="00BD372F" w:rsidRPr="00BD372F" w14:paraId="1C4B3D80" w14:textId="77777777" w:rsidTr="00154BAB">
        <w:trPr>
          <w:trHeight w:val="255"/>
        </w:trPr>
        <w:tc>
          <w:tcPr>
            <w:tcW w:w="6188" w:type="dxa"/>
            <w:tcBorders>
              <w:top w:val="nil"/>
              <w:left w:val="single" w:sz="4" w:space="0" w:color="auto"/>
              <w:bottom w:val="single" w:sz="4" w:space="0" w:color="auto"/>
              <w:right w:val="single" w:sz="4" w:space="0" w:color="auto"/>
            </w:tcBorders>
          </w:tcPr>
          <w:p w14:paraId="7E197FFF" w14:textId="77777777" w:rsidR="00BD372F" w:rsidRPr="00BD372F" w:rsidRDefault="00BD372F" w:rsidP="00BD372F">
            <w:pPr>
              <w:spacing w:after="0" w:line="240" w:lineRule="auto"/>
              <w:rPr>
                <w:rFonts w:ascii="Times New Roman" w:hAnsi="Times New Roman"/>
                <w:b/>
                <w:bCs/>
                <w:sz w:val="24"/>
                <w:szCs w:val="24"/>
                <w:lang w:eastAsia="sk-SK"/>
              </w:rPr>
            </w:pPr>
            <w:r w:rsidRPr="00BD372F">
              <w:rPr>
                <w:rFonts w:ascii="Times New Roman" w:hAnsi="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14:paraId="33504862"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0</w:t>
            </w:r>
          </w:p>
        </w:tc>
        <w:tc>
          <w:tcPr>
            <w:tcW w:w="1788" w:type="dxa"/>
            <w:tcBorders>
              <w:top w:val="nil"/>
              <w:left w:val="nil"/>
              <w:bottom w:val="single" w:sz="4" w:space="0" w:color="auto"/>
              <w:right w:val="single" w:sz="4" w:space="0" w:color="auto"/>
            </w:tcBorders>
          </w:tcPr>
          <w:p w14:paraId="29F5B3FD"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-58 968</w:t>
            </w:r>
          </w:p>
        </w:tc>
        <w:tc>
          <w:tcPr>
            <w:tcW w:w="1878" w:type="dxa"/>
            <w:gridSpan w:val="2"/>
            <w:tcBorders>
              <w:top w:val="nil"/>
              <w:left w:val="nil"/>
              <w:bottom w:val="single" w:sz="4" w:space="0" w:color="auto"/>
              <w:right w:val="single" w:sz="4" w:space="0" w:color="auto"/>
            </w:tcBorders>
          </w:tcPr>
          <w:p w14:paraId="5206C953"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-58 968</w:t>
            </w:r>
          </w:p>
        </w:tc>
        <w:tc>
          <w:tcPr>
            <w:tcW w:w="1560" w:type="dxa"/>
            <w:tcBorders>
              <w:top w:val="nil"/>
              <w:left w:val="nil"/>
              <w:bottom w:val="single" w:sz="4" w:space="0" w:color="auto"/>
              <w:right w:val="single" w:sz="4" w:space="0" w:color="auto"/>
            </w:tcBorders>
          </w:tcPr>
          <w:p w14:paraId="69665BE0"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-58 968</w:t>
            </w:r>
          </w:p>
        </w:tc>
        <w:tc>
          <w:tcPr>
            <w:tcW w:w="1842" w:type="dxa"/>
            <w:gridSpan w:val="2"/>
            <w:tcBorders>
              <w:top w:val="nil"/>
              <w:left w:val="nil"/>
              <w:bottom w:val="single" w:sz="4" w:space="0" w:color="auto"/>
              <w:right w:val="single" w:sz="4" w:space="0" w:color="auto"/>
            </w:tcBorders>
            <w:noWrap/>
            <w:vAlign w:val="bottom"/>
          </w:tcPr>
          <w:p w14:paraId="16DFA1B4" w14:textId="77777777" w:rsidR="00BD372F" w:rsidRPr="00BD372F" w:rsidRDefault="00BD372F" w:rsidP="00BD372F">
            <w:pPr>
              <w:spacing w:after="0" w:line="240" w:lineRule="auto"/>
              <w:rPr>
                <w:rFonts w:ascii="Times New Roman" w:hAnsi="Times New Roman"/>
                <w:b/>
                <w:bCs/>
                <w:sz w:val="24"/>
                <w:szCs w:val="24"/>
                <w:lang w:eastAsia="sk-SK"/>
              </w:rPr>
            </w:pPr>
            <w:r w:rsidRPr="00BD372F">
              <w:rPr>
                <w:rFonts w:ascii="Times New Roman" w:hAnsi="Times New Roman"/>
                <w:b/>
                <w:bCs/>
                <w:sz w:val="24"/>
                <w:szCs w:val="24"/>
                <w:lang w:eastAsia="sk-SK"/>
              </w:rPr>
              <w:t> </w:t>
            </w:r>
          </w:p>
        </w:tc>
      </w:tr>
      <w:tr w:rsidR="00BD372F" w:rsidRPr="00BD372F" w14:paraId="33A9B8E0" w14:textId="77777777" w:rsidTr="00154BAB">
        <w:trPr>
          <w:trHeight w:val="255"/>
        </w:trPr>
        <w:tc>
          <w:tcPr>
            <w:tcW w:w="6188" w:type="dxa"/>
            <w:tcBorders>
              <w:top w:val="nil"/>
              <w:left w:val="single" w:sz="4" w:space="0" w:color="auto"/>
              <w:bottom w:val="single" w:sz="4" w:space="0" w:color="auto"/>
              <w:right w:val="single" w:sz="4" w:space="0" w:color="auto"/>
            </w:tcBorders>
          </w:tcPr>
          <w:p w14:paraId="0D831971" w14:textId="77777777"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7973B187" w14:textId="77777777" w:rsidR="00BD372F" w:rsidRPr="00BD372F" w:rsidRDefault="00BD372F" w:rsidP="00BD372F">
            <w:pPr>
              <w:spacing w:after="0" w:line="240" w:lineRule="auto"/>
              <w:jc w:val="center"/>
              <w:rPr>
                <w:rFonts w:ascii="Times New Roman" w:hAnsi="Times New Roman"/>
                <w:sz w:val="24"/>
                <w:szCs w:val="24"/>
                <w:lang w:eastAsia="sk-SK"/>
              </w:rPr>
            </w:pPr>
            <w:r w:rsidRPr="00BD372F">
              <w:rPr>
                <w:rFonts w:ascii="Times New Roman" w:hAnsi="Times New Roman"/>
                <w:sz w:val="24"/>
                <w:szCs w:val="24"/>
                <w:lang w:eastAsia="sk-SK"/>
              </w:rPr>
              <w:t>0</w:t>
            </w:r>
          </w:p>
        </w:tc>
        <w:tc>
          <w:tcPr>
            <w:tcW w:w="1788" w:type="dxa"/>
            <w:tcBorders>
              <w:top w:val="nil"/>
              <w:left w:val="nil"/>
              <w:bottom w:val="single" w:sz="4" w:space="0" w:color="auto"/>
              <w:right w:val="single" w:sz="4" w:space="0" w:color="auto"/>
            </w:tcBorders>
          </w:tcPr>
          <w:p w14:paraId="666E920F" w14:textId="77777777" w:rsidR="00BD372F" w:rsidRPr="00BD372F" w:rsidRDefault="00BD372F" w:rsidP="00BD372F">
            <w:pPr>
              <w:spacing w:after="0" w:line="240" w:lineRule="auto"/>
              <w:jc w:val="center"/>
              <w:rPr>
                <w:rFonts w:ascii="Times New Roman" w:hAnsi="Times New Roman"/>
                <w:sz w:val="24"/>
                <w:szCs w:val="24"/>
                <w:lang w:eastAsia="sk-SK"/>
              </w:rPr>
            </w:pPr>
            <w:r w:rsidRPr="00BD372F">
              <w:rPr>
                <w:rFonts w:ascii="Times New Roman" w:hAnsi="Times New Roman"/>
                <w:sz w:val="24"/>
                <w:szCs w:val="24"/>
                <w:lang w:eastAsia="sk-SK"/>
              </w:rPr>
              <w:t>-58 968</w:t>
            </w:r>
          </w:p>
        </w:tc>
        <w:tc>
          <w:tcPr>
            <w:tcW w:w="1878" w:type="dxa"/>
            <w:gridSpan w:val="2"/>
            <w:tcBorders>
              <w:top w:val="nil"/>
              <w:left w:val="nil"/>
              <w:bottom w:val="single" w:sz="4" w:space="0" w:color="auto"/>
              <w:right w:val="single" w:sz="4" w:space="0" w:color="auto"/>
            </w:tcBorders>
          </w:tcPr>
          <w:p w14:paraId="3AE639C4" w14:textId="77777777" w:rsidR="00BD372F" w:rsidRPr="00BD372F" w:rsidRDefault="00BD372F" w:rsidP="00BD372F">
            <w:pPr>
              <w:spacing w:after="0" w:line="240" w:lineRule="auto"/>
              <w:jc w:val="center"/>
              <w:rPr>
                <w:rFonts w:ascii="Times New Roman" w:hAnsi="Times New Roman"/>
                <w:sz w:val="24"/>
                <w:szCs w:val="24"/>
                <w:lang w:eastAsia="sk-SK"/>
              </w:rPr>
            </w:pPr>
            <w:r w:rsidRPr="00BD372F">
              <w:rPr>
                <w:rFonts w:ascii="Times New Roman" w:hAnsi="Times New Roman"/>
                <w:sz w:val="24"/>
                <w:szCs w:val="24"/>
                <w:lang w:eastAsia="sk-SK"/>
              </w:rPr>
              <w:t>-58 968</w:t>
            </w:r>
          </w:p>
        </w:tc>
        <w:tc>
          <w:tcPr>
            <w:tcW w:w="1560" w:type="dxa"/>
            <w:tcBorders>
              <w:top w:val="nil"/>
              <w:left w:val="nil"/>
              <w:bottom w:val="single" w:sz="4" w:space="0" w:color="auto"/>
              <w:right w:val="single" w:sz="4" w:space="0" w:color="auto"/>
            </w:tcBorders>
          </w:tcPr>
          <w:p w14:paraId="2D42F8C2" w14:textId="77777777" w:rsidR="00BD372F" w:rsidRPr="00BD372F" w:rsidRDefault="00BD372F" w:rsidP="00BD372F">
            <w:pPr>
              <w:spacing w:after="0" w:line="240" w:lineRule="auto"/>
              <w:jc w:val="center"/>
              <w:rPr>
                <w:rFonts w:ascii="Times New Roman" w:hAnsi="Times New Roman"/>
                <w:sz w:val="24"/>
                <w:szCs w:val="24"/>
                <w:lang w:eastAsia="sk-SK"/>
              </w:rPr>
            </w:pPr>
            <w:r w:rsidRPr="00BD372F">
              <w:rPr>
                <w:rFonts w:ascii="Times New Roman" w:hAnsi="Times New Roman"/>
                <w:sz w:val="24"/>
                <w:szCs w:val="24"/>
                <w:lang w:eastAsia="sk-SK"/>
              </w:rPr>
              <w:t>-58 968</w:t>
            </w:r>
          </w:p>
        </w:tc>
        <w:tc>
          <w:tcPr>
            <w:tcW w:w="1842" w:type="dxa"/>
            <w:gridSpan w:val="2"/>
            <w:tcBorders>
              <w:top w:val="nil"/>
              <w:left w:val="nil"/>
              <w:bottom w:val="single" w:sz="4" w:space="0" w:color="auto"/>
              <w:right w:val="single" w:sz="4" w:space="0" w:color="auto"/>
            </w:tcBorders>
            <w:noWrap/>
            <w:vAlign w:val="bottom"/>
          </w:tcPr>
          <w:p w14:paraId="7D4DFB2C" w14:textId="77777777"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sz w:val="24"/>
                <w:szCs w:val="24"/>
                <w:lang w:eastAsia="sk-SK"/>
              </w:rPr>
              <w:t> </w:t>
            </w:r>
          </w:p>
        </w:tc>
      </w:tr>
      <w:tr w:rsidR="00BD372F" w:rsidRPr="00BD372F" w14:paraId="42A3502E" w14:textId="77777777" w:rsidTr="00154BAB">
        <w:trPr>
          <w:trHeight w:val="255"/>
        </w:trPr>
        <w:tc>
          <w:tcPr>
            <w:tcW w:w="6188" w:type="dxa"/>
            <w:tcBorders>
              <w:top w:val="nil"/>
              <w:left w:val="single" w:sz="4" w:space="0" w:color="auto"/>
              <w:bottom w:val="single" w:sz="4" w:space="0" w:color="auto"/>
              <w:right w:val="single" w:sz="4" w:space="0" w:color="auto"/>
            </w:tcBorders>
          </w:tcPr>
          <w:p w14:paraId="112646D0" w14:textId="77777777" w:rsidR="00BD372F" w:rsidRPr="00BD372F" w:rsidRDefault="00BD372F" w:rsidP="00BD372F">
            <w:pPr>
              <w:spacing w:after="0" w:line="240" w:lineRule="auto"/>
              <w:rPr>
                <w:rFonts w:ascii="Times New Roman" w:hAnsi="Times New Roman"/>
                <w:b/>
                <w:bCs/>
                <w:sz w:val="24"/>
                <w:szCs w:val="24"/>
                <w:lang w:eastAsia="sk-SK"/>
              </w:rPr>
            </w:pPr>
            <w:r w:rsidRPr="00BD372F">
              <w:rPr>
                <w:rFonts w:ascii="Times New Roman" w:hAnsi="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14:paraId="04776073"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0</w:t>
            </w:r>
          </w:p>
        </w:tc>
        <w:tc>
          <w:tcPr>
            <w:tcW w:w="1788" w:type="dxa"/>
            <w:tcBorders>
              <w:top w:val="nil"/>
              <w:left w:val="nil"/>
              <w:bottom w:val="single" w:sz="4" w:space="0" w:color="auto"/>
              <w:right w:val="single" w:sz="4" w:space="0" w:color="auto"/>
            </w:tcBorders>
          </w:tcPr>
          <w:p w14:paraId="72BBC8CE"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-22 639</w:t>
            </w:r>
          </w:p>
        </w:tc>
        <w:tc>
          <w:tcPr>
            <w:tcW w:w="1878" w:type="dxa"/>
            <w:gridSpan w:val="2"/>
            <w:tcBorders>
              <w:top w:val="nil"/>
              <w:left w:val="nil"/>
              <w:bottom w:val="single" w:sz="4" w:space="0" w:color="auto"/>
              <w:right w:val="single" w:sz="4" w:space="0" w:color="auto"/>
            </w:tcBorders>
          </w:tcPr>
          <w:p w14:paraId="29138D69"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-22 639</w:t>
            </w:r>
          </w:p>
        </w:tc>
        <w:tc>
          <w:tcPr>
            <w:tcW w:w="1560" w:type="dxa"/>
            <w:tcBorders>
              <w:top w:val="nil"/>
              <w:left w:val="nil"/>
              <w:bottom w:val="single" w:sz="4" w:space="0" w:color="auto"/>
              <w:right w:val="single" w:sz="4" w:space="0" w:color="auto"/>
            </w:tcBorders>
          </w:tcPr>
          <w:p w14:paraId="6E24B14F" w14:textId="77777777" w:rsidR="00BD372F" w:rsidRPr="00BD372F" w:rsidRDefault="00BD372F" w:rsidP="00BD372F">
            <w:pPr>
              <w:spacing w:after="0" w:line="240" w:lineRule="auto"/>
              <w:jc w:val="center"/>
              <w:rPr>
                <w:rFonts w:ascii="Times New Roman" w:hAnsi="Times New Roman"/>
                <w:b/>
                <w:bCs/>
                <w:sz w:val="24"/>
                <w:szCs w:val="24"/>
                <w:lang w:eastAsia="sk-SK"/>
              </w:rPr>
            </w:pPr>
            <w:r w:rsidRPr="00BD372F">
              <w:rPr>
                <w:rFonts w:ascii="Times New Roman" w:hAnsi="Times New Roman"/>
                <w:b/>
                <w:bCs/>
                <w:sz w:val="24"/>
                <w:szCs w:val="24"/>
                <w:lang w:eastAsia="sk-SK"/>
              </w:rPr>
              <w:t>-22 639</w:t>
            </w:r>
          </w:p>
        </w:tc>
        <w:tc>
          <w:tcPr>
            <w:tcW w:w="1842" w:type="dxa"/>
            <w:gridSpan w:val="2"/>
            <w:tcBorders>
              <w:top w:val="nil"/>
              <w:left w:val="nil"/>
              <w:bottom w:val="single" w:sz="4" w:space="0" w:color="auto"/>
              <w:right w:val="single" w:sz="4" w:space="0" w:color="auto"/>
            </w:tcBorders>
            <w:noWrap/>
            <w:vAlign w:val="bottom"/>
          </w:tcPr>
          <w:p w14:paraId="10B31E6F" w14:textId="77777777" w:rsidR="00BD372F" w:rsidRPr="00BD372F" w:rsidRDefault="00BD372F" w:rsidP="00BD372F">
            <w:pPr>
              <w:spacing w:after="0" w:line="240" w:lineRule="auto"/>
              <w:rPr>
                <w:rFonts w:ascii="Times New Roman" w:hAnsi="Times New Roman"/>
                <w:b/>
                <w:bCs/>
                <w:sz w:val="24"/>
                <w:szCs w:val="24"/>
                <w:lang w:eastAsia="sk-SK"/>
              </w:rPr>
            </w:pPr>
            <w:r w:rsidRPr="00BD372F">
              <w:rPr>
                <w:rFonts w:ascii="Times New Roman" w:hAnsi="Times New Roman"/>
                <w:b/>
                <w:bCs/>
                <w:sz w:val="24"/>
                <w:szCs w:val="24"/>
                <w:lang w:eastAsia="sk-SK"/>
              </w:rPr>
              <w:t> </w:t>
            </w:r>
          </w:p>
        </w:tc>
      </w:tr>
      <w:tr w:rsidR="00BD372F" w:rsidRPr="00BD372F" w14:paraId="2CF0134F" w14:textId="77777777" w:rsidTr="00154BAB">
        <w:trPr>
          <w:trHeight w:val="255"/>
        </w:trPr>
        <w:tc>
          <w:tcPr>
            <w:tcW w:w="6188" w:type="dxa"/>
            <w:tcBorders>
              <w:top w:val="nil"/>
              <w:left w:val="single" w:sz="4" w:space="0" w:color="auto"/>
              <w:bottom w:val="single" w:sz="4" w:space="0" w:color="auto"/>
              <w:right w:val="single" w:sz="4" w:space="0" w:color="auto"/>
            </w:tcBorders>
          </w:tcPr>
          <w:p w14:paraId="0E47D5F9" w14:textId="77777777"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74E85C17" w14:textId="77777777" w:rsidR="00BD372F" w:rsidRPr="00BD372F" w:rsidRDefault="00BD372F" w:rsidP="00BD372F">
            <w:pPr>
              <w:spacing w:after="0" w:line="240" w:lineRule="auto"/>
              <w:jc w:val="center"/>
              <w:rPr>
                <w:rFonts w:ascii="Times New Roman" w:hAnsi="Times New Roman"/>
                <w:sz w:val="24"/>
                <w:szCs w:val="24"/>
                <w:lang w:eastAsia="sk-SK"/>
              </w:rPr>
            </w:pPr>
            <w:r w:rsidRPr="00BD372F">
              <w:rPr>
                <w:rFonts w:ascii="Times New Roman" w:hAnsi="Times New Roman"/>
                <w:sz w:val="24"/>
                <w:szCs w:val="24"/>
                <w:lang w:eastAsia="sk-SK"/>
              </w:rPr>
              <w:t>0</w:t>
            </w:r>
          </w:p>
        </w:tc>
        <w:tc>
          <w:tcPr>
            <w:tcW w:w="1788" w:type="dxa"/>
            <w:tcBorders>
              <w:top w:val="nil"/>
              <w:left w:val="nil"/>
              <w:bottom w:val="single" w:sz="4" w:space="0" w:color="auto"/>
              <w:right w:val="single" w:sz="4" w:space="0" w:color="auto"/>
            </w:tcBorders>
          </w:tcPr>
          <w:p w14:paraId="1121C5C2" w14:textId="77777777" w:rsidR="00BD372F" w:rsidRPr="00BD372F" w:rsidRDefault="00BD372F" w:rsidP="00BD372F">
            <w:pPr>
              <w:spacing w:after="0" w:line="240" w:lineRule="auto"/>
              <w:jc w:val="center"/>
              <w:rPr>
                <w:rFonts w:ascii="Times New Roman" w:hAnsi="Times New Roman"/>
                <w:sz w:val="24"/>
                <w:szCs w:val="24"/>
                <w:lang w:eastAsia="sk-SK"/>
              </w:rPr>
            </w:pPr>
            <w:r w:rsidRPr="00BD372F">
              <w:rPr>
                <w:rFonts w:ascii="Times New Roman" w:hAnsi="Times New Roman"/>
                <w:sz w:val="24"/>
                <w:szCs w:val="24"/>
                <w:lang w:eastAsia="sk-SK"/>
              </w:rPr>
              <w:t>-22 639</w:t>
            </w:r>
          </w:p>
        </w:tc>
        <w:tc>
          <w:tcPr>
            <w:tcW w:w="1878" w:type="dxa"/>
            <w:gridSpan w:val="2"/>
            <w:tcBorders>
              <w:top w:val="nil"/>
              <w:left w:val="nil"/>
              <w:bottom w:val="single" w:sz="4" w:space="0" w:color="auto"/>
              <w:right w:val="single" w:sz="4" w:space="0" w:color="auto"/>
            </w:tcBorders>
          </w:tcPr>
          <w:p w14:paraId="57AC706D" w14:textId="77777777" w:rsidR="00BD372F" w:rsidRPr="00BD372F" w:rsidRDefault="00BD372F" w:rsidP="00BD372F">
            <w:pPr>
              <w:spacing w:after="0" w:line="240" w:lineRule="auto"/>
              <w:jc w:val="center"/>
              <w:rPr>
                <w:rFonts w:ascii="Times New Roman" w:hAnsi="Times New Roman"/>
                <w:sz w:val="24"/>
                <w:szCs w:val="24"/>
                <w:lang w:eastAsia="sk-SK"/>
              </w:rPr>
            </w:pPr>
            <w:r w:rsidRPr="00BD372F">
              <w:rPr>
                <w:rFonts w:ascii="Times New Roman" w:hAnsi="Times New Roman"/>
                <w:sz w:val="24"/>
                <w:szCs w:val="24"/>
                <w:lang w:eastAsia="sk-SK"/>
              </w:rPr>
              <w:t>-22 639</w:t>
            </w:r>
          </w:p>
        </w:tc>
        <w:tc>
          <w:tcPr>
            <w:tcW w:w="1560" w:type="dxa"/>
            <w:tcBorders>
              <w:top w:val="nil"/>
              <w:left w:val="nil"/>
              <w:bottom w:val="single" w:sz="4" w:space="0" w:color="auto"/>
              <w:right w:val="single" w:sz="4" w:space="0" w:color="auto"/>
            </w:tcBorders>
          </w:tcPr>
          <w:p w14:paraId="0D61F458" w14:textId="77777777" w:rsidR="00BD372F" w:rsidRPr="00BD372F" w:rsidRDefault="00BD372F" w:rsidP="00BD372F">
            <w:pPr>
              <w:spacing w:after="0" w:line="240" w:lineRule="auto"/>
              <w:jc w:val="center"/>
              <w:rPr>
                <w:rFonts w:ascii="Times New Roman" w:hAnsi="Times New Roman"/>
                <w:sz w:val="24"/>
                <w:szCs w:val="24"/>
                <w:lang w:eastAsia="sk-SK"/>
              </w:rPr>
            </w:pPr>
            <w:r w:rsidRPr="00BD372F">
              <w:rPr>
                <w:rFonts w:ascii="Times New Roman" w:hAnsi="Times New Roman"/>
                <w:sz w:val="24"/>
                <w:szCs w:val="24"/>
                <w:lang w:eastAsia="sk-SK"/>
              </w:rPr>
              <w:t>-22 639</w:t>
            </w:r>
          </w:p>
        </w:tc>
        <w:tc>
          <w:tcPr>
            <w:tcW w:w="1842" w:type="dxa"/>
            <w:gridSpan w:val="2"/>
            <w:tcBorders>
              <w:top w:val="nil"/>
              <w:left w:val="nil"/>
              <w:bottom w:val="single" w:sz="4" w:space="0" w:color="auto"/>
              <w:right w:val="single" w:sz="4" w:space="0" w:color="auto"/>
            </w:tcBorders>
            <w:noWrap/>
            <w:vAlign w:val="bottom"/>
          </w:tcPr>
          <w:p w14:paraId="01E79948" w14:textId="77777777"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sz w:val="24"/>
                <w:szCs w:val="24"/>
                <w:lang w:eastAsia="sk-SK"/>
              </w:rPr>
              <w:t> </w:t>
            </w:r>
          </w:p>
        </w:tc>
      </w:tr>
      <w:tr w:rsidR="00BD372F" w:rsidRPr="00BD372F" w14:paraId="58910347" w14:textId="77777777" w:rsidTr="00154BAB">
        <w:trPr>
          <w:trHeight w:val="255"/>
        </w:trPr>
        <w:tc>
          <w:tcPr>
            <w:tcW w:w="6188" w:type="dxa"/>
            <w:tcBorders>
              <w:top w:val="nil"/>
              <w:left w:val="nil"/>
              <w:bottom w:val="nil"/>
              <w:right w:val="nil"/>
            </w:tcBorders>
            <w:noWrap/>
            <w:vAlign w:val="bottom"/>
          </w:tcPr>
          <w:p w14:paraId="1121815D" w14:textId="77777777" w:rsidR="00BD372F" w:rsidRPr="00BD372F" w:rsidRDefault="00BD372F" w:rsidP="00BD372F">
            <w:pPr>
              <w:spacing w:after="0" w:line="240" w:lineRule="auto"/>
              <w:rPr>
                <w:rFonts w:ascii="Times New Roman" w:hAnsi="Times New Roman"/>
                <w:sz w:val="24"/>
                <w:szCs w:val="24"/>
                <w:lang w:eastAsia="sk-SK"/>
              </w:rPr>
            </w:pPr>
          </w:p>
        </w:tc>
        <w:tc>
          <w:tcPr>
            <w:tcW w:w="1698" w:type="dxa"/>
            <w:tcBorders>
              <w:top w:val="nil"/>
              <w:left w:val="nil"/>
              <w:bottom w:val="nil"/>
              <w:right w:val="nil"/>
            </w:tcBorders>
            <w:noWrap/>
            <w:vAlign w:val="bottom"/>
          </w:tcPr>
          <w:p w14:paraId="4D6C9816" w14:textId="77777777" w:rsidR="00BD372F" w:rsidRPr="00BD372F" w:rsidRDefault="00BD372F" w:rsidP="00BD372F">
            <w:pPr>
              <w:spacing w:after="0" w:line="240" w:lineRule="auto"/>
              <w:rPr>
                <w:rFonts w:ascii="Times New Roman" w:hAnsi="Times New Roman"/>
                <w:sz w:val="24"/>
                <w:szCs w:val="24"/>
                <w:lang w:eastAsia="sk-SK"/>
              </w:rPr>
            </w:pPr>
          </w:p>
        </w:tc>
        <w:tc>
          <w:tcPr>
            <w:tcW w:w="1788" w:type="dxa"/>
            <w:tcBorders>
              <w:top w:val="nil"/>
              <w:left w:val="nil"/>
              <w:bottom w:val="nil"/>
              <w:right w:val="nil"/>
            </w:tcBorders>
            <w:noWrap/>
            <w:vAlign w:val="bottom"/>
          </w:tcPr>
          <w:p w14:paraId="5A1372E3" w14:textId="77777777" w:rsidR="00BD372F" w:rsidRPr="00BD372F" w:rsidRDefault="00BD372F" w:rsidP="00BD372F">
            <w:pPr>
              <w:spacing w:after="0" w:line="240" w:lineRule="auto"/>
              <w:rPr>
                <w:rFonts w:ascii="Times New Roman" w:hAnsi="Times New Roman"/>
                <w:sz w:val="24"/>
                <w:szCs w:val="24"/>
                <w:lang w:eastAsia="sk-SK"/>
              </w:rPr>
            </w:pPr>
          </w:p>
        </w:tc>
        <w:tc>
          <w:tcPr>
            <w:tcW w:w="1878" w:type="dxa"/>
            <w:gridSpan w:val="2"/>
            <w:tcBorders>
              <w:top w:val="nil"/>
              <w:left w:val="nil"/>
              <w:bottom w:val="nil"/>
              <w:right w:val="nil"/>
            </w:tcBorders>
            <w:noWrap/>
            <w:vAlign w:val="bottom"/>
          </w:tcPr>
          <w:p w14:paraId="372B41B6" w14:textId="77777777" w:rsidR="00BD372F" w:rsidRPr="00BD372F" w:rsidRDefault="00BD372F" w:rsidP="00BD372F">
            <w:pPr>
              <w:spacing w:after="0" w:line="240" w:lineRule="auto"/>
              <w:rPr>
                <w:rFonts w:ascii="Times New Roman" w:hAnsi="Times New Roman"/>
                <w:sz w:val="24"/>
                <w:szCs w:val="24"/>
                <w:lang w:eastAsia="sk-SK"/>
              </w:rPr>
            </w:pPr>
          </w:p>
        </w:tc>
        <w:tc>
          <w:tcPr>
            <w:tcW w:w="1560" w:type="dxa"/>
            <w:tcBorders>
              <w:top w:val="nil"/>
              <w:left w:val="nil"/>
              <w:bottom w:val="nil"/>
              <w:right w:val="nil"/>
            </w:tcBorders>
            <w:noWrap/>
            <w:vAlign w:val="bottom"/>
          </w:tcPr>
          <w:p w14:paraId="1184B564" w14:textId="77777777" w:rsidR="00BD372F" w:rsidRPr="00BD372F" w:rsidRDefault="00BD372F" w:rsidP="00BD372F">
            <w:pPr>
              <w:spacing w:after="0" w:line="240" w:lineRule="auto"/>
              <w:rPr>
                <w:rFonts w:ascii="Times New Roman" w:hAnsi="Times New Roman"/>
                <w:sz w:val="24"/>
                <w:szCs w:val="24"/>
                <w:lang w:eastAsia="sk-SK"/>
              </w:rPr>
            </w:pPr>
          </w:p>
        </w:tc>
        <w:tc>
          <w:tcPr>
            <w:tcW w:w="1842" w:type="dxa"/>
            <w:gridSpan w:val="2"/>
            <w:tcBorders>
              <w:top w:val="nil"/>
              <w:left w:val="nil"/>
              <w:bottom w:val="nil"/>
              <w:right w:val="nil"/>
            </w:tcBorders>
            <w:noWrap/>
            <w:vAlign w:val="bottom"/>
          </w:tcPr>
          <w:p w14:paraId="2B2F81BD" w14:textId="77777777" w:rsidR="00BD372F" w:rsidRPr="00BD372F" w:rsidRDefault="00BD372F" w:rsidP="00BD372F">
            <w:pPr>
              <w:spacing w:after="0" w:line="240" w:lineRule="auto"/>
              <w:rPr>
                <w:rFonts w:ascii="Times New Roman" w:hAnsi="Times New Roman"/>
                <w:sz w:val="24"/>
                <w:szCs w:val="24"/>
                <w:lang w:eastAsia="sk-SK"/>
              </w:rPr>
            </w:pPr>
          </w:p>
        </w:tc>
      </w:tr>
      <w:tr w:rsidR="00BD372F" w:rsidRPr="00BD372F" w14:paraId="49AF644A" w14:textId="77777777" w:rsidTr="00154BAB">
        <w:trPr>
          <w:trHeight w:val="255"/>
        </w:trPr>
        <w:tc>
          <w:tcPr>
            <w:tcW w:w="6188" w:type="dxa"/>
            <w:tcBorders>
              <w:top w:val="nil"/>
              <w:left w:val="nil"/>
              <w:bottom w:val="nil"/>
              <w:right w:val="nil"/>
            </w:tcBorders>
          </w:tcPr>
          <w:p w14:paraId="4E37AFE8" w14:textId="77777777" w:rsidR="00BD372F" w:rsidRPr="00BD372F" w:rsidRDefault="00BD372F" w:rsidP="00BD372F">
            <w:pPr>
              <w:spacing w:after="0" w:line="240" w:lineRule="auto"/>
              <w:rPr>
                <w:rFonts w:ascii="Times New Roman" w:hAnsi="Times New Roman"/>
                <w:b/>
                <w:bCs/>
                <w:sz w:val="24"/>
                <w:szCs w:val="24"/>
                <w:lang w:eastAsia="sk-SK"/>
              </w:rPr>
            </w:pPr>
            <w:r w:rsidRPr="00BD372F">
              <w:rPr>
                <w:rFonts w:ascii="Times New Roman" w:hAnsi="Times New Roman"/>
                <w:b/>
                <w:bCs/>
                <w:sz w:val="24"/>
                <w:szCs w:val="24"/>
                <w:lang w:eastAsia="sk-SK"/>
              </w:rPr>
              <w:t>Poznámka:</w:t>
            </w:r>
          </w:p>
        </w:tc>
        <w:tc>
          <w:tcPr>
            <w:tcW w:w="1698" w:type="dxa"/>
            <w:tcBorders>
              <w:top w:val="nil"/>
              <w:left w:val="nil"/>
              <w:bottom w:val="nil"/>
              <w:right w:val="nil"/>
            </w:tcBorders>
            <w:noWrap/>
            <w:vAlign w:val="bottom"/>
          </w:tcPr>
          <w:p w14:paraId="49642D73" w14:textId="77777777" w:rsidR="00BD372F" w:rsidRPr="00BD372F" w:rsidRDefault="00BD372F" w:rsidP="00BD372F">
            <w:pPr>
              <w:spacing w:after="0" w:line="240" w:lineRule="auto"/>
              <w:rPr>
                <w:rFonts w:ascii="Times New Roman" w:hAnsi="Times New Roman"/>
                <w:sz w:val="24"/>
                <w:szCs w:val="24"/>
                <w:lang w:eastAsia="sk-SK"/>
              </w:rPr>
            </w:pPr>
          </w:p>
        </w:tc>
        <w:tc>
          <w:tcPr>
            <w:tcW w:w="1788" w:type="dxa"/>
            <w:tcBorders>
              <w:top w:val="nil"/>
              <w:left w:val="nil"/>
              <w:bottom w:val="nil"/>
              <w:right w:val="nil"/>
            </w:tcBorders>
            <w:noWrap/>
            <w:vAlign w:val="bottom"/>
          </w:tcPr>
          <w:p w14:paraId="23306A46" w14:textId="77777777" w:rsidR="00BD372F" w:rsidRPr="00BD372F" w:rsidRDefault="00BD372F" w:rsidP="00BD372F">
            <w:pPr>
              <w:spacing w:after="0" w:line="240" w:lineRule="auto"/>
              <w:rPr>
                <w:rFonts w:ascii="Times New Roman" w:hAnsi="Times New Roman"/>
                <w:sz w:val="24"/>
                <w:szCs w:val="24"/>
                <w:lang w:eastAsia="sk-SK"/>
              </w:rPr>
            </w:pPr>
          </w:p>
        </w:tc>
        <w:tc>
          <w:tcPr>
            <w:tcW w:w="1878" w:type="dxa"/>
            <w:gridSpan w:val="2"/>
            <w:tcBorders>
              <w:top w:val="nil"/>
              <w:left w:val="nil"/>
              <w:bottom w:val="nil"/>
              <w:right w:val="nil"/>
            </w:tcBorders>
            <w:noWrap/>
            <w:vAlign w:val="bottom"/>
          </w:tcPr>
          <w:p w14:paraId="1369BC93" w14:textId="77777777" w:rsidR="00BD372F" w:rsidRPr="00BD372F" w:rsidRDefault="00BD372F" w:rsidP="00BD372F">
            <w:pPr>
              <w:spacing w:after="0" w:line="240" w:lineRule="auto"/>
              <w:rPr>
                <w:rFonts w:ascii="Times New Roman" w:hAnsi="Times New Roman"/>
                <w:sz w:val="24"/>
                <w:szCs w:val="24"/>
                <w:lang w:eastAsia="sk-SK"/>
              </w:rPr>
            </w:pPr>
          </w:p>
        </w:tc>
        <w:tc>
          <w:tcPr>
            <w:tcW w:w="1560" w:type="dxa"/>
            <w:tcBorders>
              <w:top w:val="nil"/>
              <w:left w:val="nil"/>
              <w:bottom w:val="nil"/>
              <w:right w:val="nil"/>
            </w:tcBorders>
            <w:noWrap/>
            <w:vAlign w:val="bottom"/>
          </w:tcPr>
          <w:p w14:paraId="5A740F45" w14:textId="77777777" w:rsidR="00BD372F" w:rsidRPr="00BD372F" w:rsidRDefault="00BD372F" w:rsidP="00BD372F">
            <w:pPr>
              <w:spacing w:after="0" w:line="240" w:lineRule="auto"/>
              <w:rPr>
                <w:rFonts w:ascii="Times New Roman" w:hAnsi="Times New Roman"/>
                <w:sz w:val="24"/>
                <w:szCs w:val="24"/>
                <w:lang w:eastAsia="sk-SK"/>
              </w:rPr>
            </w:pPr>
          </w:p>
        </w:tc>
        <w:tc>
          <w:tcPr>
            <w:tcW w:w="1842" w:type="dxa"/>
            <w:gridSpan w:val="2"/>
            <w:tcBorders>
              <w:top w:val="nil"/>
              <w:left w:val="nil"/>
              <w:bottom w:val="nil"/>
              <w:right w:val="nil"/>
            </w:tcBorders>
            <w:noWrap/>
            <w:vAlign w:val="bottom"/>
          </w:tcPr>
          <w:p w14:paraId="317AA8ED" w14:textId="77777777" w:rsidR="00BD372F" w:rsidRPr="00BD372F" w:rsidRDefault="00BD372F" w:rsidP="00BD372F">
            <w:pPr>
              <w:spacing w:after="0" w:line="240" w:lineRule="auto"/>
              <w:rPr>
                <w:rFonts w:ascii="Times New Roman" w:hAnsi="Times New Roman"/>
                <w:sz w:val="24"/>
                <w:szCs w:val="24"/>
                <w:lang w:eastAsia="sk-SK"/>
              </w:rPr>
            </w:pPr>
          </w:p>
        </w:tc>
      </w:tr>
      <w:tr w:rsidR="00BD372F" w:rsidRPr="00BD372F" w14:paraId="7EB795AA" w14:textId="77777777" w:rsidTr="00154BAB">
        <w:trPr>
          <w:trHeight w:val="255"/>
        </w:trPr>
        <w:tc>
          <w:tcPr>
            <w:tcW w:w="13112" w:type="dxa"/>
            <w:gridSpan w:val="6"/>
            <w:tcBorders>
              <w:top w:val="nil"/>
              <w:left w:val="nil"/>
              <w:bottom w:val="nil"/>
              <w:right w:val="nil"/>
            </w:tcBorders>
            <w:noWrap/>
          </w:tcPr>
          <w:p w14:paraId="68A73CB4" w14:textId="77777777" w:rsidR="00BD372F" w:rsidRPr="00BD372F" w:rsidRDefault="00BD372F" w:rsidP="00BD372F">
            <w:pPr>
              <w:spacing w:after="0" w:line="240" w:lineRule="auto"/>
              <w:jc w:val="both"/>
              <w:rPr>
                <w:rFonts w:ascii="Times New Roman" w:hAnsi="Times New Roman"/>
                <w:bCs/>
                <w:sz w:val="24"/>
                <w:szCs w:val="20"/>
                <w:lang w:eastAsia="sk-SK"/>
              </w:rPr>
            </w:pPr>
            <w:r w:rsidRPr="00BD372F">
              <w:rPr>
                <w:rFonts w:ascii="Times New Roman" w:hAnsi="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72D0ACB7" w14:textId="77777777"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sz w:val="24"/>
                <w:szCs w:val="24"/>
                <w:lang w:eastAsia="sk-SK"/>
              </w:rPr>
              <w:t>Priemerný mzdový výdavok je tvorený podielom mzdových výdavkov na jedného zamestnanca na jeden kalendárny mesiac bežného roka.</w:t>
            </w:r>
          </w:p>
        </w:tc>
        <w:tc>
          <w:tcPr>
            <w:tcW w:w="1842" w:type="dxa"/>
            <w:gridSpan w:val="2"/>
            <w:tcBorders>
              <w:top w:val="nil"/>
              <w:left w:val="nil"/>
              <w:bottom w:val="nil"/>
              <w:right w:val="nil"/>
            </w:tcBorders>
            <w:noWrap/>
            <w:vAlign w:val="bottom"/>
          </w:tcPr>
          <w:p w14:paraId="4A7ED4D4" w14:textId="77777777" w:rsidR="00BD372F" w:rsidRPr="00BD372F" w:rsidRDefault="00BD372F" w:rsidP="00BD372F">
            <w:pPr>
              <w:spacing w:after="0" w:line="240" w:lineRule="auto"/>
              <w:rPr>
                <w:rFonts w:ascii="Times New Roman" w:hAnsi="Times New Roman"/>
                <w:sz w:val="24"/>
                <w:szCs w:val="24"/>
                <w:lang w:eastAsia="sk-SK"/>
              </w:rPr>
            </w:pPr>
          </w:p>
        </w:tc>
      </w:tr>
      <w:tr w:rsidR="00BD372F" w:rsidRPr="00BD372F" w14:paraId="151B2EA0" w14:textId="77777777" w:rsidTr="00154BAB">
        <w:trPr>
          <w:trHeight w:val="255"/>
        </w:trPr>
        <w:tc>
          <w:tcPr>
            <w:tcW w:w="10394" w:type="dxa"/>
            <w:gridSpan w:val="4"/>
            <w:tcBorders>
              <w:top w:val="nil"/>
              <w:left w:val="nil"/>
              <w:bottom w:val="nil"/>
              <w:right w:val="nil"/>
            </w:tcBorders>
            <w:noWrap/>
            <w:vAlign w:val="bottom"/>
          </w:tcPr>
          <w:p w14:paraId="63F593FD" w14:textId="77777777" w:rsidR="00BD372F" w:rsidRPr="00BD372F" w:rsidRDefault="00BD372F" w:rsidP="00BD372F">
            <w:pPr>
              <w:spacing w:after="0" w:line="240" w:lineRule="auto"/>
              <w:rPr>
                <w:rFonts w:ascii="Times New Roman" w:hAnsi="Times New Roman"/>
                <w:sz w:val="24"/>
                <w:szCs w:val="24"/>
                <w:lang w:eastAsia="sk-SK"/>
              </w:rPr>
            </w:pPr>
            <w:r w:rsidRPr="00BD372F">
              <w:rPr>
                <w:rFonts w:ascii="Times New Roman" w:hAnsi="Times New Roman"/>
                <w:sz w:val="24"/>
                <w:szCs w:val="24"/>
                <w:lang w:eastAsia="sk-SK"/>
              </w:rPr>
              <w:t>Kategórie 610 a 620 sú z tejto prílohy prenášané do príslušných kategórií prílohy „výdavky“.</w:t>
            </w:r>
          </w:p>
        </w:tc>
        <w:tc>
          <w:tcPr>
            <w:tcW w:w="1158" w:type="dxa"/>
            <w:tcBorders>
              <w:top w:val="nil"/>
              <w:left w:val="nil"/>
              <w:bottom w:val="nil"/>
              <w:right w:val="nil"/>
            </w:tcBorders>
            <w:noWrap/>
            <w:vAlign w:val="bottom"/>
          </w:tcPr>
          <w:p w14:paraId="5F3B4D37" w14:textId="77777777" w:rsidR="00BD372F" w:rsidRPr="00BD372F" w:rsidRDefault="00BD372F" w:rsidP="00BD372F">
            <w:pPr>
              <w:spacing w:after="0" w:line="240" w:lineRule="auto"/>
              <w:rPr>
                <w:rFonts w:ascii="Times New Roman" w:hAnsi="Times New Roman"/>
                <w:sz w:val="24"/>
                <w:szCs w:val="24"/>
                <w:lang w:eastAsia="sk-SK"/>
              </w:rPr>
            </w:pPr>
          </w:p>
        </w:tc>
        <w:tc>
          <w:tcPr>
            <w:tcW w:w="2892" w:type="dxa"/>
            <w:gridSpan w:val="2"/>
            <w:tcBorders>
              <w:top w:val="nil"/>
              <w:left w:val="nil"/>
              <w:bottom w:val="nil"/>
              <w:right w:val="nil"/>
            </w:tcBorders>
            <w:noWrap/>
            <w:vAlign w:val="bottom"/>
          </w:tcPr>
          <w:p w14:paraId="010E1DF0" w14:textId="77777777" w:rsidR="00BD372F" w:rsidRPr="00BD372F" w:rsidRDefault="00BD372F" w:rsidP="00BD372F">
            <w:pPr>
              <w:spacing w:after="0" w:line="240" w:lineRule="auto"/>
              <w:rPr>
                <w:rFonts w:ascii="Times New Roman" w:hAnsi="Times New Roman"/>
                <w:sz w:val="24"/>
                <w:szCs w:val="24"/>
                <w:lang w:eastAsia="sk-SK"/>
              </w:rPr>
            </w:pPr>
          </w:p>
        </w:tc>
        <w:tc>
          <w:tcPr>
            <w:tcW w:w="510" w:type="dxa"/>
            <w:tcBorders>
              <w:top w:val="nil"/>
              <w:left w:val="nil"/>
              <w:bottom w:val="nil"/>
              <w:right w:val="nil"/>
            </w:tcBorders>
            <w:noWrap/>
            <w:vAlign w:val="bottom"/>
          </w:tcPr>
          <w:p w14:paraId="159F2355" w14:textId="77777777" w:rsidR="00BD372F" w:rsidRPr="00BD372F" w:rsidRDefault="00BD372F" w:rsidP="00BD372F">
            <w:pPr>
              <w:spacing w:after="0" w:line="240" w:lineRule="auto"/>
              <w:rPr>
                <w:rFonts w:ascii="Times New Roman" w:hAnsi="Times New Roman"/>
                <w:sz w:val="24"/>
                <w:szCs w:val="24"/>
                <w:lang w:eastAsia="sk-SK"/>
              </w:rPr>
            </w:pPr>
          </w:p>
        </w:tc>
      </w:tr>
    </w:tbl>
    <w:p w14:paraId="4ED87EB0" w14:textId="77777777" w:rsidR="00BD372F" w:rsidRPr="00BD372F" w:rsidRDefault="00BD372F" w:rsidP="00BD372F">
      <w:pPr>
        <w:spacing w:after="0" w:line="240" w:lineRule="auto"/>
        <w:rPr>
          <w:rFonts w:ascii="Times New Roman" w:hAnsi="Times New Roman"/>
          <w:b/>
          <w:bCs/>
          <w:sz w:val="24"/>
          <w:szCs w:val="24"/>
          <w:lang w:eastAsia="sk-SK"/>
        </w:rPr>
      </w:pPr>
    </w:p>
    <w:p w14:paraId="6280FDDD" w14:textId="77777777" w:rsidR="00BD372F" w:rsidRPr="00BD372F" w:rsidRDefault="00BD372F" w:rsidP="00BD372F">
      <w:pPr>
        <w:spacing w:after="0" w:line="240" w:lineRule="auto"/>
        <w:rPr>
          <w:rFonts w:ascii="Times New Roman" w:hAnsi="Times New Roman"/>
          <w:b/>
          <w:bCs/>
          <w:sz w:val="24"/>
          <w:szCs w:val="24"/>
          <w:lang w:eastAsia="sk-SK"/>
        </w:rPr>
      </w:pPr>
    </w:p>
    <w:p w14:paraId="0997FA3B" w14:textId="77777777" w:rsidR="00BD372F" w:rsidRPr="00BD372F" w:rsidRDefault="00BD372F" w:rsidP="00BD372F">
      <w:pPr>
        <w:spacing w:after="0" w:line="240" w:lineRule="auto"/>
        <w:rPr>
          <w:rFonts w:ascii="Times New Roman" w:hAnsi="Times New Roman"/>
          <w:b/>
          <w:bCs/>
          <w:sz w:val="24"/>
          <w:szCs w:val="24"/>
          <w:lang w:eastAsia="sk-SK"/>
        </w:rPr>
      </w:pPr>
    </w:p>
    <w:p w14:paraId="26674EF9" w14:textId="77777777" w:rsidR="00BD372F" w:rsidRPr="00BD372F" w:rsidRDefault="00BD372F" w:rsidP="00BD372F">
      <w:pPr>
        <w:spacing w:after="0" w:line="240" w:lineRule="auto"/>
        <w:rPr>
          <w:rFonts w:ascii="Times New Roman" w:hAnsi="Times New Roman"/>
          <w:b/>
          <w:bCs/>
          <w:sz w:val="24"/>
          <w:szCs w:val="24"/>
          <w:lang w:eastAsia="sk-SK"/>
        </w:rPr>
      </w:pPr>
    </w:p>
    <w:p w14:paraId="644D805E" w14:textId="77777777" w:rsidR="00BD372F" w:rsidRPr="00BD372F" w:rsidRDefault="00BD372F" w:rsidP="00BD372F">
      <w:pPr>
        <w:rPr>
          <w:rFonts w:ascii="Times New Roman" w:hAnsi="Times New Roman"/>
          <w:b/>
          <w:bCs/>
          <w:sz w:val="24"/>
          <w:szCs w:val="24"/>
          <w:lang w:eastAsia="sk-SK"/>
        </w:rPr>
      </w:pPr>
    </w:p>
    <w:p w14:paraId="0C429528" w14:textId="77777777" w:rsidR="00BD372F" w:rsidRPr="00BD372F" w:rsidRDefault="00BD372F" w:rsidP="00BD372F">
      <w:pPr>
        <w:rPr>
          <w:rFonts w:ascii="Times New Roman" w:hAnsi="Times New Roman"/>
          <w:b/>
          <w:bCs/>
          <w:sz w:val="24"/>
          <w:szCs w:val="24"/>
          <w:lang w:eastAsia="sk-SK"/>
        </w:rPr>
      </w:pPr>
    </w:p>
    <w:p w14:paraId="7160CE6F" w14:textId="77777777" w:rsidR="00BD372F" w:rsidRPr="00BD372F" w:rsidRDefault="00BD372F" w:rsidP="00BD372F">
      <w:pPr>
        <w:spacing w:after="0" w:line="240" w:lineRule="auto"/>
        <w:rPr>
          <w:rFonts w:ascii="Times New Roman" w:hAnsi="Times New Roman"/>
          <w:b/>
          <w:bCs/>
          <w:sz w:val="24"/>
          <w:szCs w:val="24"/>
          <w:lang w:eastAsia="sk-SK"/>
        </w:rPr>
      </w:pPr>
      <w:r w:rsidRPr="00BD372F">
        <w:rPr>
          <w:rFonts w:ascii="Times New Roman" w:hAnsi="Times New Roman"/>
          <w:b/>
          <w:bCs/>
          <w:sz w:val="24"/>
          <w:szCs w:val="24"/>
          <w:lang w:eastAsia="sk-SK"/>
        </w:rPr>
        <w:t xml:space="preserve">                                                                </w:t>
      </w:r>
    </w:p>
    <w:p w14:paraId="29DC6D4A" w14:textId="77777777" w:rsidR="00BD372F" w:rsidRPr="00BD372F" w:rsidRDefault="00BD372F" w:rsidP="00BD372F">
      <w:pPr>
        <w:spacing w:after="0" w:line="240" w:lineRule="auto"/>
        <w:jc w:val="both"/>
        <w:rPr>
          <w:rFonts w:ascii="Times New Roman" w:hAnsi="Times New Roman"/>
          <w:b/>
          <w:sz w:val="24"/>
          <w:szCs w:val="24"/>
          <w:lang w:eastAsia="sk-SK"/>
        </w:rPr>
      </w:pPr>
      <w:r w:rsidRPr="00BD372F">
        <w:rPr>
          <w:rFonts w:ascii="Times New Roman" w:hAnsi="Times New Roman"/>
          <w:b/>
          <w:sz w:val="24"/>
          <w:szCs w:val="24"/>
          <w:lang w:eastAsia="sk-SK"/>
        </w:rPr>
        <w:t xml:space="preserve">2.2.5. Výpočet vplyvov na dlhodobú udržateľnosť verejných financií </w:t>
      </w:r>
    </w:p>
    <w:p w14:paraId="08597831" w14:textId="77777777" w:rsidR="00BD372F" w:rsidRPr="00BD372F" w:rsidRDefault="00BD372F" w:rsidP="00BD372F">
      <w:pPr>
        <w:spacing w:after="0" w:line="240" w:lineRule="auto"/>
        <w:jc w:val="both"/>
        <w:rPr>
          <w:rFonts w:ascii="Times New Roman" w:hAnsi="Times New Roman"/>
          <w:sz w:val="24"/>
          <w:szCs w:val="24"/>
          <w:lang w:eastAsia="sk-SK"/>
        </w:rPr>
      </w:pPr>
    </w:p>
    <w:p w14:paraId="6B64AE24" w14:textId="77777777" w:rsidR="00BD372F" w:rsidRPr="00BD372F" w:rsidRDefault="00BD372F" w:rsidP="00BD372F">
      <w:pPr>
        <w:spacing w:after="0" w:line="240" w:lineRule="auto"/>
        <w:jc w:val="both"/>
        <w:rPr>
          <w:rFonts w:ascii="Times New Roman" w:hAnsi="Times New Roman"/>
          <w:sz w:val="24"/>
          <w:szCs w:val="24"/>
          <w:lang w:eastAsia="sk-SK"/>
        </w:rPr>
      </w:pPr>
      <w:r w:rsidRPr="00BD372F">
        <w:rPr>
          <w:rFonts w:ascii="Times New Roman" w:hAnsi="Times New Roman"/>
          <w:sz w:val="24"/>
          <w:szCs w:val="24"/>
          <w:lang w:eastAsia="sk-SK"/>
        </w:rPr>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14:paraId="107979B7" w14:textId="77777777" w:rsidR="00BD372F" w:rsidRPr="00BD372F" w:rsidRDefault="00BD372F" w:rsidP="00BD372F">
      <w:pPr>
        <w:spacing w:after="0" w:line="240" w:lineRule="auto"/>
        <w:jc w:val="both"/>
        <w:rPr>
          <w:rFonts w:ascii="Times New Roman" w:hAnsi="Times New Roman"/>
          <w:sz w:val="24"/>
          <w:szCs w:val="24"/>
          <w:lang w:eastAsia="sk-SK"/>
        </w:rPr>
      </w:pPr>
    </w:p>
    <w:p w14:paraId="1F3F24D8" w14:textId="77777777" w:rsidR="00BD372F" w:rsidRPr="00BD372F" w:rsidRDefault="00BD372F" w:rsidP="00BD372F">
      <w:pPr>
        <w:spacing w:after="0" w:line="240" w:lineRule="auto"/>
        <w:jc w:val="both"/>
        <w:rPr>
          <w:rFonts w:ascii="Times New Roman" w:hAnsi="Times New Roman"/>
          <w:sz w:val="24"/>
          <w:szCs w:val="24"/>
          <w:lang w:eastAsia="sk-SK"/>
        </w:rPr>
      </w:pPr>
      <w:r w:rsidRPr="00BD372F">
        <w:rPr>
          <w:rFonts w:ascii="Times New Roman" w:hAnsi="Times New Roman"/>
          <w:sz w:val="24"/>
          <w:szCs w:val="24"/>
          <w:lang w:eastAsia="sk-SK"/>
        </w:rPr>
        <w:t xml:space="preserve">                                                                                                                                </w:t>
      </w:r>
      <w:r w:rsidRPr="00BD372F">
        <w:rPr>
          <w:rFonts w:ascii="Times New Roman" w:hAnsi="Times New Roman"/>
          <w:sz w:val="24"/>
          <w:szCs w:val="24"/>
          <w:lang w:eastAsia="sk-SK"/>
        </w:rPr>
        <w:tab/>
      </w:r>
      <w:r w:rsidRPr="00BD372F">
        <w:rPr>
          <w:rFonts w:ascii="Times New Roman" w:hAnsi="Times New Roman"/>
          <w:sz w:val="24"/>
          <w:szCs w:val="24"/>
          <w:lang w:eastAsia="sk-SK"/>
        </w:rPr>
        <w:tab/>
      </w:r>
      <w:r w:rsidRPr="00BD372F">
        <w:rPr>
          <w:rFonts w:ascii="Times New Roman" w:hAnsi="Times New Roman"/>
          <w:sz w:val="24"/>
          <w:szCs w:val="24"/>
          <w:lang w:eastAsia="sk-SK"/>
        </w:rPr>
        <w:tab/>
      </w:r>
      <w:r w:rsidRPr="00BD372F">
        <w:rPr>
          <w:rFonts w:ascii="Times New Roman" w:hAnsi="Times New Roman"/>
          <w:sz w:val="24"/>
          <w:szCs w:val="24"/>
          <w:lang w:eastAsia="sk-SK"/>
        </w:rPr>
        <w:tab/>
      </w:r>
      <w:r w:rsidRPr="00BD372F">
        <w:rPr>
          <w:rFonts w:ascii="Times New Roman" w:hAnsi="Times New Roman"/>
          <w:sz w:val="24"/>
          <w:szCs w:val="24"/>
          <w:lang w:eastAsia="sk-SK"/>
        </w:rPr>
        <w:tab/>
      </w:r>
      <w:r w:rsidRPr="00BD372F">
        <w:rPr>
          <w:rFonts w:ascii="Times New Roman" w:hAnsi="Times New Roman"/>
          <w:sz w:val="24"/>
          <w:szCs w:val="24"/>
          <w:lang w:eastAsia="sk-SK"/>
        </w:rPr>
        <w:tab/>
      </w:r>
      <w:r w:rsidRPr="00BD372F">
        <w:rPr>
          <w:rFonts w:ascii="Times New Roman" w:hAnsi="Times New Roman"/>
          <w:sz w:val="24"/>
          <w:szCs w:val="24"/>
          <w:lang w:eastAsia="sk-SK"/>
        </w:rPr>
        <w:tab/>
      </w:r>
      <w:r w:rsidRPr="00BD372F">
        <w:rPr>
          <w:rFonts w:ascii="Times New Roman" w:hAnsi="Times New Roman"/>
          <w:sz w:val="24"/>
          <w:szCs w:val="24"/>
          <w:lang w:eastAsia="sk-SK"/>
        </w:rPr>
        <w:tab/>
      </w:r>
    </w:p>
    <w:p w14:paraId="54753142" w14:textId="77777777" w:rsidR="00BD372F" w:rsidRPr="00BD372F" w:rsidRDefault="00BD372F" w:rsidP="00BD372F">
      <w:pPr>
        <w:spacing w:after="0" w:line="240" w:lineRule="auto"/>
        <w:jc w:val="both"/>
        <w:rPr>
          <w:rFonts w:ascii="Times New Roman" w:hAnsi="Times New Roman"/>
          <w:sz w:val="20"/>
          <w:szCs w:val="20"/>
          <w:lang w:eastAsia="sk-SK"/>
        </w:rPr>
      </w:pPr>
      <w:r w:rsidRPr="00BD372F">
        <w:rPr>
          <w:rFonts w:ascii="Times New Roman" w:hAnsi="Times New Roman"/>
          <w:sz w:val="20"/>
          <w:szCs w:val="20"/>
          <w:lang w:eastAsia="sk-SK"/>
        </w:rPr>
        <w:t xml:space="preserve">                                                                                                                                                                                                                                                                Tabuľka č. 6</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BD372F" w:rsidRPr="00BD372F" w14:paraId="065BAFFE" w14:textId="77777777" w:rsidTr="00BD372F">
        <w:trPr>
          <w:trHeight w:val="284"/>
        </w:trPr>
        <w:tc>
          <w:tcPr>
            <w:tcW w:w="2943" w:type="dxa"/>
            <w:vMerge w:val="restart"/>
            <w:shd w:val="clear" w:color="auto" w:fill="BFBFBF"/>
            <w:vAlign w:val="center"/>
          </w:tcPr>
          <w:p w14:paraId="2EEF930F" w14:textId="77777777" w:rsidR="00BD372F" w:rsidRPr="00BD372F" w:rsidRDefault="00BD372F" w:rsidP="00BD372F">
            <w:pPr>
              <w:widowControl w:val="0"/>
              <w:overflowPunct w:val="0"/>
              <w:autoSpaceDE w:val="0"/>
              <w:autoSpaceDN w:val="0"/>
              <w:adjustRightInd w:val="0"/>
              <w:spacing w:after="0" w:line="240" w:lineRule="auto"/>
              <w:jc w:val="center"/>
              <w:textAlignment w:val="baseline"/>
              <w:rPr>
                <w:rFonts w:ascii="Times New Roman" w:hAnsi="Times New Roman"/>
                <w:b/>
                <w:sz w:val="24"/>
                <w:szCs w:val="24"/>
                <w:lang w:eastAsia="sk-SK"/>
              </w:rPr>
            </w:pPr>
            <w:r w:rsidRPr="00BD372F">
              <w:rPr>
                <w:rFonts w:ascii="Times New Roman" w:hAnsi="Times New Roman"/>
                <w:b/>
                <w:sz w:val="24"/>
                <w:szCs w:val="24"/>
                <w:lang w:eastAsia="sk-SK"/>
              </w:rPr>
              <w:t>Dlhodobá udržateľnosť</w:t>
            </w:r>
          </w:p>
        </w:tc>
        <w:tc>
          <w:tcPr>
            <w:tcW w:w="7967" w:type="dxa"/>
            <w:gridSpan w:val="5"/>
            <w:shd w:val="clear" w:color="auto" w:fill="BFBFBF"/>
          </w:tcPr>
          <w:p w14:paraId="37E9775F" w14:textId="77777777" w:rsidR="00BD372F" w:rsidRPr="00BD372F" w:rsidRDefault="00BD372F" w:rsidP="00BD372F">
            <w:pPr>
              <w:widowControl w:val="0"/>
              <w:overflowPunct w:val="0"/>
              <w:autoSpaceDE w:val="0"/>
              <w:autoSpaceDN w:val="0"/>
              <w:adjustRightInd w:val="0"/>
              <w:spacing w:after="0" w:line="240" w:lineRule="auto"/>
              <w:jc w:val="center"/>
              <w:textAlignment w:val="baseline"/>
              <w:rPr>
                <w:rFonts w:ascii="Times New Roman" w:hAnsi="Times New Roman"/>
                <w:b/>
                <w:sz w:val="24"/>
                <w:szCs w:val="24"/>
                <w:lang w:eastAsia="sk-SK"/>
              </w:rPr>
            </w:pPr>
            <w:r w:rsidRPr="00BD372F">
              <w:rPr>
                <w:rFonts w:ascii="Times New Roman" w:hAnsi="Times New Roman"/>
                <w:b/>
                <w:sz w:val="24"/>
                <w:szCs w:val="24"/>
                <w:lang w:eastAsia="sk-SK"/>
              </w:rPr>
              <w:t>Vplyv na verejné financie</w:t>
            </w:r>
          </w:p>
        </w:tc>
        <w:tc>
          <w:tcPr>
            <w:tcW w:w="3119" w:type="dxa"/>
            <w:vMerge w:val="restart"/>
            <w:shd w:val="clear" w:color="auto" w:fill="BFBFBF"/>
            <w:vAlign w:val="center"/>
          </w:tcPr>
          <w:p w14:paraId="129557F3" w14:textId="77777777" w:rsidR="00BD372F" w:rsidRPr="00BD372F" w:rsidRDefault="00BD372F" w:rsidP="00BD372F">
            <w:pPr>
              <w:widowControl w:val="0"/>
              <w:overflowPunct w:val="0"/>
              <w:autoSpaceDE w:val="0"/>
              <w:autoSpaceDN w:val="0"/>
              <w:adjustRightInd w:val="0"/>
              <w:spacing w:after="0" w:line="240" w:lineRule="auto"/>
              <w:jc w:val="center"/>
              <w:textAlignment w:val="baseline"/>
              <w:rPr>
                <w:rFonts w:ascii="Times New Roman" w:hAnsi="Times New Roman"/>
                <w:b/>
                <w:sz w:val="24"/>
                <w:szCs w:val="24"/>
                <w:lang w:eastAsia="sk-SK"/>
              </w:rPr>
            </w:pPr>
            <w:r w:rsidRPr="00BD372F">
              <w:rPr>
                <w:rFonts w:ascii="Times New Roman" w:hAnsi="Times New Roman"/>
                <w:b/>
                <w:sz w:val="24"/>
                <w:szCs w:val="24"/>
                <w:lang w:eastAsia="sk-SK"/>
              </w:rPr>
              <w:t>Poznámka</w:t>
            </w:r>
          </w:p>
        </w:tc>
      </w:tr>
      <w:tr w:rsidR="00BD372F" w:rsidRPr="00BD372F" w14:paraId="4FD967DD" w14:textId="77777777" w:rsidTr="00BD372F">
        <w:trPr>
          <w:trHeight w:val="284"/>
        </w:trPr>
        <w:tc>
          <w:tcPr>
            <w:tcW w:w="2943" w:type="dxa"/>
            <w:vMerge/>
            <w:shd w:val="clear" w:color="auto" w:fill="BFBFBF"/>
          </w:tcPr>
          <w:p w14:paraId="067B44EC" w14:textId="77777777" w:rsidR="00BD372F" w:rsidRPr="00BD372F" w:rsidRDefault="00BD372F" w:rsidP="00BD372F">
            <w:pPr>
              <w:widowControl w:val="0"/>
              <w:overflowPunct w:val="0"/>
              <w:autoSpaceDE w:val="0"/>
              <w:autoSpaceDN w:val="0"/>
              <w:adjustRightInd w:val="0"/>
              <w:spacing w:after="0" w:line="240" w:lineRule="auto"/>
              <w:jc w:val="both"/>
              <w:textAlignment w:val="baseline"/>
              <w:rPr>
                <w:rFonts w:ascii="Times New Roman" w:hAnsi="Times New Roman"/>
                <w:sz w:val="24"/>
                <w:szCs w:val="24"/>
                <w:lang w:eastAsia="sk-SK"/>
              </w:rPr>
            </w:pPr>
          </w:p>
        </w:tc>
        <w:tc>
          <w:tcPr>
            <w:tcW w:w="1447" w:type="dxa"/>
            <w:shd w:val="clear" w:color="auto" w:fill="BFBFBF"/>
          </w:tcPr>
          <w:p w14:paraId="420FB434" w14:textId="77777777" w:rsidR="00BD372F" w:rsidRPr="00BD372F" w:rsidRDefault="00BD372F" w:rsidP="00BD372F">
            <w:pPr>
              <w:widowControl w:val="0"/>
              <w:overflowPunct w:val="0"/>
              <w:autoSpaceDE w:val="0"/>
              <w:autoSpaceDN w:val="0"/>
              <w:adjustRightInd w:val="0"/>
              <w:spacing w:after="0" w:line="240" w:lineRule="auto"/>
              <w:jc w:val="center"/>
              <w:textAlignment w:val="baseline"/>
              <w:rPr>
                <w:rFonts w:ascii="Times New Roman" w:hAnsi="Times New Roman"/>
                <w:sz w:val="24"/>
                <w:szCs w:val="24"/>
                <w:lang w:eastAsia="sk-SK"/>
              </w:rPr>
            </w:pPr>
            <w:r w:rsidRPr="00BD372F">
              <w:rPr>
                <w:rFonts w:ascii="Times New Roman" w:hAnsi="Times New Roman"/>
                <w:sz w:val="24"/>
                <w:szCs w:val="24"/>
                <w:lang w:eastAsia="sk-SK"/>
              </w:rPr>
              <w:t>d</w:t>
            </w:r>
          </w:p>
        </w:tc>
        <w:tc>
          <w:tcPr>
            <w:tcW w:w="1559" w:type="dxa"/>
            <w:shd w:val="clear" w:color="auto" w:fill="BFBFBF"/>
          </w:tcPr>
          <w:p w14:paraId="6F80F7A5" w14:textId="77777777" w:rsidR="00BD372F" w:rsidRPr="00BD372F" w:rsidRDefault="00BD372F" w:rsidP="00BD372F">
            <w:pPr>
              <w:widowControl w:val="0"/>
              <w:overflowPunct w:val="0"/>
              <w:autoSpaceDE w:val="0"/>
              <w:autoSpaceDN w:val="0"/>
              <w:adjustRightInd w:val="0"/>
              <w:spacing w:after="0" w:line="240" w:lineRule="auto"/>
              <w:jc w:val="center"/>
              <w:textAlignment w:val="baseline"/>
              <w:rPr>
                <w:rFonts w:ascii="Times New Roman" w:hAnsi="Times New Roman"/>
                <w:sz w:val="24"/>
                <w:szCs w:val="24"/>
                <w:lang w:eastAsia="sk-SK"/>
              </w:rPr>
            </w:pPr>
            <w:r w:rsidRPr="00BD372F">
              <w:rPr>
                <w:rFonts w:ascii="Times New Roman" w:hAnsi="Times New Roman"/>
                <w:sz w:val="24"/>
                <w:szCs w:val="24"/>
                <w:lang w:eastAsia="sk-SK"/>
              </w:rPr>
              <w:t>d + 10</w:t>
            </w:r>
          </w:p>
        </w:tc>
        <w:tc>
          <w:tcPr>
            <w:tcW w:w="1559" w:type="dxa"/>
            <w:shd w:val="clear" w:color="auto" w:fill="BFBFBF"/>
          </w:tcPr>
          <w:p w14:paraId="41A95D18" w14:textId="77777777" w:rsidR="00BD372F" w:rsidRPr="00BD372F" w:rsidRDefault="00BD372F" w:rsidP="00BD372F">
            <w:pPr>
              <w:widowControl w:val="0"/>
              <w:overflowPunct w:val="0"/>
              <w:autoSpaceDE w:val="0"/>
              <w:autoSpaceDN w:val="0"/>
              <w:adjustRightInd w:val="0"/>
              <w:spacing w:after="0" w:line="240" w:lineRule="auto"/>
              <w:jc w:val="center"/>
              <w:textAlignment w:val="baseline"/>
              <w:rPr>
                <w:rFonts w:ascii="Times New Roman" w:hAnsi="Times New Roman"/>
                <w:sz w:val="24"/>
                <w:szCs w:val="24"/>
                <w:lang w:eastAsia="sk-SK"/>
              </w:rPr>
            </w:pPr>
            <w:r w:rsidRPr="00BD372F">
              <w:rPr>
                <w:rFonts w:ascii="Times New Roman" w:hAnsi="Times New Roman"/>
                <w:sz w:val="24"/>
                <w:szCs w:val="24"/>
                <w:lang w:eastAsia="sk-SK"/>
              </w:rPr>
              <w:t>d + 20</w:t>
            </w:r>
          </w:p>
        </w:tc>
        <w:tc>
          <w:tcPr>
            <w:tcW w:w="1418" w:type="dxa"/>
            <w:shd w:val="clear" w:color="auto" w:fill="BFBFBF"/>
          </w:tcPr>
          <w:p w14:paraId="196527C8" w14:textId="77777777" w:rsidR="00BD372F" w:rsidRPr="00BD372F" w:rsidRDefault="00BD372F" w:rsidP="00BD372F">
            <w:pPr>
              <w:widowControl w:val="0"/>
              <w:overflowPunct w:val="0"/>
              <w:autoSpaceDE w:val="0"/>
              <w:autoSpaceDN w:val="0"/>
              <w:adjustRightInd w:val="0"/>
              <w:spacing w:after="0" w:line="240" w:lineRule="auto"/>
              <w:jc w:val="center"/>
              <w:textAlignment w:val="baseline"/>
              <w:rPr>
                <w:rFonts w:ascii="Times New Roman" w:hAnsi="Times New Roman"/>
                <w:sz w:val="24"/>
                <w:szCs w:val="24"/>
                <w:lang w:eastAsia="sk-SK"/>
              </w:rPr>
            </w:pPr>
            <w:r w:rsidRPr="00BD372F">
              <w:rPr>
                <w:rFonts w:ascii="Times New Roman" w:hAnsi="Times New Roman"/>
                <w:sz w:val="24"/>
                <w:szCs w:val="24"/>
                <w:lang w:eastAsia="sk-SK"/>
              </w:rPr>
              <w:t>d + 30</w:t>
            </w:r>
          </w:p>
        </w:tc>
        <w:tc>
          <w:tcPr>
            <w:tcW w:w="1984" w:type="dxa"/>
            <w:shd w:val="clear" w:color="auto" w:fill="BFBFBF"/>
          </w:tcPr>
          <w:p w14:paraId="58B3D0C3" w14:textId="77777777" w:rsidR="00BD372F" w:rsidRPr="00BD372F" w:rsidRDefault="00BD372F" w:rsidP="00BD372F">
            <w:pPr>
              <w:widowControl w:val="0"/>
              <w:overflowPunct w:val="0"/>
              <w:autoSpaceDE w:val="0"/>
              <w:autoSpaceDN w:val="0"/>
              <w:adjustRightInd w:val="0"/>
              <w:spacing w:after="0" w:line="240" w:lineRule="auto"/>
              <w:jc w:val="center"/>
              <w:textAlignment w:val="baseline"/>
              <w:rPr>
                <w:rFonts w:ascii="Times New Roman" w:hAnsi="Times New Roman"/>
                <w:sz w:val="24"/>
                <w:szCs w:val="24"/>
                <w:lang w:eastAsia="sk-SK"/>
              </w:rPr>
            </w:pPr>
            <w:r w:rsidRPr="00BD372F">
              <w:rPr>
                <w:rFonts w:ascii="Times New Roman" w:hAnsi="Times New Roman"/>
                <w:sz w:val="24"/>
                <w:szCs w:val="24"/>
                <w:lang w:eastAsia="sk-SK"/>
              </w:rPr>
              <w:t>d + 40</w:t>
            </w:r>
          </w:p>
        </w:tc>
        <w:tc>
          <w:tcPr>
            <w:tcW w:w="3119" w:type="dxa"/>
            <w:vMerge/>
            <w:shd w:val="clear" w:color="auto" w:fill="BFBFBF"/>
          </w:tcPr>
          <w:p w14:paraId="055CB005" w14:textId="77777777" w:rsidR="00BD372F" w:rsidRPr="00BD372F" w:rsidRDefault="00BD372F" w:rsidP="00BD372F">
            <w:pPr>
              <w:widowControl w:val="0"/>
              <w:overflowPunct w:val="0"/>
              <w:autoSpaceDE w:val="0"/>
              <w:autoSpaceDN w:val="0"/>
              <w:adjustRightInd w:val="0"/>
              <w:spacing w:after="0" w:line="240" w:lineRule="auto"/>
              <w:jc w:val="both"/>
              <w:textAlignment w:val="baseline"/>
              <w:rPr>
                <w:rFonts w:ascii="Times New Roman" w:hAnsi="Times New Roman"/>
                <w:sz w:val="24"/>
                <w:szCs w:val="24"/>
                <w:lang w:eastAsia="sk-SK"/>
              </w:rPr>
            </w:pPr>
          </w:p>
        </w:tc>
      </w:tr>
      <w:tr w:rsidR="00BD372F" w:rsidRPr="00BD372F" w14:paraId="6805AA26" w14:textId="77777777" w:rsidTr="00154BAB">
        <w:trPr>
          <w:trHeight w:val="284"/>
        </w:trPr>
        <w:tc>
          <w:tcPr>
            <w:tcW w:w="2943" w:type="dxa"/>
            <w:vAlign w:val="bottom"/>
          </w:tcPr>
          <w:p w14:paraId="62725E07" w14:textId="77777777" w:rsidR="00BD372F" w:rsidRPr="00BD372F" w:rsidRDefault="00BD372F" w:rsidP="00BD372F">
            <w:pPr>
              <w:widowControl w:val="0"/>
              <w:overflowPunct w:val="0"/>
              <w:autoSpaceDE w:val="0"/>
              <w:autoSpaceDN w:val="0"/>
              <w:adjustRightInd w:val="0"/>
              <w:spacing w:after="0" w:line="240" w:lineRule="auto"/>
              <w:textAlignment w:val="baseline"/>
              <w:rPr>
                <w:rFonts w:ascii="Times New Roman" w:hAnsi="Times New Roman"/>
                <w:sz w:val="24"/>
                <w:szCs w:val="24"/>
                <w:lang w:eastAsia="sk-SK"/>
              </w:rPr>
            </w:pPr>
            <w:r w:rsidRPr="00BD372F">
              <w:rPr>
                <w:rFonts w:ascii="Times New Roman" w:hAnsi="Times New Roman"/>
                <w:sz w:val="24"/>
                <w:szCs w:val="24"/>
                <w:lang w:eastAsia="sk-SK"/>
              </w:rPr>
              <w:t>Vplyv na výdavky v p. b. HDP</w:t>
            </w:r>
          </w:p>
        </w:tc>
        <w:tc>
          <w:tcPr>
            <w:tcW w:w="1447" w:type="dxa"/>
          </w:tcPr>
          <w:p w14:paraId="588E1D17" w14:textId="77777777" w:rsidR="00BD372F" w:rsidRPr="00BD372F" w:rsidRDefault="00BD372F" w:rsidP="00BD372F">
            <w:pPr>
              <w:widowControl w:val="0"/>
              <w:overflowPunct w:val="0"/>
              <w:autoSpaceDE w:val="0"/>
              <w:autoSpaceDN w:val="0"/>
              <w:adjustRightInd w:val="0"/>
              <w:spacing w:after="0" w:line="240" w:lineRule="auto"/>
              <w:jc w:val="both"/>
              <w:textAlignment w:val="baseline"/>
              <w:rPr>
                <w:rFonts w:ascii="Times New Roman" w:hAnsi="Times New Roman"/>
                <w:sz w:val="24"/>
                <w:szCs w:val="24"/>
                <w:lang w:eastAsia="sk-SK"/>
              </w:rPr>
            </w:pPr>
          </w:p>
        </w:tc>
        <w:tc>
          <w:tcPr>
            <w:tcW w:w="1559" w:type="dxa"/>
          </w:tcPr>
          <w:p w14:paraId="5EFEE06F" w14:textId="77777777" w:rsidR="00BD372F" w:rsidRPr="00BD372F" w:rsidRDefault="00BD372F" w:rsidP="00BD372F">
            <w:pPr>
              <w:widowControl w:val="0"/>
              <w:overflowPunct w:val="0"/>
              <w:autoSpaceDE w:val="0"/>
              <w:autoSpaceDN w:val="0"/>
              <w:adjustRightInd w:val="0"/>
              <w:spacing w:after="0" w:line="240" w:lineRule="auto"/>
              <w:jc w:val="both"/>
              <w:textAlignment w:val="baseline"/>
              <w:rPr>
                <w:rFonts w:ascii="Times New Roman" w:hAnsi="Times New Roman"/>
                <w:sz w:val="24"/>
                <w:szCs w:val="24"/>
                <w:lang w:eastAsia="sk-SK"/>
              </w:rPr>
            </w:pPr>
          </w:p>
        </w:tc>
        <w:tc>
          <w:tcPr>
            <w:tcW w:w="1559" w:type="dxa"/>
          </w:tcPr>
          <w:p w14:paraId="72F4DD6F" w14:textId="77777777" w:rsidR="00BD372F" w:rsidRPr="00BD372F" w:rsidRDefault="00BD372F" w:rsidP="00BD372F">
            <w:pPr>
              <w:widowControl w:val="0"/>
              <w:overflowPunct w:val="0"/>
              <w:autoSpaceDE w:val="0"/>
              <w:autoSpaceDN w:val="0"/>
              <w:adjustRightInd w:val="0"/>
              <w:spacing w:after="0" w:line="240" w:lineRule="auto"/>
              <w:jc w:val="both"/>
              <w:textAlignment w:val="baseline"/>
              <w:rPr>
                <w:rFonts w:ascii="Times New Roman" w:hAnsi="Times New Roman"/>
                <w:sz w:val="24"/>
                <w:szCs w:val="24"/>
                <w:lang w:eastAsia="sk-SK"/>
              </w:rPr>
            </w:pPr>
          </w:p>
        </w:tc>
        <w:tc>
          <w:tcPr>
            <w:tcW w:w="1418" w:type="dxa"/>
          </w:tcPr>
          <w:p w14:paraId="36DFE6BB" w14:textId="77777777" w:rsidR="00BD372F" w:rsidRPr="00BD372F" w:rsidRDefault="00BD372F" w:rsidP="00BD372F">
            <w:pPr>
              <w:widowControl w:val="0"/>
              <w:overflowPunct w:val="0"/>
              <w:autoSpaceDE w:val="0"/>
              <w:autoSpaceDN w:val="0"/>
              <w:adjustRightInd w:val="0"/>
              <w:spacing w:after="0" w:line="240" w:lineRule="auto"/>
              <w:jc w:val="both"/>
              <w:textAlignment w:val="baseline"/>
              <w:rPr>
                <w:rFonts w:ascii="Times New Roman" w:hAnsi="Times New Roman"/>
                <w:sz w:val="24"/>
                <w:szCs w:val="24"/>
                <w:lang w:eastAsia="sk-SK"/>
              </w:rPr>
            </w:pPr>
          </w:p>
        </w:tc>
        <w:tc>
          <w:tcPr>
            <w:tcW w:w="1984" w:type="dxa"/>
          </w:tcPr>
          <w:p w14:paraId="46A37411" w14:textId="77777777" w:rsidR="00BD372F" w:rsidRPr="00BD372F" w:rsidRDefault="00BD372F" w:rsidP="00BD372F">
            <w:pPr>
              <w:widowControl w:val="0"/>
              <w:overflowPunct w:val="0"/>
              <w:autoSpaceDE w:val="0"/>
              <w:autoSpaceDN w:val="0"/>
              <w:adjustRightInd w:val="0"/>
              <w:spacing w:after="0" w:line="240" w:lineRule="auto"/>
              <w:jc w:val="both"/>
              <w:textAlignment w:val="baseline"/>
              <w:rPr>
                <w:rFonts w:ascii="Times New Roman" w:hAnsi="Times New Roman"/>
                <w:sz w:val="24"/>
                <w:szCs w:val="24"/>
                <w:lang w:eastAsia="sk-SK"/>
              </w:rPr>
            </w:pPr>
          </w:p>
        </w:tc>
        <w:tc>
          <w:tcPr>
            <w:tcW w:w="3119" w:type="dxa"/>
          </w:tcPr>
          <w:p w14:paraId="07A88BBE" w14:textId="77777777" w:rsidR="00BD372F" w:rsidRPr="00BD372F" w:rsidRDefault="00BD372F" w:rsidP="00BD372F">
            <w:pPr>
              <w:widowControl w:val="0"/>
              <w:overflowPunct w:val="0"/>
              <w:autoSpaceDE w:val="0"/>
              <w:autoSpaceDN w:val="0"/>
              <w:adjustRightInd w:val="0"/>
              <w:spacing w:after="0" w:line="240" w:lineRule="auto"/>
              <w:jc w:val="both"/>
              <w:textAlignment w:val="baseline"/>
              <w:rPr>
                <w:rFonts w:ascii="Times New Roman" w:hAnsi="Times New Roman"/>
                <w:sz w:val="24"/>
                <w:szCs w:val="24"/>
                <w:lang w:eastAsia="sk-SK"/>
              </w:rPr>
            </w:pPr>
          </w:p>
        </w:tc>
      </w:tr>
      <w:tr w:rsidR="00BD372F" w:rsidRPr="00BD372F" w14:paraId="0E93C7C5" w14:textId="77777777" w:rsidTr="00154BAB">
        <w:trPr>
          <w:trHeight w:val="284"/>
        </w:trPr>
        <w:tc>
          <w:tcPr>
            <w:tcW w:w="2943" w:type="dxa"/>
          </w:tcPr>
          <w:p w14:paraId="3C5D6180" w14:textId="77777777" w:rsidR="00BD372F" w:rsidRPr="00BD372F" w:rsidRDefault="00BD372F" w:rsidP="00BD372F">
            <w:pPr>
              <w:widowControl w:val="0"/>
              <w:overflowPunct w:val="0"/>
              <w:autoSpaceDE w:val="0"/>
              <w:autoSpaceDN w:val="0"/>
              <w:adjustRightInd w:val="0"/>
              <w:spacing w:after="0" w:line="240" w:lineRule="auto"/>
              <w:textAlignment w:val="baseline"/>
              <w:rPr>
                <w:rFonts w:ascii="Times New Roman" w:hAnsi="Times New Roman"/>
                <w:sz w:val="24"/>
                <w:szCs w:val="24"/>
                <w:lang w:eastAsia="sk-SK"/>
              </w:rPr>
            </w:pPr>
            <w:r w:rsidRPr="00BD372F">
              <w:rPr>
                <w:rFonts w:ascii="Times New Roman" w:hAnsi="Times New Roman"/>
                <w:sz w:val="24"/>
                <w:szCs w:val="24"/>
                <w:lang w:eastAsia="sk-SK"/>
              </w:rPr>
              <w:t>Vplyv na príjmy v p. b. HDP</w:t>
            </w:r>
          </w:p>
        </w:tc>
        <w:tc>
          <w:tcPr>
            <w:tcW w:w="1447" w:type="dxa"/>
          </w:tcPr>
          <w:p w14:paraId="65724257" w14:textId="77777777" w:rsidR="00BD372F" w:rsidRPr="00BD372F" w:rsidRDefault="00BD372F" w:rsidP="00BD372F">
            <w:pPr>
              <w:widowControl w:val="0"/>
              <w:overflowPunct w:val="0"/>
              <w:autoSpaceDE w:val="0"/>
              <w:autoSpaceDN w:val="0"/>
              <w:adjustRightInd w:val="0"/>
              <w:spacing w:after="0" w:line="240" w:lineRule="auto"/>
              <w:jc w:val="both"/>
              <w:textAlignment w:val="baseline"/>
              <w:rPr>
                <w:rFonts w:ascii="Times New Roman" w:hAnsi="Times New Roman"/>
                <w:sz w:val="24"/>
                <w:szCs w:val="24"/>
                <w:lang w:eastAsia="sk-SK"/>
              </w:rPr>
            </w:pPr>
          </w:p>
        </w:tc>
        <w:tc>
          <w:tcPr>
            <w:tcW w:w="1559" w:type="dxa"/>
          </w:tcPr>
          <w:p w14:paraId="6B67F173" w14:textId="77777777" w:rsidR="00BD372F" w:rsidRPr="00BD372F" w:rsidRDefault="00BD372F" w:rsidP="00BD372F">
            <w:pPr>
              <w:widowControl w:val="0"/>
              <w:overflowPunct w:val="0"/>
              <w:autoSpaceDE w:val="0"/>
              <w:autoSpaceDN w:val="0"/>
              <w:adjustRightInd w:val="0"/>
              <w:spacing w:after="0" w:line="240" w:lineRule="auto"/>
              <w:jc w:val="both"/>
              <w:textAlignment w:val="baseline"/>
              <w:rPr>
                <w:rFonts w:ascii="Times New Roman" w:hAnsi="Times New Roman"/>
                <w:sz w:val="24"/>
                <w:szCs w:val="24"/>
                <w:lang w:eastAsia="sk-SK"/>
              </w:rPr>
            </w:pPr>
          </w:p>
        </w:tc>
        <w:tc>
          <w:tcPr>
            <w:tcW w:w="1559" w:type="dxa"/>
          </w:tcPr>
          <w:p w14:paraId="0DA6AD8F" w14:textId="77777777" w:rsidR="00BD372F" w:rsidRPr="00BD372F" w:rsidRDefault="00BD372F" w:rsidP="00BD372F">
            <w:pPr>
              <w:widowControl w:val="0"/>
              <w:overflowPunct w:val="0"/>
              <w:autoSpaceDE w:val="0"/>
              <w:autoSpaceDN w:val="0"/>
              <w:adjustRightInd w:val="0"/>
              <w:spacing w:after="0" w:line="240" w:lineRule="auto"/>
              <w:jc w:val="both"/>
              <w:textAlignment w:val="baseline"/>
              <w:rPr>
                <w:rFonts w:ascii="Times New Roman" w:hAnsi="Times New Roman"/>
                <w:sz w:val="24"/>
                <w:szCs w:val="24"/>
                <w:lang w:eastAsia="sk-SK"/>
              </w:rPr>
            </w:pPr>
          </w:p>
        </w:tc>
        <w:tc>
          <w:tcPr>
            <w:tcW w:w="1418" w:type="dxa"/>
          </w:tcPr>
          <w:p w14:paraId="4E5D0643" w14:textId="77777777" w:rsidR="00BD372F" w:rsidRPr="00BD372F" w:rsidRDefault="00BD372F" w:rsidP="00BD372F">
            <w:pPr>
              <w:widowControl w:val="0"/>
              <w:overflowPunct w:val="0"/>
              <w:autoSpaceDE w:val="0"/>
              <w:autoSpaceDN w:val="0"/>
              <w:adjustRightInd w:val="0"/>
              <w:spacing w:after="0" w:line="240" w:lineRule="auto"/>
              <w:jc w:val="both"/>
              <w:textAlignment w:val="baseline"/>
              <w:rPr>
                <w:rFonts w:ascii="Times New Roman" w:hAnsi="Times New Roman"/>
                <w:sz w:val="24"/>
                <w:szCs w:val="24"/>
                <w:lang w:eastAsia="sk-SK"/>
              </w:rPr>
            </w:pPr>
          </w:p>
        </w:tc>
        <w:tc>
          <w:tcPr>
            <w:tcW w:w="1984" w:type="dxa"/>
          </w:tcPr>
          <w:p w14:paraId="61C624D6" w14:textId="77777777" w:rsidR="00BD372F" w:rsidRPr="00BD372F" w:rsidRDefault="00BD372F" w:rsidP="00BD372F">
            <w:pPr>
              <w:widowControl w:val="0"/>
              <w:overflowPunct w:val="0"/>
              <w:autoSpaceDE w:val="0"/>
              <w:autoSpaceDN w:val="0"/>
              <w:adjustRightInd w:val="0"/>
              <w:spacing w:after="0" w:line="240" w:lineRule="auto"/>
              <w:jc w:val="both"/>
              <w:textAlignment w:val="baseline"/>
              <w:rPr>
                <w:rFonts w:ascii="Times New Roman" w:hAnsi="Times New Roman"/>
                <w:sz w:val="24"/>
                <w:szCs w:val="24"/>
                <w:lang w:eastAsia="sk-SK"/>
              </w:rPr>
            </w:pPr>
          </w:p>
        </w:tc>
        <w:tc>
          <w:tcPr>
            <w:tcW w:w="3119" w:type="dxa"/>
          </w:tcPr>
          <w:p w14:paraId="0980002F" w14:textId="77777777" w:rsidR="00BD372F" w:rsidRPr="00BD372F" w:rsidRDefault="00BD372F" w:rsidP="00BD372F">
            <w:pPr>
              <w:widowControl w:val="0"/>
              <w:overflowPunct w:val="0"/>
              <w:autoSpaceDE w:val="0"/>
              <w:autoSpaceDN w:val="0"/>
              <w:adjustRightInd w:val="0"/>
              <w:spacing w:after="0" w:line="240" w:lineRule="auto"/>
              <w:jc w:val="both"/>
              <w:textAlignment w:val="baseline"/>
              <w:rPr>
                <w:rFonts w:ascii="Times New Roman" w:hAnsi="Times New Roman"/>
                <w:sz w:val="24"/>
                <w:szCs w:val="24"/>
                <w:lang w:eastAsia="sk-SK"/>
              </w:rPr>
            </w:pPr>
          </w:p>
        </w:tc>
      </w:tr>
      <w:tr w:rsidR="00BD372F" w:rsidRPr="00BD372F" w14:paraId="36AD45FF" w14:textId="77777777" w:rsidTr="00154BAB">
        <w:trPr>
          <w:trHeight w:val="284"/>
        </w:trPr>
        <w:tc>
          <w:tcPr>
            <w:tcW w:w="2943" w:type="dxa"/>
          </w:tcPr>
          <w:p w14:paraId="566388FD" w14:textId="77777777" w:rsidR="00BD372F" w:rsidRPr="00BD372F" w:rsidRDefault="00BD372F" w:rsidP="00BD372F">
            <w:pPr>
              <w:widowControl w:val="0"/>
              <w:overflowPunct w:val="0"/>
              <w:autoSpaceDE w:val="0"/>
              <w:autoSpaceDN w:val="0"/>
              <w:adjustRightInd w:val="0"/>
              <w:spacing w:after="0" w:line="240" w:lineRule="auto"/>
              <w:textAlignment w:val="baseline"/>
              <w:rPr>
                <w:rFonts w:ascii="Times New Roman" w:hAnsi="Times New Roman"/>
                <w:sz w:val="24"/>
                <w:szCs w:val="24"/>
                <w:lang w:eastAsia="sk-SK"/>
              </w:rPr>
            </w:pPr>
            <w:r w:rsidRPr="00BD372F">
              <w:rPr>
                <w:rFonts w:ascii="Times New Roman" w:hAnsi="Times New Roman"/>
                <w:sz w:val="24"/>
                <w:szCs w:val="24"/>
                <w:lang w:eastAsia="sk-SK"/>
              </w:rPr>
              <w:t>Vplyv na bilanciu  v p. b. HDP</w:t>
            </w:r>
          </w:p>
        </w:tc>
        <w:tc>
          <w:tcPr>
            <w:tcW w:w="1447" w:type="dxa"/>
          </w:tcPr>
          <w:p w14:paraId="438B2322" w14:textId="77777777" w:rsidR="00BD372F" w:rsidRPr="00BD372F" w:rsidRDefault="00BD372F" w:rsidP="00BD372F">
            <w:pPr>
              <w:widowControl w:val="0"/>
              <w:overflowPunct w:val="0"/>
              <w:autoSpaceDE w:val="0"/>
              <w:autoSpaceDN w:val="0"/>
              <w:adjustRightInd w:val="0"/>
              <w:spacing w:after="0" w:line="240" w:lineRule="auto"/>
              <w:jc w:val="both"/>
              <w:textAlignment w:val="baseline"/>
              <w:rPr>
                <w:rFonts w:ascii="Times New Roman" w:hAnsi="Times New Roman"/>
                <w:sz w:val="24"/>
                <w:szCs w:val="24"/>
                <w:lang w:eastAsia="sk-SK"/>
              </w:rPr>
            </w:pPr>
          </w:p>
        </w:tc>
        <w:tc>
          <w:tcPr>
            <w:tcW w:w="1559" w:type="dxa"/>
          </w:tcPr>
          <w:p w14:paraId="4BCFA54B" w14:textId="77777777" w:rsidR="00BD372F" w:rsidRPr="00BD372F" w:rsidRDefault="00BD372F" w:rsidP="00BD372F">
            <w:pPr>
              <w:widowControl w:val="0"/>
              <w:overflowPunct w:val="0"/>
              <w:autoSpaceDE w:val="0"/>
              <w:autoSpaceDN w:val="0"/>
              <w:adjustRightInd w:val="0"/>
              <w:spacing w:after="0" w:line="240" w:lineRule="auto"/>
              <w:jc w:val="both"/>
              <w:textAlignment w:val="baseline"/>
              <w:rPr>
                <w:rFonts w:ascii="Times New Roman" w:hAnsi="Times New Roman"/>
                <w:sz w:val="24"/>
                <w:szCs w:val="24"/>
                <w:lang w:eastAsia="sk-SK"/>
              </w:rPr>
            </w:pPr>
          </w:p>
        </w:tc>
        <w:tc>
          <w:tcPr>
            <w:tcW w:w="1559" w:type="dxa"/>
          </w:tcPr>
          <w:p w14:paraId="78051532" w14:textId="77777777" w:rsidR="00BD372F" w:rsidRPr="00BD372F" w:rsidRDefault="00BD372F" w:rsidP="00BD372F">
            <w:pPr>
              <w:widowControl w:val="0"/>
              <w:overflowPunct w:val="0"/>
              <w:autoSpaceDE w:val="0"/>
              <w:autoSpaceDN w:val="0"/>
              <w:adjustRightInd w:val="0"/>
              <w:spacing w:after="0" w:line="240" w:lineRule="auto"/>
              <w:jc w:val="both"/>
              <w:textAlignment w:val="baseline"/>
              <w:rPr>
                <w:rFonts w:ascii="Times New Roman" w:hAnsi="Times New Roman"/>
                <w:sz w:val="24"/>
                <w:szCs w:val="24"/>
                <w:lang w:eastAsia="sk-SK"/>
              </w:rPr>
            </w:pPr>
          </w:p>
        </w:tc>
        <w:tc>
          <w:tcPr>
            <w:tcW w:w="1418" w:type="dxa"/>
          </w:tcPr>
          <w:p w14:paraId="760B0F07" w14:textId="77777777" w:rsidR="00BD372F" w:rsidRPr="00BD372F" w:rsidRDefault="00BD372F" w:rsidP="00BD372F">
            <w:pPr>
              <w:widowControl w:val="0"/>
              <w:overflowPunct w:val="0"/>
              <w:autoSpaceDE w:val="0"/>
              <w:autoSpaceDN w:val="0"/>
              <w:adjustRightInd w:val="0"/>
              <w:spacing w:after="0" w:line="240" w:lineRule="auto"/>
              <w:jc w:val="both"/>
              <w:textAlignment w:val="baseline"/>
              <w:rPr>
                <w:rFonts w:ascii="Times New Roman" w:hAnsi="Times New Roman"/>
                <w:sz w:val="24"/>
                <w:szCs w:val="24"/>
                <w:lang w:eastAsia="sk-SK"/>
              </w:rPr>
            </w:pPr>
          </w:p>
        </w:tc>
        <w:tc>
          <w:tcPr>
            <w:tcW w:w="1984" w:type="dxa"/>
          </w:tcPr>
          <w:p w14:paraId="214C8717" w14:textId="77777777" w:rsidR="00BD372F" w:rsidRPr="00BD372F" w:rsidRDefault="00BD372F" w:rsidP="00BD372F">
            <w:pPr>
              <w:widowControl w:val="0"/>
              <w:overflowPunct w:val="0"/>
              <w:autoSpaceDE w:val="0"/>
              <w:autoSpaceDN w:val="0"/>
              <w:adjustRightInd w:val="0"/>
              <w:spacing w:after="0" w:line="240" w:lineRule="auto"/>
              <w:jc w:val="both"/>
              <w:textAlignment w:val="baseline"/>
              <w:rPr>
                <w:rFonts w:ascii="Times New Roman" w:hAnsi="Times New Roman"/>
                <w:sz w:val="24"/>
                <w:szCs w:val="24"/>
                <w:lang w:eastAsia="sk-SK"/>
              </w:rPr>
            </w:pPr>
          </w:p>
        </w:tc>
        <w:tc>
          <w:tcPr>
            <w:tcW w:w="3119" w:type="dxa"/>
          </w:tcPr>
          <w:p w14:paraId="0FE74776" w14:textId="77777777" w:rsidR="00BD372F" w:rsidRPr="00BD372F" w:rsidRDefault="00BD372F" w:rsidP="00BD372F">
            <w:pPr>
              <w:widowControl w:val="0"/>
              <w:overflowPunct w:val="0"/>
              <w:autoSpaceDE w:val="0"/>
              <w:autoSpaceDN w:val="0"/>
              <w:adjustRightInd w:val="0"/>
              <w:spacing w:after="0" w:line="240" w:lineRule="auto"/>
              <w:jc w:val="both"/>
              <w:textAlignment w:val="baseline"/>
              <w:rPr>
                <w:rFonts w:ascii="Times New Roman" w:hAnsi="Times New Roman"/>
                <w:sz w:val="24"/>
                <w:szCs w:val="24"/>
                <w:lang w:eastAsia="sk-SK"/>
              </w:rPr>
            </w:pPr>
          </w:p>
        </w:tc>
      </w:tr>
    </w:tbl>
    <w:p w14:paraId="30631018" w14:textId="77777777" w:rsidR="00BD372F" w:rsidRPr="00BD372F" w:rsidRDefault="00BD372F" w:rsidP="00BD372F">
      <w:pPr>
        <w:spacing w:after="0" w:line="240" w:lineRule="auto"/>
        <w:jc w:val="both"/>
        <w:rPr>
          <w:rFonts w:ascii="Times New Roman" w:hAnsi="Times New Roman"/>
          <w:sz w:val="24"/>
          <w:szCs w:val="24"/>
          <w:lang w:eastAsia="sk-SK"/>
        </w:rPr>
      </w:pPr>
    </w:p>
    <w:p w14:paraId="636D34FE" w14:textId="77777777" w:rsidR="00BD372F" w:rsidRPr="00BD372F" w:rsidRDefault="00BD372F" w:rsidP="00BD372F">
      <w:pPr>
        <w:spacing w:after="0" w:line="240" w:lineRule="auto"/>
        <w:jc w:val="both"/>
        <w:rPr>
          <w:rFonts w:ascii="Times New Roman" w:hAnsi="Times New Roman"/>
          <w:b/>
          <w:sz w:val="24"/>
          <w:szCs w:val="24"/>
          <w:lang w:eastAsia="sk-SK"/>
        </w:rPr>
      </w:pPr>
      <w:r w:rsidRPr="00BD372F">
        <w:rPr>
          <w:rFonts w:ascii="Times New Roman" w:hAnsi="Times New Roman"/>
          <w:b/>
          <w:sz w:val="24"/>
          <w:szCs w:val="24"/>
          <w:lang w:eastAsia="sk-SK"/>
        </w:rPr>
        <w:t xml:space="preserve">Poznámka: </w:t>
      </w:r>
    </w:p>
    <w:p w14:paraId="6F96F107" w14:textId="77777777" w:rsidR="00BD372F" w:rsidRPr="00BD372F" w:rsidRDefault="00BD372F" w:rsidP="00BD372F">
      <w:pPr>
        <w:spacing w:after="0" w:line="240" w:lineRule="auto"/>
        <w:jc w:val="both"/>
        <w:rPr>
          <w:rFonts w:ascii="Times New Roman" w:hAnsi="Times New Roman"/>
          <w:sz w:val="24"/>
          <w:szCs w:val="24"/>
          <w:lang w:eastAsia="sk-SK"/>
        </w:rPr>
      </w:pPr>
      <w:r w:rsidRPr="00BD372F">
        <w:rPr>
          <w:rFonts w:ascii="Times New Roman" w:hAnsi="Times New Roman"/>
          <w:sz w:val="24"/>
          <w:szCs w:val="24"/>
          <w:lang w:eastAsia="sk-SK"/>
        </w:rPr>
        <w:t xml:space="preserve">Písmeno „d“ označuje prvý rok nasledujúcej dekády. </w:t>
      </w:r>
    </w:p>
    <w:p w14:paraId="0CA983F2" w14:textId="77777777" w:rsidR="00BD372F" w:rsidRPr="00BD372F" w:rsidRDefault="00BD372F" w:rsidP="00BD372F">
      <w:pPr>
        <w:spacing w:after="0" w:line="240" w:lineRule="auto"/>
        <w:jc w:val="both"/>
        <w:rPr>
          <w:rFonts w:ascii="Times New Roman" w:hAnsi="Times New Roman"/>
          <w:sz w:val="24"/>
          <w:szCs w:val="24"/>
          <w:lang w:eastAsia="sk-SK"/>
        </w:rPr>
        <w:sectPr w:rsidR="00BD372F" w:rsidRPr="00BD372F" w:rsidSect="00BD372F">
          <w:pgSz w:w="16838" w:h="11906" w:orient="landscape"/>
          <w:pgMar w:top="1418" w:right="1418" w:bottom="1418" w:left="1418" w:header="709" w:footer="709" w:gutter="0"/>
          <w:cols w:space="708"/>
          <w:docGrid w:linePitch="360"/>
        </w:sectPr>
      </w:pPr>
      <w:r w:rsidRPr="00BD372F">
        <w:rPr>
          <w:rFonts w:ascii="Times New Roman" w:hAnsi="Times New Roman"/>
          <w:sz w:val="24"/>
          <w:szCs w:val="24"/>
          <w:lang w:eastAsia="sk-SK"/>
        </w:rPr>
        <w:t>Tabuľka sa vypĺňa pre každé opatrenie samostatne. V prípade zavádzania viacerých opatrení sa vyplní aj tabuľka obsahujúca aj kumulatívny efekt zavedenia všetkých opatrení súčasne.</w:t>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2634"/>
        <w:gridCol w:w="1322"/>
        <w:gridCol w:w="1446"/>
        <w:gridCol w:w="634"/>
        <w:gridCol w:w="500"/>
        <w:gridCol w:w="850"/>
        <w:gridCol w:w="426"/>
        <w:gridCol w:w="1559"/>
      </w:tblGrid>
      <w:tr w:rsidR="007C72FC" w:rsidRPr="007C72FC" w14:paraId="0F1331B1" w14:textId="77777777" w:rsidTr="00154BAB">
        <w:trPr>
          <w:trHeight w:val="20"/>
        </w:trPr>
        <w:tc>
          <w:tcPr>
            <w:tcW w:w="9371" w:type="dxa"/>
            <w:gridSpan w:val="8"/>
            <w:shd w:val="clear" w:color="auto" w:fill="BFBFBF"/>
            <w:vAlign w:val="center"/>
          </w:tcPr>
          <w:p w14:paraId="119D32E1" w14:textId="77777777" w:rsidR="007C72FC" w:rsidRPr="007C72FC" w:rsidRDefault="007C72FC" w:rsidP="007C72FC">
            <w:pPr>
              <w:spacing w:after="0" w:line="240" w:lineRule="auto"/>
              <w:jc w:val="center"/>
              <w:rPr>
                <w:rFonts w:ascii="Times New Roman" w:hAnsi="Times New Roman"/>
                <w:b/>
                <w:bCs/>
                <w:sz w:val="28"/>
                <w:szCs w:val="28"/>
                <w:lang w:eastAsia="sk-SK"/>
              </w:rPr>
            </w:pPr>
            <w:r w:rsidRPr="007C72FC">
              <w:rPr>
                <w:rFonts w:ascii="Times New Roman" w:hAnsi="Times New Roman"/>
                <w:b/>
                <w:bCs/>
                <w:sz w:val="28"/>
                <w:szCs w:val="28"/>
                <w:lang w:eastAsia="sk-SK"/>
              </w:rPr>
              <w:t>Analýza vplyvov na informatizáciu spoločnosti</w:t>
            </w:r>
          </w:p>
          <w:p w14:paraId="56B5949D" w14:textId="77777777" w:rsidR="007C72FC" w:rsidRPr="007C72FC" w:rsidRDefault="007C72FC" w:rsidP="007C72FC">
            <w:pPr>
              <w:spacing w:after="0" w:line="240" w:lineRule="auto"/>
              <w:jc w:val="center"/>
              <w:rPr>
                <w:rFonts w:ascii="Times New Roman" w:hAnsi="Times New Roman"/>
                <w:b/>
                <w:i/>
                <w:iCs/>
                <w:sz w:val="2"/>
                <w:szCs w:val="22"/>
                <w:lang w:eastAsia="sk-SK"/>
              </w:rPr>
            </w:pPr>
          </w:p>
        </w:tc>
      </w:tr>
      <w:tr w:rsidR="007C72FC" w:rsidRPr="007C72FC" w14:paraId="5A3E9C0D" w14:textId="77777777" w:rsidTr="00154BAB">
        <w:trPr>
          <w:trHeight w:val="20"/>
        </w:trPr>
        <w:tc>
          <w:tcPr>
            <w:tcW w:w="9371" w:type="dxa"/>
            <w:gridSpan w:val="8"/>
            <w:shd w:val="clear" w:color="auto" w:fill="BFBFBF"/>
            <w:vAlign w:val="center"/>
          </w:tcPr>
          <w:p w14:paraId="6E6600EE" w14:textId="77777777" w:rsidR="007C72FC" w:rsidRPr="007C72FC" w:rsidRDefault="007C72FC" w:rsidP="007C72FC">
            <w:pPr>
              <w:spacing w:after="0" w:line="240" w:lineRule="auto"/>
              <w:jc w:val="center"/>
              <w:rPr>
                <w:rFonts w:ascii="Times New Roman" w:hAnsi="Times New Roman"/>
                <w:b/>
                <w:bCs/>
                <w:sz w:val="24"/>
                <w:szCs w:val="24"/>
                <w:lang w:eastAsia="sk-SK"/>
              </w:rPr>
            </w:pPr>
            <w:r w:rsidRPr="007C72FC">
              <w:rPr>
                <w:rFonts w:ascii="Times New Roman" w:hAnsi="Times New Roman"/>
                <w:b/>
                <w:bCs/>
                <w:sz w:val="24"/>
                <w:szCs w:val="24"/>
                <w:lang w:eastAsia="sk-SK"/>
              </w:rPr>
              <w:t>Budovanie základných pilierov informatizácie</w:t>
            </w:r>
          </w:p>
        </w:tc>
      </w:tr>
      <w:tr w:rsidR="007C72FC" w:rsidRPr="007C72FC" w14:paraId="79CDEB7E" w14:textId="77777777" w:rsidTr="00154BAB">
        <w:trPr>
          <w:trHeight w:val="681"/>
        </w:trPr>
        <w:tc>
          <w:tcPr>
            <w:tcW w:w="3956" w:type="dxa"/>
            <w:gridSpan w:val="2"/>
            <w:shd w:val="clear" w:color="auto" w:fill="C0C0C0"/>
            <w:vAlign w:val="center"/>
          </w:tcPr>
          <w:p w14:paraId="2EF586A6" w14:textId="77777777" w:rsidR="007C72FC" w:rsidRPr="007C72FC" w:rsidRDefault="007C72FC" w:rsidP="007C72FC">
            <w:pPr>
              <w:spacing w:after="0" w:line="240" w:lineRule="auto"/>
              <w:jc w:val="center"/>
              <w:rPr>
                <w:rFonts w:ascii="Times New Roman" w:hAnsi="Times New Roman"/>
                <w:b/>
                <w:sz w:val="20"/>
                <w:szCs w:val="20"/>
                <w:lang w:eastAsia="sk-SK"/>
              </w:rPr>
            </w:pPr>
            <w:r w:rsidRPr="007C72FC">
              <w:rPr>
                <w:rFonts w:ascii="Times New Roman" w:hAnsi="Times New Roman"/>
                <w:b/>
                <w:sz w:val="20"/>
                <w:szCs w:val="20"/>
                <w:lang w:eastAsia="sk-SK"/>
              </w:rPr>
              <w:t>Biznis vrstva</w:t>
            </w:r>
          </w:p>
        </w:tc>
        <w:tc>
          <w:tcPr>
            <w:tcW w:w="1446" w:type="dxa"/>
            <w:shd w:val="clear" w:color="auto" w:fill="C0C0C0"/>
            <w:vAlign w:val="center"/>
          </w:tcPr>
          <w:p w14:paraId="1C3B65AC" w14:textId="77777777" w:rsidR="007C72FC" w:rsidRPr="007C72FC" w:rsidRDefault="007C72FC" w:rsidP="007C72FC">
            <w:pPr>
              <w:spacing w:after="0" w:line="240" w:lineRule="auto"/>
              <w:jc w:val="center"/>
              <w:rPr>
                <w:rFonts w:ascii="Times New Roman" w:hAnsi="Times New Roman"/>
                <w:b/>
                <w:sz w:val="20"/>
                <w:szCs w:val="20"/>
                <w:lang w:eastAsia="sk-SK"/>
              </w:rPr>
            </w:pPr>
            <w:r w:rsidRPr="007C72FC">
              <w:rPr>
                <w:rFonts w:ascii="Times New Roman" w:hAnsi="Times New Roman"/>
                <w:b/>
                <w:sz w:val="20"/>
                <w:szCs w:val="20"/>
                <w:lang w:eastAsia="sk-SK"/>
              </w:rPr>
              <w:t>A – nová služba</w:t>
            </w:r>
          </w:p>
          <w:p w14:paraId="2DB84962" w14:textId="77777777" w:rsidR="007C72FC" w:rsidRPr="007C72FC" w:rsidRDefault="007C72FC" w:rsidP="007C72FC">
            <w:pPr>
              <w:spacing w:after="0" w:line="240" w:lineRule="auto"/>
              <w:jc w:val="center"/>
              <w:rPr>
                <w:rFonts w:ascii="Times New Roman" w:hAnsi="Times New Roman"/>
                <w:i/>
                <w:iCs/>
                <w:sz w:val="20"/>
                <w:szCs w:val="20"/>
                <w:lang w:eastAsia="sk-SK"/>
              </w:rPr>
            </w:pPr>
            <w:r w:rsidRPr="007C72FC">
              <w:rPr>
                <w:rFonts w:ascii="Times New Roman" w:hAnsi="Times New Roman"/>
                <w:b/>
                <w:sz w:val="20"/>
                <w:szCs w:val="20"/>
                <w:lang w:eastAsia="sk-SK"/>
              </w:rPr>
              <w:t>B – zmena služby</w:t>
            </w:r>
            <w:r w:rsidRPr="007C72FC">
              <w:rPr>
                <w:rFonts w:ascii="Times New Roman" w:hAnsi="Times New Roman"/>
                <w:b/>
                <w:sz w:val="20"/>
                <w:szCs w:val="20"/>
                <w:lang w:eastAsia="sk-SK"/>
              </w:rPr>
              <w:br/>
              <w:t xml:space="preserve"> C-zvýšené používanie služby</w:t>
            </w:r>
          </w:p>
        </w:tc>
        <w:tc>
          <w:tcPr>
            <w:tcW w:w="1134" w:type="dxa"/>
            <w:gridSpan w:val="2"/>
            <w:shd w:val="clear" w:color="auto" w:fill="C0C0C0"/>
            <w:vAlign w:val="center"/>
          </w:tcPr>
          <w:p w14:paraId="11E3FC89" w14:textId="77777777" w:rsidR="007C72FC" w:rsidRPr="007C72FC" w:rsidRDefault="007C72FC" w:rsidP="007C72FC">
            <w:pPr>
              <w:spacing w:after="0" w:line="240" w:lineRule="auto"/>
              <w:rPr>
                <w:rFonts w:ascii="Times New Roman" w:hAnsi="Times New Roman"/>
                <w:sz w:val="20"/>
                <w:szCs w:val="20"/>
                <w:lang w:eastAsia="sk-SK"/>
              </w:rPr>
            </w:pPr>
            <w:r w:rsidRPr="007C72FC">
              <w:rPr>
                <w:rFonts w:ascii="Times New Roman" w:hAnsi="Times New Roman"/>
                <w:b/>
                <w:sz w:val="20"/>
                <w:szCs w:val="20"/>
                <w:lang w:eastAsia="sk-SK"/>
              </w:rPr>
              <w:t>Kód koncovej služby</w:t>
            </w:r>
          </w:p>
        </w:tc>
        <w:tc>
          <w:tcPr>
            <w:tcW w:w="1276" w:type="dxa"/>
            <w:gridSpan w:val="2"/>
            <w:shd w:val="clear" w:color="auto" w:fill="C0C0C0"/>
            <w:vAlign w:val="center"/>
          </w:tcPr>
          <w:p w14:paraId="725BD5A1" w14:textId="77777777" w:rsidR="007C72FC" w:rsidRPr="007C72FC" w:rsidRDefault="007C72FC" w:rsidP="007C72FC">
            <w:pPr>
              <w:spacing w:after="0" w:line="240" w:lineRule="auto"/>
              <w:rPr>
                <w:rFonts w:ascii="Times New Roman" w:hAnsi="Times New Roman"/>
                <w:i/>
                <w:iCs/>
                <w:sz w:val="20"/>
                <w:szCs w:val="20"/>
                <w:lang w:eastAsia="sk-SK"/>
              </w:rPr>
            </w:pPr>
            <w:r w:rsidRPr="007C72FC">
              <w:rPr>
                <w:rFonts w:ascii="Times New Roman" w:hAnsi="Times New Roman"/>
                <w:b/>
                <w:sz w:val="20"/>
                <w:szCs w:val="20"/>
                <w:lang w:eastAsia="sk-SK"/>
              </w:rPr>
              <w:t>Názov koncovej služby</w:t>
            </w:r>
          </w:p>
        </w:tc>
        <w:tc>
          <w:tcPr>
            <w:tcW w:w="1559" w:type="dxa"/>
            <w:shd w:val="clear" w:color="auto" w:fill="C0C0C0"/>
          </w:tcPr>
          <w:p w14:paraId="481F74BA" w14:textId="77777777" w:rsidR="007C72FC" w:rsidRPr="007C72FC" w:rsidRDefault="007C72FC" w:rsidP="007C72FC">
            <w:pPr>
              <w:spacing w:after="0" w:line="240" w:lineRule="auto"/>
              <w:rPr>
                <w:rFonts w:ascii="Times New Roman" w:hAnsi="Times New Roman"/>
                <w:b/>
                <w:sz w:val="20"/>
                <w:szCs w:val="20"/>
                <w:lang w:eastAsia="sk-SK"/>
              </w:rPr>
            </w:pPr>
            <w:r w:rsidRPr="007C72FC">
              <w:rPr>
                <w:rFonts w:ascii="Times New Roman" w:hAnsi="Times New Roman"/>
                <w:b/>
                <w:sz w:val="20"/>
                <w:szCs w:val="20"/>
                <w:lang w:eastAsia="sk-SK"/>
              </w:rPr>
              <w:t>Úroveň elektronizácie – pre C odhad počtu podaní</w:t>
            </w:r>
          </w:p>
        </w:tc>
      </w:tr>
      <w:tr w:rsidR="007C72FC" w:rsidRPr="007C72FC" w14:paraId="7C2B137A" w14:textId="77777777" w:rsidTr="00154BAB">
        <w:trPr>
          <w:trHeight w:val="20"/>
        </w:trPr>
        <w:tc>
          <w:tcPr>
            <w:tcW w:w="3956" w:type="dxa"/>
            <w:gridSpan w:val="2"/>
          </w:tcPr>
          <w:p w14:paraId="6BD03E80" w14:textId="77777777" w:rsidR="007C72FC" w:rsidRPr="007C72FC" w:rsidRDefault="007C72FC" w:rsidP="007C72FC">
            <w:pPr>
              <w:spacing w:after="0" w:line="240" w:lineRule="auto"/>
              <w:rPr>
                <w:rFonts w:ascii="Times New Roman" w:hAnsi="Times New Roman"/>
                <w:sz w:val="20"/>
                <w:szCs w:val="22"/>
                <w:lang w:eastAsia="sk-SK"/>
              </w:rPr>
            </w:pPr>
            <w:r w:rsidRPr="007C72FC">
              <w:rPr>
                <w:rFonts w:ascii="Times New Roman" w:hAnsi="Times New Roman"/>
                <w:b/>
                <w:sz w:val="20"/>
                <w:szCs w:val="22"/>
                <w:lang w:eastAsia="sk-SK"/>
              </w:rPr>
              <w:t>6.1.</w:t>
            </w:r>
            <w:r w:rsidRPr="007C72FC">
              <w:rPr>
                <w:rFonts w:ascii="Times New Roman" w:hAnsi="Times New Roman"/>
                <w:sz w:val="20"/>
                <w:szCs w:val="22"/>
                <w:lang w:eastAsia="sk-SK"/>
              </w:rPr>
              <w:t xml:space="preserve"> Predpokladá predložený návrh zmenu existujúcich koncových služieb verejnej správy, vytvorenie nových služieb pre občana alebo podnikateľa alebo má vplyv na zvýšené používanie existujúcich služieb?</w:t>
            </w:r>
          </w:p>
        </w:tc>
        <w:tc>
          <w:tcPr>
            <w:tcW w:w="1446" w:type="dxa"/>
          </w:tcPr>
          <w:p w14:paraId="2EFAACE9" w14:textId="77777777" w:rsidR="007C72FC" w:rsidRPr="007C72FC" w:rsidRDefault="007C72FC" w:rsidP="007C72FC">
            <w:pPr>
              <w:spacing w:after="0" w:line="240" w:lineRule="auto"/>
              <w:jc w:val="center"/>
              <w:rPr>
                <w:rFonts w:ascii="Times New Roman" w:hAnsi="Times New Roman"/>
                <w:b/>
                <w:szCs w:val="22"/>
                <w:lang w:eastAsia="sk-SK"/>
              </w:rPr>
            </w:pPr>
            <w:r w:rsidRPr="007C72FC">
              <w:rPr>
                <w:rFonts w:ascii="Times New Roman" w:hAnsi="Times New Roman"/>
                <w:b/>
                <w:szCs w:val="22"/>
                <w:lang w:eastAsia="sk-SK"/>
              </w:rPr>
              <w:t>A</w:t>
            </w:r>
          </w:p>
        </w:tc>
        <w:tc>
          <w:tcPr>
            <w:tcW w:w="1134" w:type="dxa"/>
            <w:gridSpan w:val="2"/>
          </w:tcPr>
          <w:p w14:paraId="61C83C96" w14:textId="77777777" w:rsidR="007C72FC" w:rsidRPr="007C72FC" w:rsidRDefault="007C72FC" w:rsidP="007C72FC">
            <w:pPr>
              <w:spacing w:after="0" w:line="240" w:lineRule="auto"/>
              <w:jc w:val="center"/>
              <w:rPr>
                <w:rFonts w:ascii="Times New Roman" w:hAnsi="Times New Roman"/>
                <w:b/>
                <w:szCs w:val="22"/>
                <w:lang w:eastAsia="sk-SK"/>
              </w:rPr>
            </w:pPr>
            <w:r w:rsidRPr="007C72FC">
              <w:rPr>
                <w:rFonts w:ascii="Times New Roman" w:hAnsi="Times New Roman"/>
                <w:b/>
                <w:szCs w:val="22"/>
                <w:lang w:eastAsia="sk-SK"/>
              </w:rPr>
              <w:t>ks_381432</w:t>
            </w:r>
          </w:p>
        </w:tc>
        <w:tc>
          <w:tcPr>
            <w:tcW w:w="1276" w:type="dxa"/>
            <w:gridSpan w:val="2"/>
          </w:tcPr>
          <w:p w14:paraId="59C92D71" w14:textId="77777777" w:rsidR="007C72FC" w:rsidRPr="007C72FC" w:rsidRDefault="007C72FC" w:rsidP="007C72FC">
            <w:pPr>
              <w:spacing w:after="0" w:line="240" w:lineRule="auto"/>
              <w:jc w:val="center"/>
              <w:rPr>
                <w:rFonts w:ascii="Times New Roman" w:hAnsi="Times New Roman"/>
                <w:b/>
                <w:szCs w:val="22"/>
                <w:lang w:eastAsia="sk-SK"/>
              </w:rPr>
            </w:pPr>
            <w:r w:rsidRPr="007C72FC">
              <w:rPr>
                <w:rFonts w:ascii="Times New Roman" w:hAnsi="Times New Roman"/>
                <w:b/>
                <w:szCs w:val="22"/>
                <w:lang w:eastAsia="sk-SK"/>
              </w:rPr>
              <w:t>Úhrada správneho a súdneho poplatku prostredníctvom IS ŠP.</w:t>
            </w:r>
          </w:p>
        </w:tc>
        <w:tc>
          <w:tcPr>
            <w:tcW w:w="1559" w:type="dxa"/>
          </w:tcPr>
          <w:p w14:paraId="15E137EC" w14:textId="77777777" w:rsidR="007C72FC" w:rsidRPr="007C72FC" w:rsidRDefault="007C72FC" w:rsidP="007C72FC">
            <w:pPr>
              <w:spacing w:after="0" w:line="240" w:lineRule="auto"/>
              <w:jc w:val="center"/>
              <w:rPr>
                <w:rFonts w:ascii="Times New Roman" w:hAnsi="Times New Roman"/>
                <w:b/>
                <w:i/>
                <w:szCs w:val="22"/>
                <w:lang w:eastAsia="sk-SK"/>
              </w:rPr>
            </w:pPr>
            <w:r w:rsidRPr="007C72FC">
              <w:rPr>
                <w:rFonts w:ascii="Times New Roman" w:hAnsi="Times New Roman"/>
                <w:b/>
                <w:i/>
                <w:szCs w:val="22"/>
                <w:lang w:eastAsia="sk-SK"/>
              </w:rPr>
              <w:t>4</w:t>
            </w:r>
          </w:p>
        </w:tc>
      </w:tr>
      <w:tr w:rsidR="007C72FC" w:rsidRPr="007C72FC" w14:paraId="4C93A048" w14:textId="77777777" w:rsidTr="00154BAB">
        <w:trPr>
          <w:trHeight w:val="20"/>
        </w:trPr>
        <w:tc>
          <w:tcPr>
            <w:tcW w:w="3956" w:type="dxa"/>
            <w:gridSpan w:val="2"/>
            <w:shd w:val="clear" w:color="auto" w:fill="C0C0C0"/>
            <w:vAlign w:val="center"/>
          </w:tcPr>
          <w:p w14:paraId="1B9718BF" w14:textId="77777777" w:rsidR="007C72FC" w:rsidRPr="007C72FC" w:rsidRDefault="007C72FC" w:rsidP="007C72FC">
            <w:pPr>
              <w:spacing w:after="0" w:line="240" w:lineRule="auto"/>
              <w:jc w:val="center"/>
              <w:rPr>
                <w:rFonts w:ascii="Times New Roman" w:hAnsi="Times New Roman"/>
                <w:b/>
                <w:sz w:val="20"/>
                <w:szCs w:val="20"/>
                <w:lang w:eastAsia="sk-SK"/>
              </w:rPr>
            </w:pPr>
            <w:r w:rsidRPr="007C72FC">
              <w:rPr>
                <w:rFonts w:ascii="Times New Roman" w:hAnsi="Times New Roman"/>
                <w:b/>
                <w:sz w:val="20"/>
                <w:szCs w:val="20"/>
                <w:lang w:eastAsia="sk-SK"/>
              </w:rPr>
              <w:t>Aplikačná a technologická vrstva</w:t>
            </w:r>
          </w:p>
        </w:tc>
        <w:tc>
          <w:tcPr>
            <w:tcW w:w="1446" w:type="dxa"/>
            <w:shd w:val="clear" w:color="auto" w:fill="C0C0C0"/>
          </w:tcPr>
          <w:p w14:paraId="0E9D20BF" w14:textId="77777777" w:rsidR="007C72FC" w:rsidRPr="007C72FC" w:rsidRDefault="007C72FC" w:rsidP="007C72FC">
            <w:pPr>
              <w:spacing w:after="0" w:line="240" w:lineRule="auto"/>
              <w:jc w:val="center"/>
              <w:rPr>
                <w:rFonts w:ascii="Times New Roman" w:hAnsi="Times New Roman"/>
                <w:b/>
                <w:sz w:val="20"/>
                <w:szCs w:val="20"/>
                <w:lang w:eastAsia="sk-SK"/>
              </w:rPr>
            </w:pPr>
            <w:r w:rsidRPr="007C72FC">
              <w:rPr>
                <w:rFonts w:ascii="Times New Roman" w:hAnsi="Times New Roman"/>
                <w:b/>
                <w:sz w:val="20"/>
                <w:szCs w:val="20"/>
                <w:lang w:eastAsia="sk-SK"/>
              </w:rPr>
              <w:t>A – nový systém</w:t>
            </w:r>
          </w:p>
          <w:p w14:paraId="3CFDEC32" w14:textId="77777777" w:rsidR="007C72FC" w:rsidRPr="007C72FC" w:rsidRDefault="007C72FC" w:rsidP="007C72FC">
            <w:pPr>
              <w:spacing w:after="0" w:line="240" w:lineRule="auto"/>
              <w:jc w:val="center"/>
              <w:rPr>
                <w:rFonts w:ascii="Times New Roman" w:hAnsi="Times New Roman"/>
                <w:b/>
                <w:sz w:val="20"/>
                <w:szCs w:val="20"/>
                <w:lang w:eastAsia="sk-SK"/>
              </w:rPr>
            </w:pPr>
            <w:r w:rsidRPr="007C72FC">
              <w:rPr>
                <w:rFonts w:ascii="Times New Roman" w:hAnsi="Times New Roman"/>
                <w:b/>
                <w:sz w:val="20"/>
                <w:szCs w:val="20"/>
                <w:lang w:eastAsia="sk-SK"/>
              </w:rPr>
              <w:t>B – zmena systému</w:t>
            </w:r>
          </w:p>
        </w:tc>
        <w:tc>
          <w:tcPr>
            <w:tcW w:w="1134" w:type="dxa"/>
            <w:gridSpan w:val="2"/>
            <w:shd w:val="clear" w:color="auto" w:fill="C0C0C0"/>
            <w:vAlign w:val="center"/>
          </w:tcPr>
          <w:p w14:paraId="745B0577" w14:textId="77777777" w:rsidR="007C72FC" w:rsidRPr="007C72FC" w:rsidRDefault="007C72FC" w:rsidP="007C72FC">
            <w:pPr>
              <w:spacing w:after="0" w:line="240" w:lineRule="auto"/>
              <w:jc w:val="center"/>
              <w:rPr>
                <w:rFonts w:ascii="Times New Roman" w:hAnsi="Times New Roman"/>
                <w:b/>
                <w:sz w:val="20"/>
                <w:szCs w:val="20"/>
                <w:lang w:eastAsia="sk-SK"/>
              </w:rPr>
            </w:pPr>
            <w:r w:rsidRPr="007C72FC">
              <w:rPr>
                <w:rFonts w:ascii="Times New Roman" w:hAnsi="Times New Roman"/>
                <w:b/>
                <w:sz w:val="20"/>
                <w:szCs w:val="20"/>
                <w:lang w:eastAsia="sk-SK"/>
              </w:rPr>
              <w:t>Kód systému</w:t>
            </w:r>
          </w:p>
        </w:tc>
        <w:tc>
          <w:tcPr>
            <w:tcW w:w="1276" w:type="dxa"/>
            <w:gridSpan w:val="2"/>
            <w:shd w:val="clear" w:color="auto" w:fill="C0C0C0"/>
            <w:vAlign w:val="center"/>
          </w:tcPr>
          <w:p w14:paraId="62ED951F" w14:textId="77777777" w:rsidR="007C72FC" w:rsidRPr="007C72FC" w:rsidRDefault="007C72FC" w:rsidP="007C72FC">
            <w:pPr>
              <w:spacing w:after="0" w:line="240" w:lineRule="auto"/>
              <w:jc w:val="center"/>
              <w:rPr>
                <w:rFonts w:ascii="Times New Roman" w:hAnsi="Times New Roman"/>
                <w:b/>
                <w:sz w:val="20"/>
                <w:szCs w:val="20"/>
                <w:lang w:eastAsia="sk-SK"/>
              </w:rPr>
            </w:pPr>
            <w:r w:rsidRPr="007C72FC">
              <w:rPr>
                <w:rFonts w:ascii="Times New Roman" w:hAnsi="Times New Roman"/>
                <w:b/>
                <w:sz w:val="20"/>
                <w:szCs w:val="20"/>
                <w:lang w:eastAsia="sk-SK"/>
              </w:rPr>
              <w:t>Názov systému</w:t>
            </w:r>
          </w:p>
        </w:tc>
        <w:tc>
          <w:tcPr>
            <w:tcW w:w="1559" w:type="dxa"/>
            <w:shd w:val="clear" w:color="auto" w:fill="C0C0C0"/>
            <w:vAlign w:val="center"/>
          </w:tcPr>
          <w:p w14:paraId="4F7EBFDF" w14:textId="77777777" w:rsidR="007C72FC" w:rsidRPr="007C72FC" w:rsidRDefault="007C72FC" w:rsidP="007C72FC">
            <w:pPr>
              <w:spacing w:after="0" w:line="240" w:lineRule="auto"/>
              <w:jc w:val="center"/>
              <w:rPr>
                <w:rFonts w:ascii="Times New Roman" w:hAnsi="Times New Roman"/>
                <w:b/>
                <w:sz w:val="20"/>
                <w:szCs w:val="20"/>
                <w:lang w:eastAsia="sk-SK"/>
              </w:rPr>
            </w:pPr>
            <w:r w:rsidRPr="007C72FC">
              <w:rPr>
                <w:rFonts w:ascii="Times New Roman" w:hAnsi="Times New Roman"/>
                <w:b/>
                <w:sz w:val="20"/>
                <w:szCs w:val="20"/>
                <w:lang w:eastAsia="sk-SK"/>
              </w:rPr>
              <w:t>Vo vládnom cloude – áno / nie</w:t>
            </w:r>
          </w:p>
        </w:tc>
      </w:tr>
      <w:tr w:rsidR="007C72FC" w:rsidRPr="007C72FC" w14:paraId="69FB06B2" w14:textId="77777777" w:rsidTr="00154BAB">
        <w:trPr>
          <w:trHeight w:val="20"/>
        </w:trPr>
        <w:tc>
          <w:tcPr>
            <w:tcW w:w="3956" w:type="dxa"/>
            <w:gridSpan w:val="2"/>
          </w:tcPr>
          <w:p w14:paraId="5678D4EE" w14:textId="77777777" w:rsidR="007C72FC" w:rsidRPr="007C72FC" w:rsidRDefault="007C72FC" w:rsidP="007C72FC">
            <w:pPr>
              <w:spacing w:after="0" w:line="240" w:lineRule="auto"/>
              <w:rPr>
                <w:rFonts w:ascii="Times New Roman" w:hAnsi="Times New Roman"/>
                <w:sz w:val="24"/>
                <w:szCs w:val="24"/>
                <w:lang w:eastAsia="sk-SK"/>
              </w:rPr>
            </w:pPr>
            <w:r w:rsidRPr="007C72FC">
              <w:rPr>
                <w:rFonts w:ascii="Times New Roman" w:hAnsi="Times New Roman"/>
                <w:b/>
                <w:sz w:val="20"/>
                <w:szCs w:val="20"/>
                <w:lang w:eastAsia="sk-SK"/>
              </w:rPr>
              <w:t>6.2.</w:t>
            </w:r>
            <w:r w:rsidRPr="007C72FC">
              <w:rPr>
                <w:rFonts w:ascii="Times New Roman" w:hAnsi="Times New Roman"/>
                <w:sz w:val="20"/>
                <w:szCs w:val="20"/>
                <w:lang w:eastAsia="sk-SK"/>
              </w:rPr>
              <w:t xml:space="preserve"> Predpokladá predložený návrh zmenu existujúceho alebo vytvorenie nového informačného systému verejnej správy? Predpokladá správca umiestnenie informačného systému vo vládnom cloude?</w:t>
            </w:r>
          </w:p>
        </w:tc>
        <w:tc>
          <w:tcPr>
            <w:tcW w:w="1446" w:type="dxa"/>
          </w:tcPr>
          <w:p w14:paraId="748D8214" w14:textId="77777777" w:rsidR="007C72FC" w:rsidRPr="007C72FC" w:rsidRDefault="007C72FC" w:rsidP="007C72FC">
            <w:pPr>
              <w:spacing w:after="0" w:line="240" w:lineRule="auto"/>
              <w:jc w:val="center"/>
              <w:rPr>
                <w:rFonts w:ascii="Times New Roman" w:hAnsi="Times New Roman"/>
                <w:i/>
                <w:iCs/>
                <w:sz w:val="24"/>
                <w:szCs w:val="24"/>
                <w:lang w:eastAsia="sk-SK"/>
              </w:rPr>
            </w:pPr>
            <w:r w:rsidRPr="007C72FC">
              <w:rPr>
                <w:rFonts w:ascii="Times New Roman" w:hAnsi="Times New Roman"/>
                <w:b/>
                <w:szCs w:val="22"/>
                <w:lang w:eastAsia="sk-SK"/>
              </w:rPr>
              <w:t>B</w:t>
            </w:r>
          </w:p>
        </w:tc>
        <w:tc>
          <w:tcPr>
            <w:tcW w:w="1134" w:type="dxa"/>
            <w:gridSpan w:val="2"/>
          </w:tcPr>
          <w:p w14:paraId="73C42E60" w14:textId="77777777" w:rsidR="007C72FC" w:rsidRPr="007C72FC" w:rsidRDefault="007C72FC" w:rsidP="007C72FC">
            <w:pPr>
              <w:spacing w:after="0" w:line="240" w:lineRule="auto"/>
              <w:jc w:val="center"/>
              <w:rPr>
                <w:rFonts w:ascii="Times New Roman" w:hAnsi="Times New Roman"/>
                <w:i/>
                <w:iCs/>
                <w:sz w:val="24"/>
                <w:szCs w:val="24"/>
                <w:lang w:eastAsia="sk-SK"/>
              </w:rPr>
            </w:pPr>
            <w:r w:rsidRPr="007C72FC">
              <w:rPr>
                <w:rFonts w:ascii="Times New Roman" w:hAnsi="Times New Roman"/>
                <w:sz w:val="20"/>
                <w:szCs w:val="20"/>
                <w:lang w:eastAsia="sk-SK"/>
              </w:rPr>
              <w:t>isvs_46</w:t>
            </w:r>
          </w:p>
        </w:tc>
        <w:tc>
          <w:tcPr>
            <w:tcW w:w="1276" w:type="dxa"/>
            <w:gridSpan w:val="2"/>
          </w:tcPr>
          <w:p w14:paraId="4834157B" w14:textId="77777777" w:rsidR="007C72FC" w:rsidRPr="007C72FC" w:rsidRDefault="007C72FC" w:rsidP="007C72FC">
            <w:pPr>
              <w:spacing w:after="0" w:line="240" w:lineRule="auto"/>
              <w:jc w:val="center"/>
              <w:rPr>
                <w:rFonts w:ascii="Times New Roman" w:hAnsi="Times New Roman"/>
                <w:i/>
                <w:iCs/>
                <w:sz w:val="24"/>
                <w:szCs w:val="24"/>
                <w:lang w:eastAsia="sk-SK"/>
              </w:rPr>
            </w:pPr>
            <w:r w:rsidRPr="007C72FC">
              <w:rPr>
                <w:rFonts w:ascii="Times New Roman" w:hAnsi="Times New Roman"/>
                <w:b/>
                <w:szCs w:val="22"/>
                <w:lang w:eastAsia="sk-SK"/>
              </w:rPr>
              <w:t xml:space="preserve">Informačný systém Štátnej pokladnice (IS ŠP) </w:t>
            </w:r>
          </w:p>
        </w:tc>
        <w:tc>
          <w:tcPr>
            <w:tcW w:w="1559" w:type="dxa"/>
          </w:tcPr>
          <w:p w14:paraId="1128EC39" w14:textId="77777777" w:rsidR="007C72FC" w:rsidRPr="007C72FC" w:rsidRDefault="007C72FC" w:rsidP="007C72FC">
            <w:pPr>
              <w:spacing w:after="0" w:line="240" w:lineRule="auto"/>
              <w:jc w:val="center"/>
              <w:rPr>
                <w:rFonts w:ascii="Times New Roman" w:hAnsi="Times New Roman"/>
                <w:b/>
                <w:iCs/>
                <w:sz w:val="24"/>
                <w:szCs w:val="24"/>
                <w:lang w:eastAsia="sk-SK"/>
              </w:rPr>
            </w:pPr>
            <w:r w:rsidRPr="007C72FC">
              <w:rPr>
                <w:rFonts w:ascii="Times New Roman" w:hAnsi="Times New Roman"/>
                <w:b/>
                <w:iCs/>
                <w:sz w:val="24"/>
                <w:szCs w:val="24"/>
                <w:lang w:eastAsia="sk-SK"/>
              </w:rPr>
              <w:t>nie</w:t>
            </w:r>
          </w:p>
        </w:tc>
      </w:tr>
      <w:tr w:rsidR="007C72FC" w:rsidRPr="007C72FC" w14:paraId="299000A2" w14:textId="77777777" w:rsidTr="00154BAB">
        <w:trPr>
          <w:trHeight w:val="20"/>
        </w:trPr>
        <w:tc>
          <w:tcPr>
            <w:tcW w:w="2634" w:type="dxa"/>
            <w:shd w:val="clear" w:color="auto" w:fill="BFBFBF"/>
            <w:vAlign w:val="center"/>
          </w:tcPr>
          <w:p w14:paraId="5E3CB926" w14:textId="77777777" w:rsidR="007C72FC" w:rsidRPr="007C72FC" w:rsidRDefault="007C72FC" w:rsidP="007C72FC">
            <w:pPr>
              <w:spacing w:after="0" w:line="20" w:lineRule="atLeast"/>
              <w:ind w:hanging="55"/>
              <w:jc w:val="center"/>
              <w:rPr>
                <w:rFonts w:ascii="Times New Roman" w:hAnsi="Times New Roman"/>
                <w:b/>
                <w:sz w:val="20"/>
                <w:szCs w:val="20"/>
                <w:lang w:eastAsia="sk-SK"/>
              </w:rPr>
            </w:pPr>
            <w:r w:rsidRPr="007C72FC">
              <w:rPr>
                <w:rFonts w:ascii="Times New Roman" w:hAnsi="Times New Roman"/>
                <w:b/>
                <w:sz w:val="20"/>
                <w:szCs w:val="20"/>
                <w:lang w:eastAsia="sk-SK"/>
              </w:rPr>
              <w:t>Financovanie procesu informatizácie</w:t>
            </w:r>
          </w:p>
        </w:tc>
        <w:tc>
          <w:tcPr>
            <w:tcW w:w="3402" w:type="dxa"/>
            <w:gridSpan w:val="3"/>
            <w:shd w:val="clear" w:color="auto" w:fill="BFBFBF"/>
            <w:vAlign w:val="center"/>
          </w:tcPr>
          <w:p w14:paraId="5A97C284" w14:textId="77777777" w:rsidR="007C72FC" w:rsidRPr="007C72FC" w:rsidRDefault="007C72FC" w:rsidP="007C72FC">
            <w:pPr>
              <w:spacing w:after="0" w:line="240" w:lineRule="auto"/>
              <w:jc w:val="center"/>
              <w:rPr>
                <w:rFonts w:ascii="Times New Roman" w:hAnsi="Times New Roman"/>
                <w:b/>
                <w:i/>
                <w:iCs/>
                <w:sz w:val="20"/>
                <w:szCs w:val="20"/>
                <w:lang w:eastAsia="sk-SK"/>
              </w:rPr>
            </w:pPr>
            <w:r w:rsidRPr="007C72FC">
              <w:rPr>
                <w:rFonts w:ascii="Times New Roman" w:hAnsi="Times New Roman"/>
                <w:b/>
                <w:sz w:val="20"/>
                <w:szCs w:val="20"/>
                <w:lang w:eastAsia="sk-SK"/>
              </w:rPr>
              <w:t>Rezortná úroveň</w:t>
            </w:r>
          </w:p>
        </w:tc>
        <w:tc>
          <w:tcPr>
            <w:tcW w:w="1350" w:type="dxa"/>
            <w:gridSpan w:val="2"/>
            <w:shd w:val="clear" w:color="auto" w:fill="BFBFBF"/>
            <w:vAlign w:val="center"/>
          </w:tcPr>
          <w:p w14:paraId="0B0E2862" w14:textId="77777777" w:rsidR="007C72FC" w:rsidRPr="007C72FC" w:rsidRDefault="007C72FC" w:rsidP="007C72FC">
            <w:pPr>
              <w:spacing w:after="0" w:line="240" w:lineRule="auto"/>
              <w:jc w:val="center"/>
              <w:rPr>
                <w:rFonts w:ascii="Times New Roman" w:hAnsi="Times New Roman"/>
                <w:b/>
                <w:i/>
                <w:iCs/>
                <w:sz w:val="20"/>
                <w:szCs w:val="20"/>
                <w:lang w:eastAsia="sk-SK"/>
              </w:rPr>
            </w:pPr>
            <w:r w:rsidRPr="007C72FC">
              <w:rPr>
                <w:rFonts w:ascii="Times New Roman" w:hAnsi="Times New Roman"/>
                <w:b/>
                <w:sz w:val="20"/>
                <w:szCs w:val="20"/>
                <w:lang w:eastAsia="sk-SK"/>
              </w:rPr>
              <w:t>Nadrezortná úroveň</w:t>
            </w:r>
          </w:p>
          <w:p w14:paraId="392FF6B1" w14:textId="77777777" w:rsidR="007C72FC" w:rsidRPr="007C72FC" w:rsidRDefault="007C72FC" w:rsidP="007C72FC">
            <w:pPr>
              <w:spacing w:after="0" w:line="240" w:lineRule="auto"/>
              <w:jc w:val="center"/>
              <w:rPr>
                <w:rFonts w:ascii="Times New Roman" w:hAnsi="Times New Roman"/>
                <w:b/>
                <w:sz w:val="20"/>
                <w:szCs w:val="20"/>
                <w:lang w:eastAsia="sk-SK"/>
              </w:rPr>
            </w:pPr>
          </w:p>
        </w:tc>
        <w:tc>
          <w:tcPr>
            <w:tcW w:w="1985" w:type="dxa"/>
            <w:gridSpan w:val="2"/>
            <w:shd w:val="clear" w:color="auto" w:fill="BFBFBF"/>
            <w:vAlign w:val="center"/>
          </w:tcPr>
          <w:p w14:paraId="0017BBE5" w14:textId="77777777" w:rsidR="007C72FC" w:rsidRPr="007C72FC" w:rsidRDefault="007C72FC" w:rsidP="007C72FC">
            <w:pPr>
              <w:spacing w:after="0" w:line="240" w:lineRule="auto"/>
              <w:rPr>
                <w:rFonts w:ascii="Times New Roman" w:hAnsi="Times New Roman"/>
                <w:b/>
                <w:sz w:val="20"/>
                <w:szCs w:val="20"/>
                <w:lang w:eastAsia="sk-SK"/>
              </w:rPr>
            </w:pPr>
            <w:r w:rsidRPr="007C72FC">
              <w:rPr>
                <w:rFonts w:ascii="Times New Roman" w:hAnsi="Times New Roman"/>
                <w:b/>
                <w:sz w:val="20"/>
                <w:szCs w:val="20"/>
                <w:lang w:eastAsia="sk-SK"/>
              </w:rPr>
              <w:t>A - z prostriedkov EÚ   B - z ďalších zdrojov financovania</w:t>
            </w:r>
          </w:p>
        </w:tc>
      </w:tr>
      <w:tr w:rsidR="007C72FC" w:rsidRPr="007C72FC" w14:paraId="6A26322D" w14:textId="77777777" w:rsidTr="00154BAB">
        <w:trPr>
          <w:trHeight w:val="20"/>
        </w:trPr>
        <w:tc>
          <w:tcPr>
            <w:tcW w:w="2634" w:type="dxa"/>
            <w:tcBorders>
              <w:bottom w:val="single" w:sz="4" w:space="0" w:color="auto"/>
            </w:tcBorders>
          </w:tcPr>
          <w:p w14:paraId="1475026D" w14:textId="77777777" w:rsidR="007C72FC" w:rsidRPr="007C72FC" w:rsidRDefault="007C72FC" w:rsidP="007C72FC">
            <w:pPr>
              <w:spacing w:after="0" w:line="240" w:lineRule="auto"/>
              <w:jc w:val="both"/>
              <w:rPr>
                <w:rFonts w:ascii="Times New Roman" w:hAnsi="Times New Roman"/>
                <w:sz w:val="20"/>
                <w:szCs w:val="22"/>
                <w:lang w:eastAsia="sk-SK"/>
              </w:rPr>
            </w:pPr>
            <w:r w:rsidRPr="007C72FC">
              <w:rPr>
                <w:rFonts w:ascii="Times New Roman" w:hAnsi="Times New Roman"/>
                <w:b/>
                <w:sz w:val="20"/>
                <w:szCs w:val="22"/>
                <w:lang w:eastAsia="sk-SK"/>
              </w:rPr>
              <w:t>6.3.</w:t>
            </w:r>
            <w:r w:rsidRPr="007C72FC">
              <w:rPr>
                <w:rFonts w:ascii="Times New Roman" w:hAnsi="Times New Roman"/>
                <w:sz w:val="20"/>
                <w:szCs w:val="22"/>
                <w:lang w:eastAsia="sk-SK"/>
              </w:rPr>
              <w:t xml:space="preserve"> Vyžaduje si proces informatizácie  finančné investície?</w:t>
            </w:r>
          </w:p>
          <w:p w14:paraId="67EAB9DB" w14:textId="77777777" w:rsidR="007C72FC" w:rsidRPr="007C72FC" w:rsidRDefault="007C72FC" w:rsidP="007C72FC">
            <w:pPr>
              <w:spacing w:after="0" w:line="20" w:lineRule="atLeast"/>
              <w:jc w:val="both"/>
              <w:rPr>
                <w:rFonts w:ascii="Times New Roman" w:hAnsi="Times New Roman"/>
                <w:sz w:val="24"/>
                <w:szCs w:val="24"/>
                <w:lang w:eastAsia="sk-SK"/>
              </w:rPr>
            </w:pPr>
            <w:r w:rsidRPr="007C72FC">
              <w:rPr>
                <w:rFonts w:ascii="Times New Roman" w:hAnsi="Times New Roman"/>
                <w:i/>
                <w:iCs/>
                <w:sz w:val="20"/>
                <w:szCs w:val="22"/>
                <w:lang w:eastAsia="sk-SK"/>
              </w:rPr>
              <w:t>(Uveďte príslušnú úroveň financovania a kvantifikáciu finančných výdavkov uveďte  v analýze vplyvov na rozpočet verejnej správy.)</w:t>
            </w:r>
          </w:p>
        </w:tc>
        <w:tc>
          <w:tcPr>
            <w:tcW w:w="3402" w:type="dxa"/>
            <w:gridSpan w:val="3"/>
            <w:tcBorders>
              <w:bottom w:val="single" w:sz="4" w:space="0" w:color="auto"/>
            </w:tcBorders>
          </w:tcPr>
          <w:p w14:paraId="32E8F17B" w14:textId="77777777" w:rsidR="007C72FC" w:rsidRPr="007C72FC" w:rsidRDefault="007C72FC" w:rsidP="007C72FC">
            <w:pPr>
              <w:spacing w:after="0" w:line="240" w:lineRule="auto"/>
              <w:jc w:val="center"/>
              <w:rPr>
                <w:rFonts w:ascii="Times New Roman" w:hAnsi="Times New Roman"/>
                <w:i/>
                <w:iCs/>
                <w:sz w:val="24"/>
                <w:szCs w:val="24"/>
                <w:lang w:eastAsia="sk-SK"/>
              </w:rPr>
            </w:pPr>
            <w:r w:rsidRPr="007C72FC">
              <w:rPr>
                <w:rFonts w:ascii="Times New Roman" w:hAnsi="Times New Roman"/>
                <w:sz w:val="20"/>
                <w:szCs w:val="22"/>
                <w:lang w:eastAsia="sk-SK"/>
              </w:rPr>
              <w:t>X</w:t>
            </w:r>
          </w:p>
        </w:tc>
        <w:tc>
          <w:tcPr>
            <w:tcW w:w="1350" w:type="dxa"/>
            <w:gridSpan w:val="2"/>
            <w:tcBorders>
              <w:bottom w:val="single" w:sz="4" w:space="0" w:color="auto"/>
            </w:tcBorders>
          </w:tcPr>
          <w:p w14:paraId="2D84DD3E" w14:textId="77777777" w:rsidR="007C72FC" w:rsidRPr="007C72FC" w:rsidRDefault="007C72FC" w:rsidP="007C72FC">
            <w:pPr>
              <w:spacing w:after="0" w:line="240" w:lineRule="auto"/>
              <w:rPr>
                <w:rFonts w:ascii="Times New Roman" w:hAnsi="Times New Roman"/>
                <w:i/>
                <w:iCs/>
                <w:sz w:val="24"/>
                <w:szCs w:val="24"/>
                <w:lang w:eastAsia="sk-SK"/>
              </w:rPr>
            </w:pPr>
          </w:p>
        </w:tc>
        <w:tc>
          <w:tcPr>
            <w:tcW w:w="1985" w:type="dxa"/>
            <w:gridSpan w:val="2"/>
            <w:tcBorders>
              <w:bottom w:val="single" w:sz="4" w:space="0" w:color="auto"/>
            </w:tcBorders>
          </w:tcPr>
          <w:p w14:paraId="5D285A08" w14:textId="77777777" w:rsidR="007C72FC" w:rsidRPr="007C72FC" w:rsidRDefault="007C72FC" w:rsidP="007C72FC">
            <w:pPr>
              <w:spacing w:after="0" w:line="240" w:lineRule="auto"/>
              <w:rPr>
                <w:rFonts w:ascii="Times New Roman" w:hAnsi="Times New Roman"/>
                <w:i/>
                <w:iCs/>
                <w:sz w:val="24"/>
                <w:szCs w:val="24"/>
                <w:lang w:eastAsia="sk-SK"/>
              </w:rPr>
            </w:pPr>
          </w:p>
          <w:p w14:paraId="7012BBD2" w14:textId="77777777" w:rsidR="007C72FC" w:rsidRPr="007C72FC" w:rsidRDefault="007C72FC" w:rsidP="007C72FC">
            <w:pPr>
              <w:spacing w:after="0" w:line="240" w:lineRule="auto"/>
              <w:rPr>
                <w:rFonts w:ascii="Times New Roman" w:hAnsi="Times New Roman"/>
                <w:i/>
                <w:iCs/>
                <w:sz w:val="24"/>
                <w:szCs w:val="24"/>
                <w:lang w:eastAsia="sk-SK"/>
              </w:rPr>
            </w:pPr>
          </w:p>
          <w:p w14:paraId="19BC5C1B" w14:textId="77777777" w:rsidR="007C72FC" w:rsidRPr="007C72FC" w:rsidRDefault="007C72FC" w:rsidP="007C72FC">
            <w:pPr>
              <w:spacing w:after="0" w:line="240" w:lineRule="auto"/>
              <w:jc w:val="center"/>
              <w:rPr>
                <w:rFonts w:ascii="Times New Roman" w:hAnsi="Times New Roman"/>
                <w:i/>
                <w:iCs/>
                <w:sz w:val="24"/>
                <w:szCs w:val="24"/>
                <w:lang w:eastAsia="sk-SK"/>
              </w:rPr>
            </w:pPr>
            <w:r w:rsidRPr="007C72FC">
              <w:rPr>
                <w:rFonts w:ascii="Times New Roman" w:hAnsi="Times New Roman"/>
                <w:b/>
                <w:iCs/>
                <w:sz w:val="24"/>
                <w:szCs w:val="24"/>
                <w:lang w:eastAsia="sk-SK"/>
              </w:rPr>
              <w:t>B</w:t>
            </w:r>
          </w:p>
        </w:tc>
      </w:tr>
      <w:tr w:rsidR="007C72FC" w:rsidRPr="007C72FC" w14:paraId="35867C22" w14:textId="77777777" w:rsidTr="00154BAB">
        <w:trPr>
          <w:trHeight w:val="20"/>
        </w:trPr>
        <w:tc>
          <w:tcPr>
            <w:tcW w:w="9371" w:type="dxa"/>
            <w:gridSpan w:val="8"/>
            <w:shd w:val="pct25" w:color="auto" w:fill="auto"/>
          </w:tcPr>
          <w:p w14:paraId="565FD54B" w14:textId="77777777" w:rsidR="007C72FC" w:rsidRPr="007C72FC" w:rsidRDefault="007C72FC" w:rsidP="007C72FC">
            <w:pPr>
              <w:spacing w:after="0" w:line="20" w:lineRule="atLeast"/>
              <w:ind w:hanging="55"/>
              <w:jc w:val="center"/>
              <w:rPr>
                <w:rFonts w:ascii="Times New Roman" w:hAnsi="Times New Roman"/>
                <w:i/>
                <w:iCs/>
                <w:sz w:val="24"/>
                <w:szCs w:val="24"/>
                <w:highlight w:val="darkGray"/>
                <w:lang w:eastAsia="sk-SK"/>
              </w:rPr>
            </w:pPr>
            <w:r w:rsidRPr="007C72FC">
              <w:rPr>
                <w:rFonts w:ascii="Times New Roman" w:hAnsi="Times New Roman"/>
                <w:b/>
                <w:sz w:val="24"/>
                <w:szCs w:val="24"/>
                <w:lang w:eastAsia="sk-SK"/>
              </w:rPr>
              <w:t>Zjednodušenie prístupu ku konaniu a odstraňovanie byrokracie</w:t>
            </w:r>
          </w:p>
        </w:tc>
      </w:tr>
      <w:tr w:rsidR="007C72FC" w:rsidRPr="007C72FC" w14:paraId="6C556A3E" w14:textId="77777777" w:rsidTr="00154BAB">
        <w:trPr>
          <w:trHeight w:val="20"/>
        </w:trPr>
        <w:tc>
          <w:tcPr>
            <w:tcW w:w="9371" w:type="dxa"/>
            <w:gridSpan w:val="8"/>
            <w:shd w:val="pct25" w:color="auto" w:fill="auto"/>
          </w:tcPr>
          <w:p w14:paraId="0354EEAF" w14:textId="77777777" w:rsidR="007C72FC" w:rsidRPr="007C72FC" w:rsidRDefault="007C72FC" w:rsidP="007C72FC">
            <w:pPr>
              <w:spacing w:after="0" w:line="20" w:lineRule="atLeast"/>
              <w:ind w:hanging="55"/>
              <w:jc w:val="center"/>
              <w:rPr>
                <w:rFonts w:ascii="Times New Roman" w:hAnsi="Times New Roman"/>
                <w:b/>
                <w:sz w:val="20"/>
                <w:szCs w:val="20"/>
                <w:lang w:eastAsia="sk-SK"/>
              </w:rPr>
            </w:pPr>
            <w:r w:rsidRPr="007C72FC">
              <w:rPr>
                <w:rFonts w:ascii="Times New Roman" w:hAnsi="Times New Roman"/>
                <w:b/>
                <w:sz w:val="20"/>
                <w:szCs w:val="20"/>
                <w:lang w:eastAsia="sk-SK"/>
              </w:rPr>
              <w:t>Elektronické konanie</w:t>
            </w:r>
          </w:p>
        </w:tc>
      </w:tr>
      <w:tr w:rsidR="007C72FC" w:rsidRPr="007C72FC" w14:paraId="766EFC5B" w14:textId="77777777" w:rsidTr="00154BAB">
        <w:trPr>
          <w:trHeight w:val="20"/>
        </w:trPr>
        <w:tc>
          <w:tcPr>
            <w:tcW w:w="3956" w:type="dxa"/>
            <w:gridSpan w:val="2"/>
          </w:tcPr>
          <w:p w14:paraId="23D9AEFC" w14:textId="77777777" w:rsidR="007C72FC" w:rsidRPr="007C72FC" w:rsidRDefault="007C72FC" w:rsidP="007C72FC">
            <w:pPr>
              <w:spacing w:after="0" w:line="240" w:lineRule="auto"/>
              <w:jc w:val="both"/>
              <w:rPr>
                <w:rFonts w:ascii="Times New Roman" w:hAnsi="Times New Roman"/>
                <w:b/>
                <w:sz w:val="20"/>
                <w:szCs w:val="22"/>
                <w:lang w:eastAsia="sk-SK"/>
              </w:rPr>
            </w:pPr>
            <w:r w:rsidRPr="007C72FC">
              <w:rPr>
                <w:rFonts w:ascii="Times New Roman" w:hAnsi="Times New Roman"/>
                <w:b/>
                <w:sz w:val="20"/>
                <w:szCs w:val="22"/>
                <w:lang w:eastAsia="sk-SK"/>
              </w:rPr>
              <w:t xml:space="preserve">6.4.1. </w:t>
            </w:r>
            <w:r w:rsidRPr="007C72FC">
              <w:rPr>
                <w:rFonts w:ascii="Times New Roman" w:hAnsi="Times New Roman"/>
                <w:sz w:val="20"/>
                <w:szCs w:val="22"/>
                <w:lang w:eastAsia="sk-SK"/>
              </w:rPr>
              <w:t>Predpokladá predložený návrh vedenie konania o právach, právom chránených záujmoch alebo povinnostiach fyzických osôb a právnických osôb?</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7C72FC" w:rsidRPr="007C72FC" w14:paraId="360C910F" w14:textId="77777777" w:rsidTr="00154BAB">
              <w:sdt>
                <w:sdtPr>
                  <w:rPr>
                    <w:rFonts w:ascii="Times New Roman" w:hAnsi="Times New Roman"/>
                    <w:sz w:val="20"/>
                    <w:szCs w:val="20"/>
                    <w:lang w:eastAsia="sk-SK"/>
                  </w:rPr>
                  <w:id w:val="1051428338"/>
                  <w14:checkbox>
                    <w14:checked w14:val="0"/>
                    <w14:checkedState w14:val="2612" w14:font="MS Gothic"/>
                    <w14:uncheckedState w14:val="2610" w14:font="MS Gothic"/>
                  </w14:checkbox>
                </w:sdtPr>
                <w:sdtEndPr/>
                <w:sdtContent>
                  <w:tc>
                    <w:tcPr>
                      <w:tcW w:w="436" w:type="dxa"/>
                    </w:tcPr>
                    <w:p w14:paraId="711AB7A9" w14:textId="77777777" w:rsidR="007C72FC" w:rsidRPr="007C72FC" w:rsidRDefault="007C72FC" w:rsidP="007C72FC">
                      <w:pPr>
                        <w:spacing w:after="0" w:line="240" w:lineRule="auto"/>
                        <w:jc w:val="center"/>
                        <w:rPr>
                          <w:rFonts w:ascii="Times New Roman" w:hAnsi="Times New Roman"/>
                          <w:sz w:val="20"/>
                          <w:szCs w:val="20"/>
                          <w:lang w:eastAsia="sk-SK"/>
                        </w:rPr>
                      </w:pPr>
                      <w:r w:rsidRPr="007C72FC">
                        <w:rPr>
                          <w:rFonts w:ascii="Times New Roman" w:hAnsi="Times New Roman" w:hint="eastAsia"/>
                          <w:sz w:val="20"/>
                          <w:szCs w:val="20"/>
                          <w:lang w:eastAsia="sk-SK"/>
                        </w:rPr>
                        <w:t>☐</w:t>
                      </w:r>
                    </w:p>
                  </w:tc>
                </w:sdtContent>
              </w:sdt>
              <w:tc>
                <w:tcPr>
                  <w:tcW w:w="8545" w:type="dxa"/>
                </w:tcPr>
                <w:p w14:paraId="2904BE7D" w14:textId="77777777" w:rsidR="007C72FC" w:rsidRPr="007C72FC" w:rsidRDefault="007C72FC" w:rsidP="007C72FC">
                  <w:pPr>
                    <w:spacing w:after="0" w:line="240" w:lineRule="auto"/>
                    <w:rPr>
                      <w:rFonts w:ascii="Times New Roman" w:hAnsi="Times New Roman"/>
                      <w:b/>
                      <w:sz w:val="20"/>
                      <w:szCs w:val="20"/>
                      <w:lang w:eastAsia="sk-SK"/>
                    </w:rPr>
                  </w:pPr>
                  <w:r w:rsidRPr="007C72FC">
                    <w:rPr>
                      <w:rFonts w:ascii="Times New Roman" w:hAnsi="Times New Roman"/>
                      <w:b/>
                      <w:sz w:val="20"/>
                      <w:szCs w:val="20"/>
                      <w:lang w:eastAsia="sk-SK"/>
                    </w:rPr>
                    <w:t>Áno</w:t>
                  </w:r>
                </w:p>
              </w:tc>
            </w:tr>
            <w:tr w:rsidR="007C72FC" w:rsidRPr="007C72FC" w14:paraId="72EBA845" w14:textId="77777777" w:rsidTr="00154BAB">
              <w:sdt>
                <w:sdtPr>
                  <w:rPr>
                    <w:rFonts w:ascii="Times New Roman" w:hAnsi="Times New Roman"/>
                    <w:sz w:val="20"/>
                    <w:szCs w:val="20"/>
                    <w:lang w:eastAsia="sk-SK"/>
                  </w:rPr>
                  <w:id w:val="-200025544"/>
                  <w14:checkbox>
                    <w14:checked w14:val="1"/>
                    <w14:checkedState w14:val="2612" w14:font="MS Gothic"/>
                    <w14:uncheckedState w14:val="2610" w14:font="MS Gothic"/>
                  </w14:checkbox>
                </w:sdtPr>
                <w:sdtEndPr/>
                <w:sdtContent>
                  <w:tc>
                    <w:tcPr>
                      <w:tcW w:w="436" w:type="dxa"/>
                    </w:tcPr>
                    <w:p w14:paraId="1B25C983" w14:textId="77777777" w:rsidR="007C72FC" w:rsidRPr="007C72FC" w:rsidRDefault="007C72FC" w:rsidP="007C72FC">
                      <w:pPr>
                        <w:spacing w:after="0" w:line="240" w:lineRule="auto"/>
                        <w:jc w:val="center"/>
                        <w:rPr>
                          <w:rFonts w:ascii="Times New Roman" w:hAnsi="Times New Roman"/>
                          <w:sz w:val="20"/>
                          <w:szCs w:val="20"/>
                          <w:lang w:eastAsia="sk-SK"/>
                        </w:rPr>
                      </w:pPr>
                      <w:r w:rsidRPr="007C72FC">
                        <w:rPr>
                          <w:rFonts w:ascii="Times New Roman" w:hAnsi="Times New Roman" w:hint="eastAsia"/>
                          <w:sz w:val="20"/>
                          <w:szCs w:val="20"/>
                          <w:lang w:eastAsia="sk-SK"/>
                        </w:rPr>
                        <w:t>☒</w:t>
                      </w:r>
                    </w:p>
                  </w:tc>
                </w:sdtContent>
              </w:sdt>
              <w:tc>
                <w:tcPr>
                  <w:tcW w:w="8545" w:type="dxa"/>
                </w:tcPr>
                <w:p w14:paraId="13B070FF" w14:textId="77777777" w:rsidR="007C72FC" w:rsidRPr="007C72FC" w:rsidRDefault="007C72FC" w:rsidP="007C72FC">
                  <w:pPr>
                    <w:spacing w:after="0" w:line="240" w:lineRule="auto"/>
                    <w:rPr>
                      <w:rFonts w:ascii="Times New Roman" w:hAnsi="Times New Roman"/>
                      <w:b/>
                      <w:sz w:val="20"/>
                      <w:szCs w:val="20"/>
                      <w:lang w:eastAsia="sk-SK"/>
                    </w:rPr>
                  </w:pPr>
                  <w:r w:rsidRPr="007C72FC">
                    <w:rPr>
                      <w:rFonts w:ascii="Times New Roman" w:hAnsi="Times New Roman"/>
                      <w:b/>
                      <w:sz w:val="20"/>
                      <w:szCs w:val="20"/>
                      <w:lang w:eastAsia="sk-SK"/>
                    </w:rPr>
                    <w:t>Nie</w:t>
                  </w:r>
                </w:p>
              </w:tc>
            </w:tr>
          </w:tbl>
          <w:p w14:paraId="55A363C3" w14:textId="77777777" w:rsidR="007C72FC" w:rsidRPr="007C72FC" w:rsidRDefault="007C72FC" w:rsidP="007C72FC">
            <w:pPr>
              <w:spacing w:after="0" w:line="240" w:lineRule="auto"/>
              <w:rPr>
                <w:rFonts w:ascii="Times New Roman" w:hAnsi="Times New Roman"/>
                <w:sz w:val="24"/>
                <w:szCs w:val="24"/>
                <w:lang w:eastAsia="sk-SK"/>
              </w:rPr>
            </w:pPr>
          </w:p>
        </w:tc>
        <w:tc>
          <w:tcPr>
            <w:tcW w:w="3969" w:type="dxa"/>
            <w:gridSpan w:val="5"/>
          </w:tcPr>
          <w:p w14:paraId="7837240D" w14:textId="77777777" w:rsidR="007C72FC" w:rsidRPr="007C72FC" w:rsidRDefault="007C72FC" w:rsidP="007C72FC">
            <w:pPr>
              <w:spacing w:after="0" w:line="240" w:lineRule="auto"/>
              <w:rPr>
                <w:rFonts w:ascii="Times New Roman" w:hAnsi="Times New Roman"/>
                <w:i/>
                <w:iCs/>
                <w:sz w:val="24"/>
                <w:szCs w:val="24"/>
                <w:lang w:eastAsia="sk-SK"/>
              </w:rPr>
            </w:pPr>
          </w:p>
        </w:tc>
      </w:tr>
      <w:tr w:rsidR="007C72FC" w:rsidRPr="007C72FC" w14:paraId="244491EE" w14:textId="77777777" w:rsidTr="00154BAB">
        <w:trPr>
          <w:trHeight w:val="20"/>
        </w:trPr>
        <w:tc>
          <w:tcPr>
            <w:tcW w:w="3956" w:type="dxa"/>
            <w:gridSpan w:val="2"/>
          </w:tcPr>
          <w:p w14:paraId="1AD43628" w14:textId="77777777" w:rsidR="007C72FC" w:rsidRPr="007C72FC" w:rsidRDefault="007C72FC" w:rsidP="007C72FC">
            <w:pPr>
              <w:spacing w:after="0" w:line="240" w:lineRule="auto"/>
              <w:jc w:val="both"/>
              <w:rPr>
                <w:rFonts w:ascii="Times New Roman" w:hAnsi="Times New Roman"/>
                <w:b/>
                <w:sz w:val="20"/>
                <w:szCs w:val="22"/>
                <w:lang w:eastAsia="sk-SK"/>
              </w:rPr>
            </w:pPr>
            <w:r w:rsidRPr="007C72FC">
              <w:rPr>
                <w:rFonts w:ascii="Times New Roman" w:hAnsi="Times New Roman"/>
                <w:b/>
                <w:sz w:val="20"/>
                <w:szCs w:val="22"/>
                <w:lang w:eastAsia="sk-SK"/>
              </w:rPr>
              <w:t xml:space="preserve">6.4.2. </w:t>
            </w:r>
            <w:r w:rsidRPr="007C72FC">
              <w:rPr>
                <w:rFonts w:ascii="Times New Roman" w:hAnsi="Times New Roman"/>
                <w:sz w:val="20"/>
                <w:szCs w:val="22"/>
                <w:lang w:eastAsia="sk-SK"/>
              </w:rPr>
              <w:t>Je dané konanie možné v celku vykonať elektronicky?</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7C72FC" w:rsidRPr="007C72FC" w14:paraId="572ABC74" w14:textId="77777777" w:rsidTr="00154BAB">
              <w:sdt>
                <w:sdtPr>
                  <w:rPr>
                    <w:rFonts w:ascii="Times New Roman" w:hAnsi="Times New Roman"/>
                    <w:sz w:val="20"/>
                    <w:szCs w:val="20"/>
                    <w:lang w:eastAsia="sk-SK"/>
                  </w:rPr>
                  <w:id w:val="-945843635"/>
                  <w14:checkbox>
                    <w14:checked w14:val="0"/>
                    <w14:checkedState w14:val="2612" w14:font="MS Gothic"/>
                    <w14:uncheckedState w14:val="2610" w14:font="MS Gothic"/>
                  </w14:checkbox>
                </w:sdtPr>
                <w:sdtEndPr/>
                <w:sdtContent>
                  <w:tc>
                    <w:tcPr>
                      <w:tcW w:w="436" w:type="dxa"/>
                    </w:tcPr>
                    <w:p w14:paraId="5A2E6330" w14:textId="77777777" w:rsidR="007C72FC" w:rsidRPr="007C72FC" w:rsidRDefault="007C72FC" w:rsidP="007C72FC">
                      <w:pPr>
                        <w:spacing w:after="0" w:line="240" w:lineRule="auto"/>
                        <w:jc w:val="center"/>
                        <w:rPr>
                          <w:rFonts w:ascii="Times New Roman" w:hAnsi="Times New Roman"/>
                          <w:sz w:val="20"/>
                          <w:szCs w:val="20"/>
                          <w:lang w:eastAsia="sk-SK"/>
                        </w:rPr>
                      </w:pPr>
                      <w:r w:rsidRPr="007C72FC">
                        <w:rPr>
                          <w:rFonts w:ascii="Times New Roman" w:hAnsi="Times New Roman" w:hint="eastAsia"/>
                          <w:sz w:val="20"/>
                          <w:szCs w:val="20"/>
                          <w:lang w:eastAsia="sk-SK"/>
                        </w:rPr>
                        <w:t>☐</w:t>
                      </w:r>
                    </w:p>
                  </w:tc>
                </w:sdtContent>
              </w:sdt>
              <w:tc>
                <w:tcPr>
                  <w:tcW w:w="8545" w:type="dxa"/>
                </w:tcPr>
                <w:p w14:paraId="40A00D4B" w14:textId="77777777" w:rsidR="007C72FC" w:rsidRPr="007C72FC" w:rsidRDefault="007C72FC" w:rsidP="007C72FC">
                  <w:pPr>
                    <w:spacing w:after="0" w:line="240" w:lineRule="auto"/>
                    <w:rPr>
                      <w:rFonts w:ascii="Times New Roman" w:hAnsi="Times New Roman"/>
                      <w:b/>
                      <w:sz w:val="20"/>
                      <w:szCs w:val="20"/>
                      <w:lang w:eastAsia="sk-SK"/>
                    </w:rPr>
                  </w:pPr>
                  <w:r w:rsidRPr="007C72FC">
                    <w:rPr>
                      <w:rFonts w:ascii="Times New Roman" w:hAnsi="Times New Roman"/>
                      <w:b/>
                      <w:sz w:val="20"/>
                      <w:szCs w:val="20"/>
                      <w:lang w:eastAsia="sk-SK"/>
                    </w:rPr>
                    <w:t>Áno</w:t>
                  </w:r>
                </w:p>
              </w:tc>
            </w:tr>
            <w:tr w:rsidR="007C72FC" w:rsidRPr="007C72FC" w14:paraId="269C66E8" w14:textId="77777777" w:rsidTr="00154BAB">
              <w:sdt>
                <w:sdtPr>
                  <w:rPr>
                    <w:rFonts w:ascii="Times New Roman" w:hAnsi="Times New Roman"/>
                    <w:sz w:val="20"/>
                    <w:szCs w:val="20"/>
                    <w:lang w:eastAsia="sk-SK"/>
                  </w:rPr>
                  <w:id w:val="31386459"/>
                  <w14:checkbox>
                    <w14:checked w14:val="1"/>
                    <w14:checkedState w14:val="2612" w14:font="MS Gothic"/>
                    <w14:uncheckedState w14:val="2610" w14:font="MS Gothic"/>
                  </w14:checkbox>
                </w:sdtPr>
                <w:sdtEndPr/>
                <w:sdtContent>
                  <w:tc>
                    <w:tcPr>
                      <w:tcW w:w="436" w:type="dxa"/>
                    </w:tcPr>
                    <w:p w14:paraId="1D8C8F8D" w14:textId="77777777" w:rsidR="007C72FC" w:rsidRPr="007C72FC" w:rsidRDefault="007C72FC" w:rsidP="007C72FC">
                      <w:pPr>
                        <w:spacing w:after="0" w:line="240" w:lineRule="auto"/>
                        <w:jc w:val="center"/>
                        <w:rPr>
                          <w:rFonts w:ascii="Times New Roman" w:hAnsi="Times New Roman"/>
                          <w:sz w:val="20"/>
                          <w:szCs w:val="20"/>
                          <w:lang w:eastAsia="sk-SK"/>
                        </w:rPr>
                      </w:pPr>
                      <w:r w:rsidRPr="007C72FC">
                        <w:rPr>
                          <w:rFonts w:ascii="Times New Roman" w:hAnsi="Times New Roman" w:hint="eastAsia"/>
                          <w:sz w:val="20"/>
                          <w:szCs w:val="20"/>
                          <w:lang w:eastAsia="sk-SK"/>
                        </w:rPr>
                        <w:t>☒</w:t>
                      </w:r>
                    </w:p>
                  </w:tc>
                </w:sdtContent>
              </w:sdt>
              <w:tc>
                <w:tcPr>
                  <w:tcW w:w="8545" w:type="dxa"/>
                </w:tcPr>
                <w:p w14:paraId="346BCCCB" w14:textId="77777777" w:rsidR="007C72FC" w:rsidRPr="007C72FC" w:rsidRDefault="007C72FC" w:rsidP="007C72FC">
                  <w:pPr>
                    <w:spacing w:after="0" w:line="240" w:lineRule="auto"/>
                    <w:rPr>
                      <w:rFonts w:ascii="Times New Roman" w:hAnsi="Times New Roman"/>
                      <w:b/>
                      <w:sz w:val="20"/>
                      <w:szCs w:val="20"/>
                      <w:lang w:eastAsia="sk-SK"/>
                    </w:rPr>
                  </w:pPr>
                  <w:r w:rsidRPr="007C72FC">
                    <w:rPr>
                      <w:rFonts w:ascii="Times New Roman" w:hAnsi="Times New Roman"/>
                      <w:b/>
                      <w:sz w:val="20"/>
                      <w:szCs w:val="20"/>
                      <w:lang w:eastAsia="sk-SK"/>
                    </w:rPr>
                    <w:t>Nie</w:t>
                  </w:r>
                </w:p>
              </w:tc>
            </w:tr>
          </w:tbl>
          <w:p w14:paraId="59249FFB" w14:textId="77777777" w:rsidR="007C72FC" w:rsidRPr="007C72FC" w:rsidRDefault="007C72FC" w:rsidP="007C72FC">
            <w:pPr>
              <w:spacing w:after="0" w:line="240" w:lineRule="auto"/>
              <w:rPr>
                <w:rFonts w:ascii="Times New Roman" w:hAnsi="Times New Roman"/>
                <w:sz w:val="24"/>
                <w:szCs w:val="24"/>
                <w:lang w:eastAsia="sk-SK"/>
              </w:rPr>
            </w:pPr>
          </w:p>
        </w:tc>
        <w:tc>
          <w:tcPr>
            <w:tcW w:w="3969" w:type="dxa"/>
            <w:gridSpan w:val="5"/>
          </w:tcPr>
          <w:p w14:paraId="6D1A47E2" w14:textId="77777777" w:rsidR="007C72FC" w:rsidRPr="007C72FC" w:rsidRDefault="007C72FC" w:rsidP="007C72FC">
            <w:pPr>
              <w:spacing w:after="0" w:line="240" w:lineRule="auto"/>
              <w:rPr>
                <w:rFonts w:ascii="Times New Roman" w:hAnsi="Times New Roman"/>
                <w:i/>
                <w:iCs/>
                <w:sz w:val="24"/>
                <w:szCs w:val="24"/>
                <w:lang w:eastAsia="sk-SK"/>
              </w:rPr>
            </w:pPr>
          </w:p>
        </w:tc>
      </w:tr>
      <w:tr w:rsidR="007C72FC" w:rsidRPr="007C72FC" w14:paraId="5D5F720C" w14:textId="77777777" w:rsidTr="00154BAB">
        <w:trPr>
          <w:trHeight w:val="20"/>
        </w:trPr>
        <w:tc>
          <w:tcPr>
            <w:tcW w:w="3956" w:type="dxa"/>
            <w:gridSpan w:val="2"/>
          </w:tcPr>
          <w:p w14:paraId="759F0F6E" w14:textId="77777777" w:rsidR="007C72FC" w:rsidRPr="007C72FC" w:rsidRDefault="007C72FC" w:rsidP="007C72FC">
            <w:pPr>
              <w:spacing w:after="0" w:line="240" w:lineRule="auto"/>
              <w:jc w:val="both"/>
              <w:rPr>
                <w:rFonts w:ascii="Times New Roman" w:hAnsi="Times New Roman"/>
                <w:b/>
                <w:sz w:val="20"/>
                <w:szCs w:val="22"/>
                <w:lang w:eastAsia="sk-SK"/>
              </w:rPr>
            </w:pPr>
            <w:r w:rsidRPr="007C72FC">
              <w:rPr>
                <w:rFonts w:ascii="Times New Roman" w:hAnsi="Times New Roman"/>
                <w:b/>
                <w:sz w:val="20"/>
                <w:szCs w:val="22"/>
                <w:lang w:eastAsia="sk-SK"/>
              </w:rPr>
              <w:t xml:space="preserve">6.4.3. </w:t>
            </w:r>
            <w:r w:rsidRPr="007C72FC">
              <w:rPr>
                <w:rFonts w:ascii="Times New Roman" w:hAnsi="Times New Roman"/>
                <w:sz w:val="20"/>
                <w:szCs w:val="22"/>
                <w:lang w:eastAsia="sk-SK"/>
              </w:rPr>
              <w:t>Je úprava konania kompatibilná s inštitútmi zákona o e-Governmente a je na dané konanie zákon o e-Governmente možné použiť?</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7C72FC" w:rsidRPr="007C72FC" w14:paraId="6C8C7E44" w14:textId="77777777" w:rsidTr="00154BAB">
              <w:sdt>
                <w:sdtPr>
                  <w:rPr>
                    <w:rFonts w:ascii="Times New Roman" w:hAnsi="Times New Roman"/>
                    <w:sz w:val="20"/>
                    <w:szCs w:val="20"/>
                    <w:lang w:eastAsia="sk-SK"/>
                  </w:rPr>
                  <w:id w:val="-812871524"/>
                  <w14:checkbox>
                    <w14:checked w14:val="0"/>
                    <w14:checkedState w14:val="2612" w14:font="MS Gothic"/>
                    <w14:uncheckedState w14:val="2610" w14:font="MS Gothic"/>
                  </w14:checkbox>
                </w:sdtPr>
                <w:sdtEndPr/>
                <w:sdtContent>
                  <w:tc>
                    <w:tcPr>
                      <w:tcW w:w="436" w:type="dxa"/>
                    </w:tcPr>
                    <w:p w14:paraId="721FE319" w14:textId="77777777" w:rsidR="007C72FC" w:rsidRPr="007C72FC" w:rsidRDefault="007C72FC" w:rsidP="007C72FC">
                      <w:pPr>
                        <w:spacing w:after="0" w:line="240" w:lineRule="auto"/>
                        <w:jc w:val="center"/>
                        <w:rPr>
                          <w:rFonts w:ascii="Times New Roman" w:hAnsi="Times New Roman"/>
                          <w:sz w:val="20"/>
                          <w:szCs w:val="20"/>
                          <w:lang w:eastAsia="sk-SK"/>
                        </w:rPr>
                      </w:pPr>
                      <w:r w:rsidRPr="007C72FC">
                        <w:rPr>
                          <w:rFonts w:ascii="Times New Roman" w:hAnsi="Times New Roman" w:hint="eastAsia"/>
                          <w:sz w:val="20"/>
                          <w:szCs w:val="20"/>
                          <w:lang w:eastAsia="sk-SK"/>
                        </w:rPr>
                        <w:t>☐</w:t>
                      </w:r>
                    </w:p>
                  </w:tc>
                </w:sdtContent>
              </w:sdt>
              <w:tc>
                <w:tcPr>
                  <w:tcW w:w="8545" w:type="dxa"/>
                </w:tcPr>
                <w:p w14:paraId="4C5824E7" w14:textId="77777777" w:rsidR="007C72FC" w:rsidRPr="007C72FC" w:rsidRDefault="007C72FC" w:rsidP="007C72FC">
                  <w:pPr>
                    <w:spacing w:after="0" w:line="240" w:lineRule="auto"/>
                    <w:rPr>
                      <w:rFonts w:ascii="Times New Roman" w:hAnsi="Times New Roman"/>
                      <w:b/>
                      <w:sz w:val="20"/>
                      <w:szCs w:val="20"/>
                      <w:lang w:eastAsia="sk-SK"/>
                    </w:rPr>
                  </w:pPr>
                  <w:r w:rsidRPr="007C72FC">
                    <w:rPr>
                      <w:rFonts w:ascii="Times New Roman" w:hAnsi="Times New Roman"/>
                      <w:b/>
                      <w:sz w:val="20"/>
                      <w:szCs w:val="20"/>
                      <w:lang w:eastAsia="sk-SK"/>
                    </w:rPr>
                    <w:t>Áno</w:t>
                  </w:r>
                </w:p>
              </w:tc>
            </w:tr>
            <w:tr w:rsidR="007C72FC" w:rsidRPr="007C72FC" w14:paraId="395EE1A2" w14:textId="77777777" w:rsidTr="00154BAB">
              <w:sdt>
                <w:sdtPr>
                  <w:rPr>
                    <w:rFonts w:ascii="Times New Roman" w:hAnsi="Times New Roman"/>
                    <w:sz w:val="20"/>
                    <w:szCs w:val="20"/>
                    <w:lang w:eastAsia="sk-SK"/>
                  </w:rPr>
                  <w:id w:val="441276830"/>
                  <w14:checkbox>
                    <w14:checked w14:val="0"/>
                    <w14:checkedState w14:val="2612" w14:font="MS Gothic"/>
                    <w14:uncheckedState w14:val="2610" w14:font="MS Gothic"/>
                  </w14:checkbox>
                </w:sdtPr>
                <w:sdtEndPr/>
                <w:sdtContent>
                  <w:tc>
                    <w:tcPr>
                      <w:tcW w:w="436" w:type="dxa"/>
                    </w:tcPr>
                    <w:p w14:paraId="64D4FA6D" w14:textId="77777777" w:rsidR="007C72FC" w:rsidRPr="007C72FC" w:rsidRDefault="007C72FC" w:rsidP="007C72FC">
                      <w:pPr>
                        <w:spacing w:after="0" w:line="240" w:lineRule="auto"/>
                        <w:jc w:val="center"/>
                        <w:rPr>
                          <w:rFonts w:ascii="Times New Roman" w:hAnsi="Times New Roman"/>
                          <w:sz w:val="20"/>
                          <w:szCs w:val="20"/>
                          <w:lang w:eastAsia="sk-SK"/>
                        </w:rPr>
                      </w:pPr>
                      <w:r w:rsidRPr="007C72FC">
                        <w:rPr>
                          <w:rFonts w:ascii="Times New Roman" w:hAnsi="Times New Roman" w:hint="eastAsia"/>
                          <w:sz w:val="20"/>
                          <w:szCs w:val="20"/>
                          <w:lang w:eastAsia="sk-SK"/>
                        </w:rPr>
                        <w:t>☐</w:t>
                      </w:r>
                    </w:p>
                  </w:tc>
                </w:sdtContent>
              </w:sdt>
              <w:tc>
                <w:tcPr>
                  <w:tcW w:w="8545" w:type="dxa"/>
                </w:tcPr>
                <w:p w14:paraId="59980E06" w14:textId="77777777" w:rsidR="007C72FC" w:rsidRPr="007C72FC" w:rsidRDefault="007C72FC" w:rsidP="007C72FC">
                  <w:pPr>
                    <w:spacing w:after="0" w:line="240" w:lineRule="auto"/>
                    <w:rPr>
                      <w:rFonts w:ascii="Times New Roman" w:hAnsi="Times New Roman"/>
                      <w:b/>
                      <w:sz w:val="20"/>
                      <w:szCs w:val="20"/>
                      <w:lang w:eastAsia="sk-SK"/>
                    </w:rPr>
                  </w:pPr>
                  <w:r w:rsidRPr="007C72FC">
                    <w:rPr>
                      <w:rFonts w:ascii="Times New Roman" w:hAnsi="Times New Roman"/>
                      <w:b/>
                      <w:sz w:val="20"/>
                      <w:szCs w:val="20"/>
                      <w:lang w:eastAsia="sk-SK"/>
                    </w:rPr>
                    <w:t>Nie</w:t>
                  </w:r>
                </w:p>
              </w:tc>
            </w:tr>
          </w:tbl>
          <w:p w14:paraId="0802DB72" w14:textId="77777777" w:rsidR="007C72FC" w:rsidRPr="007C72FC" w:rsidRDefault="007C72FC" w:rsidP="007C72FC">
            <w:pPr>
              <w:spacing w:after="0" w:line="240" w:lineRule="auto"/>
              <w:rPr>
                <w:rFonts w:ascii="Times New Roman" w:hAnsi="Times New Roman"/>
                <w:sz w:val="24"/>
                <w:szCs w:val="24"/>
                <w:lang w:eastAsia="sk-SK"/>
              </w:rPr>
            </w:pPr>
          </w:p>
        </w:tc>
        <w:tc>
          <w:tcPr>
            <w:tcW w:w="3969" w:type="dxa"/>
            <w:gridSpan w:val="5"/>
          </w:tcPr>
          <w:p w14:paraId="70A964DA" w14:textId="77777777" w:rsidR="007C72FC" w:rsidRPr="007C72FC" w:rsidRDefault="007C72FC" w:rsidP="007C72FC">
            <w:pPr>
              <w:spacing w:after="0" w:line="240" w:lineRule="auto"/>
              <w:rPr>
                <w:rFonts w:ascii="Times New Roman" w:hAnsi="Times New Roman"/>
                <w:i/>
                <w:iCs/>
                <w:sz w:val="20"/>
                <w:szCs w:val="22"/>
                <w:lang w:eastAsia="sk-SK"/>
              </w:rPr>
            </w:pPr>
            <w:r w:rsidRPr="007C72FC">
              <w:rPr>
                <w:rFonts w:ascii="Times New Roman" w:hAnsi="Times New Roman"/>
                <w:i/>
                <w:iCs/>
                <w:sz w:val="20"/>
                <w:szCs w:val="22"/>
                <w:lang w:eastAsia="sk-SK"/>
              </w:rPr>
              <w:t>Vzhľadom na odpoveď v bode 6.4.1. bezpredmetné.</w:t>
            </w:r>
          </w:p>
          <w:p w14:paraId="2D8EE121" w14:textId="77777777" w:rsidR="007C72FC" w:rsidRPr="007C72FC" w:rsidRDefault="007C72FC" w:rsidP="007C72FC">
            <w:pPr>
              <w:spacing w:after="0" w:line="240" w:lineRule="auto"/>
              <w:rPr>
                <w:rFonts w:ascii="Times New Roman" w:hAnsi="Times New Roman"/>
                <w:i/>
                <w:iCs/>
                <w:sz w:val="20"/>
                <w:szCs w:val="22"/>
                <w:lang w:eastAsia="sk-SK"/>
              </w:rPr>
            </w:pPr>
            <w:r w:rsidRPr="007C72FC">
              <w:rPr>
                <w:rFonts w:ascii="Times New Roman" w:hAnsi="Times New Roman"/>
                <w:i/>
                <w:iCs/>
                <w:sz w:val="20"/>
                <w:szCs w:val="22"/>
                <w:u w:val="single"/>
                <w:lang w:eastAsia="sk-SK"/>
              </w:rPr>
              <w:t>Poznámka nad rámec:</w:t>
            </w:r>
            <w:r w:rsidRPr="007C72FC">
              <w:rPr>
                <w:rFonts w:ascii="Times New Roman" w:hAnsi="Times New Roman"/>
                <w:i/>
                <w:iCs/>
                <w:sz w:val="20"/>
                <w:szCs w:val="22"/>
                <w:lang w:eastAsia="sk-SK"/>
              </w:rPr>
              <w:t xml:space="preserve"> Navrhované riešenie vytvorenia centrálneho systému evidencie poplatkov Štátnej pokladnice je v súlade s § 5 ods. 5 písm. c) zákona o eGovernmente. Na komplexné zosúladenie procesov vo vzťahu k elektrickým službám ústredného portálu verejnej správy, špecializovaných portálov je potrebné prijatie nového zákona o elektronickej verejnej správe, ktorého legislatívny zámer bol schválený vládou SR.</w:t>
            </w:r>
          </w:p>
        </w:tc>
      </w:tr>
      <w:tr w:rsidR="007C72FC" w:rsidRPr="007C72FC" w14:paraId="7469C090" w14:textId="77777777" w:rsidTr="007C72FC">
        <w:trPr>
          <w:trHeight w:val="20"/>
        </w:trPr>
        <w:tc>
          <w:tcPr>
            <w:tcW w:w="9371" w:type="dxa"/>
            <w:gridSpan w:val="8"/>
            <w:shd w:val="clear" w:color="auto" w:fill="BFBFBF"/>
          </w:tcPr>
          <w:p w14:paraId="31A72601" w14:textId="77777777" w:rsidR="007C72FC" w:rsidRPr="007C72FC" w:rsidRDefault="007C72FC" w:rsidP="007C72FC">
            <w:pPr>
              <w:spacing w:after="0" w:line="20" w:lineRule="atLeast"/>
              <w:ind w:hanging="55"/>
              <w:jc w:val="center"/>
              <w:rPr>
                <w:rFonts w:ascii="Times New Roman" w:hAnsi="Times New Roman"/>
                <w:i/>
                <w:iCs/>
                <w:sz w:val="20"/>
                <w:szCs w:val="20"/>
                <w:lang w:eastAsia="sk-SK"/>
              </w:rPr>
            </w:pPr>
            <w:r w:rsidRPr="007C72FC">
              <w:rPr>
                <w:rFonts w:ascii="Times New Roman" w:hAnsi="Times New Roman"/>
                <w:b/>
                <w:sz w:val="20"/>
                <w:szCs w:val="20"/>
                <w:lang w:eastAsia="sk-SK"/>
              </w:rPr>
              <w:t>Zásada „jedenkrát a dosť“</w:t>
            </w:r>
          </w:p>
        </w:tc>
      </w:tr>
      <w:tr w:rsidR="007C72FC" w:rsidRPr="007C72FC" w14:paraId="4722F30C" w14:textId="77777777" w:rsidTr="00154BAB">
        <w:trPr>
          <w:trHeight w:val="20"/>
        </w:trPr>
        <w:tc>
          <w:tcPr>
            <w:tcW w:w="3956" w:type="dxa"/>
            <w:gridSpan w:val="2"/>
          </w:tcPr>
          <w:p w14:paraId="180D4A1A" w14:textId="77777777" w:rsidR="007C72FC" w:rsidRPr="007C72FC" w:rsidRDefault="007C72FC" w:rsidP="007C72FC">
            <w:pPr>
              <w:spacing w:after="0" w:line="240" w:lineRule="auto"/>
              <w:jc w:val="both"/>
              <w:rPr>
                <w:rFonts w:ascii="Times New Roman" w:hAnsi="Times New Roman"/>
                <w:b/>
                <w:sz w:val="20"/>
                <w:szCs w:val="22"/>
                <w:lang w:eastAsia="sk-SK"/>
              </w:rPr>
            </w:pPr>
            <w:r w:rsidRPr="007C72FC">
              <w:rPr>
                <w:rFonts w:ascii="Times New Roman" w:hAnsi="Times New Roman"/>
                <w:b/>
                <w:sz w:val="20"/>
                <w:szCs w:val="22"/>
                <w:lang w:eastAsia="sk-SK"/>
              </w:rPr>
              <w:t xml:space="preserve">6.5.1. </w:t>
            </w:r>
            <w:r w:rsidRPr="007C72FC">
              <w:rPr>
                <w:rFonts w:ascii="Times New Roman" w:hAnsi="Times New Roman"/>
                <w:bCs/>
                <w:sz w:val="20"/>
                <w:szCs w:val="22"/>
                <w:lang w:eastAsia="sk-SK"/>
              </w:rPr>
              <w:t>Predpokladá predložený návrh predkladanie dokumentov, informácií alebo preukazovanie skutočností (ďalej len „údaje“) orgánu, ktorý konanie vedie?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7C72FC" w:rsidRPr="007C72FC" w14:paraId="46D375FE" w14:textId="77777777" w:rsidTr="00154BAB">
              <w:sdt>
                <w:sdtPr>
                  <w:rPr>
                    <w:rFonts w:ascii="Times New Roman" w:hAnsi="Times New Roman"/>
                    <w:sz w:val="20"/>
                    <w:szCs w:val="20"/>
                    <w:lang w:eastAsia="sk-SK"/>
                  </w:rPr>
                  <w:id w:val="43339831"/>
                  <w14:checkbox>
                    <w14:checked w14:val="0"/>
                    <w14:checkedState w14:val="2612" w14:font="MS Gothic"/>
                    <w14:uncheckedState w14:val="2610" w14:font="MS Gothic"/>
                  </w14:checkbox>
                </w:sdtPr>
                <w:sdtEndPr/>
                <w:sdtContent>
                  <w:tc>
                    <w:tcPr>
                      <w:tcW w:w="436" w:type="dxa"/>
                    </w:tcPr>
                    <w:p w14:paraId="50E08F9A" w14:textId="77777777" w:rsidR="007C72FC" w:rsidRPr="007C72FC" w:rsidRDefault="007C72FC" w:rsidP="007C72FC">
                      <w:pPr>
                        <w:spacing w:after="0" w:line="240" w:lineRule="auto"/>
                        <w:jc w:val="center"/>
                        <w:rPr>
                          <w:rFonts w:ascii="Times New Roman" w:hAnsi="Times New Roman"/>
                          <w:sz w:val="20"/>
                          <w:szCs w:val="20"/>
                          <w:lang w:eastAsia="sk-SK"/>
                        </w:rPr>
                      </w:pPr>
                      <w:r w:rsidRPr="007C72FC">
                        <w:rPr>
                          <w:rFonts w:ascii="Segoe UI Symbol" w:hAnsi="Segoe UI Symbol" w:cs="Segoe UI Symbol"/>
                          <w:sz w:val="20"/>
                          <w:szCs w:val="20"/>
                          <w:lang w:eastAsia="sk-SK"/>
                        </w:rPr>
                        <w:t>☐</w:t>
                      </w:r>
                    </w:p>
                  </w:tc>
                </w:sdtContent>
              </w:sdt>
              <w:tc>
                <w:tcPr>
                  <w:tcW w:w="8545" w:type="dxa"/>
                </w:tcPr>
                <w:p w14:paraId="51F1DDB6" w14:textId="77777777" w:rsidR="007C72FC" w:rsidRPr="007C72FC" w:rsidRDefault="007C72FC" w:rsidP="007C72FC">
                  <w:pPr>
                    <w:spacing w:after="0" w:line="240" w:lineRule="auto"/>
                    <w:rPr>
                      <w:rFonts w:ascii="Times New Roman" w:hAnsi="Times New Roman"/>
                      <w:b/>
                      <w:sz w:val="20"/>
                      <w:szCs w:val="20"/>
                      <w:lang w:eastAsia="sk-SK"/>
                    </w:rPr>
                  </w:pPr>
                  <w:r w:rsidRPr="007C72FC">
                    <w:rPr>
                      <w:rFonts w:ascii="Times New Roman" w:hAnsi="Times New Roman"/>
                      <w:b/>
                      <w:sz w:val="20"/>
                      <w:szCs w:val="20"/>
                      <w:lang w:eastAsia="sk-SK"/>
                    </w:rPr>
                    <w:t>Áno</w:t>
                  </w:r>
                </w:p>
              </w:tc>
            </w:tr>
            <w:tr w:rsidR="007C72FC" w:rsidRPr="007C72FC" w14:paraId="1E1B33AB" w14:textId="77777777" w:rsidTr="00154BAB">
              <w:sdt>
                <w:sdtPr>
                  <w:rPr>
                    <w:rFonts w:ascii="Times New Roman" w:hAnsi="Times New Roman"/>
                    <w:sz w:val="20"/>
                    <w:szCs w:val="20"/>
                    <w:lang w:eastAsia="sk-SK"/>
                  </w:rPr>
                  <w:id w:val="-79453833"/>
                  <w14:checkbox>
                    <w14:checked w14:val="1"/>
                    <w14:checkedState w14:val="2612" w14:font="MS Gothic"/>
                    <w14:uncheckedState w14:val="2610" w14:font="MS Gothic"/>
                  </w14:checkbox>
                </w:sdtPr>
                <w:sdtEndPr/>
                <w:sdtContent>
                  <w:tc>
                    <w:tcPr>
                      <w:tcW w:w="436" w:type="dxa"/>
                    </w:tcPr>
                    <w:p w14:paraId="39627A2C" w14:textId="77777777" w:rsidR="007C72FC" w:rsidRPr="007C72FC" w:rsidRDefault="007C72FC" w:rsidP="007C72FC">
                      <w:pPr>
                        <w:spacing w:after="0" w:line="240" w:lineRule="auto"/>
                        <w:jc w:val="center"/>
                        <w:rPr>
                          <w:rFonts w:ascii="Times New Roman" w:hAnsi="Times New Roman"/>
                          <w:sz w:val="20"/>
                          <w:szCs w:val="20"/>
                          <w:lang w:eastAsia="sk-SK"/>
                        </w:rPr>
                      </w:pPr>
                      <w:r w:rsidRPr="007C72FC">
                        <w:rPr>
                          <w:rFonts w:ascii="Times New Roman" w:hAnsi="Times New Roman" w:hint="eastAsia"/>
                          <w:sz w:val="20"/>
                          <w:szCs w:val="20"/>
                          <w:lang w:eastAsia="sk-SK"/>
                        </w:rPr>
                        <w:t>☒</w:t>
                      </w:r>
                    </w:p>
                  </w:tc>
                </w:sdtContent>
              </w:sdt>
              <w:tc>
                <w:tcPr>
                  <w:tcW w:w="8545" w:type="dxa"/>
                </w:tcPr>
                <w:p w14:paraId="11F5CF37" w14:textId="77777777" w:rsidR="007C72FC" w:rsidRPr="007C72FC" w:rsidRDefault="007C72FC" w:rsidP="007C72FC">
                  <w:pPr>
                    <w:spacing w:after="0" w:line="240" w:lineRule="auto"/>
                    <w:rPr>
                      <w:rFonts w:ascii="Times New Roman" w:hAnsi="Times New Roman"/>
                      <w:b/>
                      <w:sz w:val="20"/>
                      <w:szCs w:val="20"/>
                      <w:lang w:eastAsia="sk-SK"/>
                    </w:rPr>
                  </w:pPr>
                  <w:r w:rsidRPr="007C72FC">
                    <w:rPr>
                      <w:rFonts w:ascii="Times New Roman" w:hAnsi="Times New Roman"/>
                      <w:b/>
                      <w:sz w:val="20"/>
                      <w:szCs w:val="20"/>
                      <w:lang w:eastAsia="sk-SK"/>
                    </w:rPr>
                    <w:t>Nie</w:t>
                  </w:r>
                </w:p>
              </w:tc>
            </w:tr>
          </w:tbl>
          <w:p w14:paraId="1499F3ED" w14:textId="77777777" w:rsidR="007C72FC" w:rsidRPr="007C72FC" w:rsidRDefault="007C72FC" w:rsidP="007C72FC">
            <w:pPr>
              <w:spacing w:after="0" w:line="240" w:lineRule="auto"/>
              <w:rPr>
                <w:rFonts w:ascii="Times New Roman" w:hAnsi="Times New Roman"/>
                <w:sz w:val="24"/>
                <w:szCs w:val="24"/>
                <w:lang w:eastAsia="sk-SK"/>
              </w:rPr>
            </w:pPr>
          </w:p>
        </w:tc>
        <w:tc>
          <w:tcPr>
            <w:tcW w:w="3969" w:type="dxa"/>
            <w:gridSpan w:val="5"/>
          </w:tcPr>
          <w:p w14:paraId="712F858A" w14:textId="77777777" w:rsidR="007C72FC" w:rsidRPr="007C72FC" w:rsidRDefault="007C72FC" w:rsidP="007C72FC">
            <w:pPr>
              <w:spacing w:after="0" w:line="20" w:lineRule="atLeast"/>
              <w:jc w:val="both"/>
              <w:rPr>
                <w:rFonts w:ascii="Times New Roman" w:hAnsi="Times New Roman"/>
                <w:i/>
                <w:iCs/>
                <w:sz w:val="24"/>
                <w:szCs w:val="24"/>
                <w:lang w:eastAsia="sk-SK"/>
              </w:rPr>
            </w:pPr>
          </w:p>
        </w:tc>
      </w:tr>
      <w:tr w:rsidR="007C72FC" w:rsidRPr="007C72FC" w14:paraId="64FC0EFB" w14:textId="77777777" w:rsidTr="00154BAB">
        <w:trPr>
          <w:trHeight w:val="20"/>
        </w:trPr>
        <w:tc>
          <w:tcPr>
            <w:tcW w:w="3956" w:type="dxa"/>
            <w:gridSpan w:val="2"/>
          </w:tcPr>
          <w:p w14:paraId="22D2ED33" w14:textId="77777777" w:rsidR="007C72FC" w:rsidRPr="007C72FC" w:rsidRDefault="007C72FC" w:rsidP="007C72FC">
            <w:pPr>
              <w:spacing w:after="0" w:line="240" w:lineRule="auto"/>
              <w:jc w:val="both"/>
              <w:rPr>
                <w:rFonts w:ascii="Times New Roman" w:hAnsi="Times New Roman"/>
                <w:b/>
                <w:sz w:val="20"/>
                <w:szCs w:val="22"/>
                <w:lang w:eastAsia="sk-SK"/>
              </w:rPr>
            </w:pPr>
            <w:r w:rsidRPr="007C72FC">
              <w:rPr>
                <w:rFonts w:ascii="Times New Roman" w:hAnsi="Times New Roman"/>
                <w:b/>
                <w:sz w:val="20"/>
                <w:szCs w:val="22"/>
                <w:lang w:eastAsia="sk-SK"/>
              </w:rPr>
              <w:t xml:space="preserve">6.5.2. </w:t>
            </w:r>
            <w:r w:rsidRPr="007C72FC">
              <w:rPr>
                <w:rFonts w:ascii="Times New Roman" w:hAnsi="Times New Roman"/>
                <w:bCs/>
                <w:sz w:val="20"/>
                <w:szCs w:val="22"/>
                <w:lang w:eastAsia="sk-SK"/>
              </w:rPr>
              <w:t>Predpokladá predložený návrh, aby sa predkladali údaje, ktoré sa nachádzajú v zákonom ustanovenej evidencii vedenej orgánom, ktorý konanie vedie alebo iným orgánom?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7C72FC" w:rsidRPr="007C72FC" w14:paraId="32A4B599" w14:textId="77777777" w:rsidTr="00154BAB">
              <w:sdt>
                <w:sdtPr>
                  <w:rPr>
                    <w:rFonts w:ascii="Times New Roman" w:hAnsi="Times New Roman"/>
                    <w:sz w:val="20"/>
                    <w:szCs w:val="20"/>
                    <w:lang w:eastAsia="sk-SK"/>
                  </w:rPr>
                  <w:id w:val="450372319"/>
                  <w14:checkbox>
                    <w14:checked w14:val="0"/>
                    <w14:checkedState w14:val="2612" w14:font="MS Gothic"/>
                    <w14:uncheckedState w14:val="2610" w14:font="MS Gothic"/>
                  </w14:checkbox>
                </w:sdtPr>
                <w:sdtEndPr/>
                <w:sdtContent>
                  <w:tc>
                    <w:tcPr>
                      <w:tcW w:w="436" w:type="dxa"/>
                    </w:tcPr>
                    <w:p w14:paraId="10E28F34" w14:textId="77777777" w:rsidR="007C72FC" w:rsidRPr="007C72FC" w:rsidRDefault="007C72FC" w:rsidP="007C72FC">
                      <w:pPr>
                        <w:spacing w:after="0" w:line="240" w:lineRule="auto"/>
                        <w:jc w:val="center"/>
                        <w:rPr>
                          <w:rFonts w:ascii="Times New Roman" w:hAnsi="Times New Roman"/>
                          <w:sz w:val="20"/>
                          <w:szCs w:val="20"/>
                          <w:lang w:eastAsia="sk-SK"/>
                        </w:rPr>
                      </w:pPr>
                      <w:r w:rsidRPr="007C72FC">
                        <w:rPr>
                          <w:rFonts w:ascii="Segoe UI Symbol" w:hAnsi="Segoe UI Symbol" w:cs="Segoe UI Symbol"/>
                          <w:sz w:val="20"/>
                          <w:szCs w:val="20"/>
                          <w:lang w:eastAsia="sk-SK"/>
                        </w:rPr>
                        <w:t>☐</w:t>
                      </w:r>
                    </w:p>
                  </w:tc>
                </w:sdtContent>
              </w:sdt>
              <w:tc>
                <w:tcPr>
                  <w:tcW w:w="8545" w:type="dxa"/>
                </w:tcPr>
                <w:p w14:paraId="5E9C70EA" w14:textId="77777777" w:rsidR="007C72FC" w:rsidRPr="007C72FC" w:rsidRDefault="007C72FC" w:rsidP="007C72FC">
                  <w:pPr>
                    <w:spacing w:after="0" w:line="240" w:lineRule="auto"/>
                    <w:rPr>
                      <w:rFonts w:ascii="Times New Roman" w:hAnsi="Times New Roman"/>
                      <w:b/>
                      <w:sz w:val="20"/>
                      <w:szCs w:val="20"/>
                      <w:lang w:eastAsia="sk-SK"/>
                    </w:rPr>
                  </w:pPr>
                  <w:r w:rsidRPr="007C72FC">
                    <w:rPr>
                      <w:rFonts w:ascii="Times New Roman" w:hAnsi="Times New Roman"/>
                      <w:b/>
                      <w:sz w:val="20"/>
                      <w:szCs w:val="20"/>
                      <w:lang w:eastAsia="sk-SK"/>
                    </w:rPr>
                    <w:t>Áno</w:t>
                  </w:r>
                </w:p>
              </w:tc>
            </w:tr>
            <w:tr w:rsidR="007C72FC" w:rsidRPr="007C72FC" w14:paraId="52A4A260" w14:textId="77777777" w:rsidTr="00154BAB">
              <w:sdt>
                <w:sdtPr>
                  <w:rPr>
                    <w:rFonts w:ascii="Times New Roman" w:hAnsi="Times New Roman"/>
                    <w:sz w:val="20"/>
                    <w:szCs w:val="20"/>
                    <w:lang w:eastAsia="sk-SK"/>
                  </w:rPr>
                  <w:id w:val="617261598"/>
                  <w14:checkbox>
                    <w14:checked w14:val="1"/>
                    <w14:checkedState w14:val="2612" w14:font="MS Gothic"/>
                    <w14:uncheckedState w14:val="2610" w14:font="MS Gothic"/>
                  </w14:checkbox>
                </w:sdtPr>
                <w:sdtEndPr/>
                <w:sdtContent>
                  <w:tc>
                    <w:tcPr>
                      <w:tcW w:w="436" w:type="dxa"/>
                    </w:tcPr>
                    <w:p w14:paraId="73D77A55" w14:textId="77777777" w:rsidR="007C72FC" w:rsidRPr="007C72FC" w:rsidRDefault="007C72FC" w:rsidP="007C72FC">
                      <w:pPr>
                        <w:spacing w:after="0" w:line="240" w:lineRule="auto"/>
                        <w:jc w:val="center"/>
                        <w:rPr>
                          <w:rFonts w:ascii="Times New Roman" w:hAnsi="Times New Roman"/>
                          <w:sz w:val="20"/>
                          <w:szCs w:val="20"/>
                          <w:lang w:eastAsia="sk-SK"/>
                        </w:rPr>
                      </w:pPr>
                      <w:r w:rsidRPr="007C72FC">
                        <w:rPr>
                          <w:rFonts w:ascii="Times New Roman" w:hAnsi="Times New Roman" w:hint="eastAsia"/>
                          <w:sz w:val="20"/>
                          <w:szCs w:val="20"/>
                          <w:lang w:eastAsia="sk-SK"/>
                        </w:rPr>
                        <w:t>☒</w:t>
                      </w:r>
                    </w:p>
                  </w:tc>
                </w:sdtContent>
              </w:sdt>
              <w:tc>
                <w:tcPr>
                  <w:tcW w:w="8545" w:type="dxa"/>
                </w:tcPr>
                <w:p w14:paraId="2C7D0139" w14:textId="77777777" w:rsidR="007C72FC" w:rsidRPr="007C72FC" w:rsidRDefault="007C72FC" w:rsidP="007C72FC">
                  <w:pPr>
                    <w:spacing w:after="0" w:line="240" w:lineRule="auto"/>
                    <w:rPr>
                      <w:rFonts w:ascii="Times New Roman" w:hAnsi="Times New Roman"/>
                      <w:b/>
                      <w:sz w:val="20"/>
                      <w:szCs w:val="20"/>
                      <w:lang w:eastAsia="sk-SK"/>
                    </w:rPr>
                  </w:pPr>
                  <w:r w:rsidRPr="007C72FC">
                    <w:rPr>
                      <w:rFonts w:ascii="Times New Roman" w:hAnsi="Times New Roman"/>
                      <w:b/>
                      <w:sz w:val="20"/>
                      <w:szCs w:val="20"/>
                      <w:lang w:eastAsia="sk-SK"/>
                    </w:rPr>
                    <w:t>Nie</w:t>
                  </w:r>
                </w:p>
              </w:tc>
            </w:tr>
          </w:tbl>
          <w:p w14:paraId="10F61F55" w14:textId="77777777" w:rsidR="007C72FC" w:rsidRPr="007C72FC" w:rsidRDefault="007C72FC" w:rsidP="007C72FC">
            <w:pPr>
              <w:spacing w:after="0" w:line="240" w:lineRule="auto"/>
              <w:rPr>
                <w:rFonts w:ascii="Times New Roman" w:hAnsi="Times New Roman"/>
                <w:sz w:val="24"/>
                <w:szCs w:val="24"/>
                <w:lang w:eastAsia="sk-SK"/>
              </w:rPr>
            </w:pPr>
          </w:p>
        </w:tc>
        <w:tc>
          <w:tcPr>
            <w:tcW w:w="3969" w:type="dxa"/>
            <w:gridSpan w:val="5"/>
          </w:tcPr>
          <w:p w14:paraId="4D1CCD48" w14:textId="77777777" w:rsidR="007C72FC" w:rsidRPr="007C72FC" w:rsidRDefault="007C72FC" w:rsidP="007C72FC">
            <w:pPr>
              <w:spacing w:after="0" w:line="240" w:lineRule="auto"/>
              <w:rPr>
                <w:rFonts w:ascii="Times New Roman" w:hAnsi="Times New Roman"/>
                <w:i/>
                <w:iCs/>
                <w:sz w:val="24"/>
                <w:szCs w:val="24"/>
                <w:lang w:eastAsia="sk-SK"/>
              </w:rPr>
            </w:pPr>
          </w:p>
        </w:tc>
      </w:tr>
      <w:tr w:rsidR="007C72FC" w:rsidRPr="007C72FC" w14:paraId="75773846" w14:textId="77777777" w:rsidTr="00154BAB">
        <w:trPr>
          <w:trHeight w:val="20"/>
        </w:trPr>
        <w:tc>
          <w:tcPr>
            <w:tcW w:w="3956" w:type="dxa"/>
            <w:gridSpan w:val="2"/>
          </w:tcPr>
          <w:p w14:paraId="34D7AC7E" w14:textId="77777777" w:rsidR="007C72FC" w:rsidRPr="007C72FC" w:rsidRDefault="007C72FC" w:rsidP="007C72FC">
            <w:pPr>
              <w:spacing w:after="0" w:line="240" w:lineRule="auto"/>
              <w:jc w:val="both"/>
              <w:rPr>
                <w:rFonts w:ascii="Times New Roman" w:hAnsi="Times New Roman"/>
                <w:b/>
                <w:sz w:val="20"/>
                <w:szCs w:val="22"/>
                <w:lang w:eastAsia="sk-SK"/>
              </w:rPr>
            </w:pPr>
            <w:r w:rsidRPr="007C72FC">
              <w:rPr>
                <w:rFonts w:ascii="Times New Roman" w:hAnsi="Times New Roman"/>
                <w:b/>
                <w:sz w:val="20"/>
                <w:szCs w:val="22"/>
                <w:lang w:eastAsia="sk-SK"/>
              </w:rPr>
              <w:t xml:space="preserve">6.5.3. </w:t>
            </w:r>
            <w:r w:rsidRPr="007C72FC">
              <w:rPr>
                <w:rFonts w:ascii="Times New Roman" w:hAnsi="Times New Roman"/>
                <w:sz w:val="20"/>
                <w:szCs w:val="22"/>
                <w:lang w:eastAsia="sk-SK"/>
              </w:rPr>
              <w:t xml:space="preserve">Budú údaje poskytované režimom podľa zákona č. 177/2018 Z. z. v znení neskorších predpisov alebo iným obdobným spôsobom, ktorý zabezpečí, aby si údaje orgán, ktorý konanie vedie, získaval z úradnej moci a nemuseli mu byť predkladané </w:t>
            </w:r>
            <w:r w:rsidRPr="007C72FC">
              <w:rPr>
                <w:rFonts w:ascii="Times New Roman" w:hAnsi="Times New Roman"/>
                <w:bCs/>
                <w:sz w:val="20"/>
                <w:szCs w:val="22"/>
                <w:lang w:eastAsia="sk-SK"/>
              </w:rPr>
              <w:t>subjektom súkromného práva, navrhovateľom, žiadateľom, účastníkom konania (ďalej len „účastník konania“)</w:t>
            </w:r>
            <w:r w:rsidRPr="007C72FC">
              <w:rPr>
                <w:rFonts w:ascii="Times New Roman" w:hAnsi="Times New Roman"/>
                <w:sz w:val="20"/>
                <w:szCs w:val="22"/>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7C72FC" w:rsidRPr="007C72FC" w14:paraId="31B541E1" w14:textId="77777777" w:rsidTr="00154BAB">
              <w:sdt>
                <w:sdtPr>
                  <w:rPr>
                    <w:rFonts w:ascii="Times New Roman" w:hAnsi="Times New Roman"/>
                    <w:sz w:val="20"/>
                    <w:szCs w:val="20"/>
                    <w:lang w:eastAsia="sk-SK"/>
                  </w:rPr>
                  <w:id w:val="-2115887386"/>
                  <w14:checkbox>
                    <w14:checked w14:val="1"/>
                    <w14:checkedState w14:val="2612" w14:font="MS Gothic"/>
                    <w14:uncheckedState w14:val="2610" w14:font="MS Gothic"/>
                  </w14:checkbox>
                </w:sdtPr>
                <w:sdtEndPr/>
                <w:sdtContent>
                  <w:tc>
                    <w:tcPr>
                      <w:tcW w:w="436" w:type="dxa"/>
                    </w:tcPr>
                    <w:p w14:paraId="51013A89" w14:textId="77777777" w:rsidR="007C72FC" w:rsidRPr="007C72FC" w:rsidRDefault="007C72FC" w:rsidP="007C72FC">
                      <w:pPr>
                        <w:spacing w:after="0" w:line="240" w:lineRule="auto"/>
                        <w:jc w:val="center"/>
                        <w:rPr>
                          <w:rFonts w:ascii="Times New Roman" w:hAnsi="Times New Roman"/>
                          <w:sz w:val="20"/>
                          <w:szCs w:val="20"/>
                          <w:lang w:eastAsia="sk-SK"/>
                        </w:rPr>
                      </w:pPr>
                      <w:r w:rsidRPr="007C72FC">
                        <w:rPr>
                          <w:rFonts w:ascii="Times New Roman" w:hAnsi="Times New Roman" w:hint="eastAsia"/>
                          <w:sz w:val="20"/>
                          <w:szCs w:val="20"/>
                          <w:lang w:eastAsia="sk-SK"/>
                        </w:rPr>
                        <w:t>☒</w:t>
                      </w:r>
                    </w:p>
                  </w:tc>
                </w:sdtContent>
              </w:sdt>
              <w:tc>
                <w:tcPr>
                  <w:tcW w:w="8545" w:type="dxa"/>
                </w:tcPr>
                <w:p w14:paraId="372F6EAA" w14:textId="77777777" w:rsidR="007C72FC" w:rsidRPr="007C72FC" w:rsidRDefault="007C72FC" w:rsidP="007C72FC">
                  <w:pPr>
                    <w:spacing w:after="0" w:line="240" w:lineRule="auto"/>
                    <w:rPr>
                      <w:rFonts w:ascii="Times New Roman" w:hAnsi="Times New Roman"/>
                      <w:b/>
                      <w:sz w:val="20"/>
                      <w:szCs w:val="20"/>
                      <w:lang w:eastAsia="sk-SK"/>
                    </w:rPr>
                  </w:pPr>
                  <w:r w:rsidRPr="007C72FC">
                    <w:rPr>
                      <w:rFonts w:ascii="Times New Roman" w:hAnsi="Times New Roman"/>
                      <w:b/>
                      <w:sz w:val="20"/>
                      <w:szCs w:val="20"/>
                      <w:lang w:eastAsia="sk-SK"/>
                    </w:rPr>
                    <w:t>Áno</w:t>
                  </w:r>
                </w:p>
              </w:tc>
            </w:tr>
            <w:tr w:rsidR="007C72FC" w:rsidRPr="007C72FC" w14:paraId="719DEEB3" w14:textId="77777777" w:rsidTr="00154BAB">
              <w:sdt>
                <w:sdtPr>
                  <w:rPr>
                    <w:rFonts w:ascii="Times New Roman" w:hAnsi="Times New Roman"/>
                    <w:sz w:val="20"/>
                    <w:szCs w:val="20"/>
                    <w:lang w:eastAsia="sk-SK"/>
                  </w:rPr>
                  <w:id w:val="-1730609562"/>
                  <w14:checkbox>
                    <w14:checked w14:val="0"/>
                    <w14:checkedState w14:val="2612" w14:font="MS Gothic"/>
                    <w14:uncheckedState w14:val="2610" w14:font="MS Gothic"/>
                  </w14:checkbox>
                </w:sdtPr>
                <w:sdtEndPr/>
                <w:sdtContent>
                  <w:tc>
                    <w:tcPr>
                      <w:tcW w:w="436" w:type="dxa"/>
                    </w:tcPr>
                    <w:p w14:paraId="11AD3194" w14:textId="77777777" w:rsidR="007C72FC" w:rsidRPr="007C72FC" w:rsidRDefault="007C72FC" w:rsidP="007C72FC">
                      <w:pPr>
                        <w:spacing w:after="0" w:line="240" w:lineRule="auto"/>
                        <w:jc w:val="center"/>
                        <w:rPr>
                          <w:rFonts w:ascii="Times New Roman" w:hAnsi="Times New Roman"/>
                          <w:sz w:val="20"/>
                          <w:szCs w:val="20"/>
                          <w:lang w:eastAsia="sk-SK"/>
                        </w:rPr>
                      </w:pPr>
                      <w:r w:rsidRPr="007C72FC">
                        <w:rPr>
                          <w:rFonts w:ascii="Times New Roman" w:hAnsi="Times New Roman" w:hint="eastAsia"/>
                          <w:sz w:val="20"/>
                          <w:szCs w:val="20"/>
                          <w:lang w:eastAsia="sk-SK"/>
                        </w:rPr>
                        <w:t>☐</w:t>
                      </w:r>
                    </w:p>
                  </w:tc>
                </w:sdtContent>
              </w:sdt>
              <w:tc>
                <w:tcPr>
                  <w:tcW w:w="8545" w:type="dxa"/>
                </w:tcPr>
                <w:p w14:paraId="3C53B044" w14:textId="77777777" w:rsidR="007C72FC" w:rsidRPr="007C72FC" w:rsidRDefault="007C72FC" w:rsidP="007C72FC">
                  <w:pPr>
                    <w:spacing w:after="0" w:line="240" w:lineRule="auto"/>
                    <w:rPr>
                      <w:rFonts w:ascii="Times New Roman" w:hAnsi="Times New Roman"/>
                      <w:b/>
                      <w:sz w:val="20"/>
                      <w:szCs w:val="20"/>
                      <w:lang w:eastAsia="sk-SK"/>
                    </w:rPr>
                  </w:pPr>
                  <w:r w:rsidRPr="007C72FC">
                    <w:rPr>
                      <w:rFonts w:ascii="Times New Roman" w:hAnsi="Times New Roman"/>
                      <w:b/>
                      <w:sz w:val="20"/>
                      <w:szCs w:val="20"/>
                      <w:lang w:eastAsia="sk-SK"/>
                    </w:rPr>
                    <w:t>Nie</w:t>
                  </w:r>
                </w:p>
              </w:tc>
            </w:tr>
          </w:tbl>
          <w:p w14:paraId="52DB4C9A" w14:textId="77777777" w:rsidR="007C72FC" w:rsidRPr="007C72FC" w:rsidRDefault="007C72FC" w:rsidP="007C72FC">
            <w:pPr>
              <w:spacing w:after="0" w:line="240" w:lineRule="auto"/>
              <w:rPr>
                <w:rFonts w:ascii="Times New Roman" w:hAnsi="Times New Roman"/>
                <w:sz w:val="24"/>
                <w:szCs w:val="24"/>
                <w:lang w:eastAsia="sk-SK"/>
              </w:rPr>
            </w:pPr>
          </w:p>
        </w:tc>
        <w:tc>
          <w:tcPr>
            <w:tcW w:w="3969" w:type="dxa"/>
            <w:gridSpan w:val="5"/>
          </w:tcPr>
          <w:p w14:paraId="42168849" w14:textId="77777777" w:rsidR="007C72FC" w:rsidRPr="007C72FC" w:rsidRDefault="007C72FC" w:rsidP="007C72FC">
            <w:pPr>
              <w:spacing w:after="0" w:line="240" w:lineRule="auto"/>
              <w:rPr>
                <w:rFonts w:ascii="Times New Roman" w:hAnsi="Times New Roman"/>
                <w:i/>
                <w:iCs/>
                <w:sz w:val="24"/>
                <w:szCs w:val="24"/>
                <w:lang w:eastAsia="sk-SK"/>
              </w:rPr>
            </w:pPr>
            <w:r w:rsidRPr="007C72FC">
              <w:rPr>
                <w:rFonts w:ascii="Times New Roman" w:hAnsi="Times New Roman"/>
                <w:i/>
                <w:iCs/>
                <w:sz w:val="20"/>
                <w:szCs w:val="22"/>
                <w:lang w:eastAsia="sk-SK"/>
              </w:rPr>
              <w:t>Čiastočne. Ak je žiadosť o úkon alebo konanie podávaná elektronickými prostriedkami, po načítaní identity navrhovateľa sa táto identita použije aj pri vytvorení platobného predpisu s uvedením osoby poplatníka, ktorej sa platobný predpis doručuje (resp. vytvára online spôsobom pri eShopových el. službách).</w:t>
            </w:r>
          </w:p>
        </w:tc>
      </w:tr>
      <w:tr w:rsidR="007C72FC" w:rsidRPr="007C72FC" w14:paraId="2DDAE4B7" w14:textId="77777777" w:rsidTr="00154BAB">
        <w:trPr>
          <w:trHeight w:val="20"/>
        </w:trPr>
        <w:tc>
          <w:tcPr>
            <w:tcW w:w="3956" w:type="dxa"/>
            <w:gridSpan w:val="2"/>
            <w:tcBorders>
              <w:bottom w:val="single" w:sz="4" w:space="0" w:color="auto"/>
            </w:tcBorders>
          </w:tcPr>
          <w:p w14:paraId="79B6DAE0" w14:textId="77777777" w:rsidR="007C72FC" w:rsidRPr="007C72FC" w:rsidRDefault="007C72FC" w:rsidP="007C72FC">
            <w:pPr>
              <w:spacing w:after="0" w:line="240" w:lineRule="auto"/>
              <w:jc w:val="both"/>
              <w:rPr>
                <w:rFonts w:ascii="Times New Roman" w:hAnsi="Times New Roman"/>
                <w:b/>
                <w:sz w:val="20"/>
                <w:szCs w:val="22"/>
                <w:lang w:eastAsia="sk-SK"/>
              </w:rPr>
            </w:pPr>
            <w:r w:rsidRPr="007C72FC">
              <w:rPr>
                <w:rFonts w:ascii="Times New Roman" w:hAnsi="Times New Roman"/>
                <w:b/>
                <w:sz w:val="20"/>
                <w:szCs w:val="22"/>
                <w:lang w:eastAsia="sk-SK"/>
              </w:rPr>
              <w:t xml:space="preserve">6.5.4. </w:t>
            </w:r>
            <w:r w:rsidRPr="007C72FC">
              <w:rPr>
                <w:rFonts w:ascii="Times New Roman" w:hAnsi="Times New Roman"/>
                <w:sz w:val="20"/>
                <w:szCs w:val="22"/>
                <w:lang w:eastAsia="sk-SK"/>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446" w:type="dxa"/>
            <w:tcBorders>
              <w:bottom w:val="single" w:sz="4" w:space="0" w:color="auto"/>
            </w:tcBorders>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7C72FC" w:rsidRPr="007C72FC" w14:paraId="0F532FCC" w14:textId="77777777" w:rsidTr="00154BAB">
              <w:sdt>
                <w:sdtPr>
                  <w:rPr>
                    <w:rFonts w:ascii="Times New Roman" w:hAnsi="Times New Roman"/>
                    <w:sz w:val="20"/>
                    <w:szCs w:val="20"/>
                    <w:lang w:eastAsia="sk-SK"/>
                  </w:rPr>
                  <w:id w:val="2088412960"/>
                  <w14:checkbox>
                    <w14:checked w14:val="0"/>
                    <w14:checkedState w14:val="2612" w14:font="MS Gothic"/>
                    <w14:uncheckedState w14:val="2610" w14:font="MS Gothic"/>
                  </w14:checkbox>
                </w:sdtPr>
                <w:sdtEndPr/>
                <w:sdtContent>
                  <w:tc>
                    <w:tcPr>
                      <w:tcW w:w="436" w:type="dxa"/>
                    </w:tcPr>
                    <w:p w14:paraId="76F7B08B" w14:textId="77777777" w:rsidR="007C72FC" w:rsidRPr="007C72FC" w:rsidRDefault="007C72FC" w:rsidP="007C72FC">
                      <w:pPr>
                        <w:spacing w:after="0" w:line="240" w:lineRule="auto"/>
                        <w:jc w:val="center"/>
                        <w:rPr>
                          <w:rFonts w:ascii="Times New Roman" w:hAnsi="Times New Roman"/>
                          <w:sz w:val="20"/>
                          <w:szCs w:val="20"/>
                          <w:lang w:eastAsia="sk-SK"/>
                        </w:rPr>
                      </w:pPr>
                      <w:r w:rsidRPr="007C72FC">
                        <w:rPr>
                          <w:rFonts w:ascii="Times New Roman" w:hAnsi="Times New Roman" w:hint="eastAsia"/>
                          <w:sz w:val="20"/>
                          <w:szCs w:val="20"/>
                          <w:lang w:eastAsia="sk-SK"/>
                        </w:rPr>
                        <w:t>☐</w:t>
                      </w:r>
                    </w:p>
                  </w:tc>
                </w:sdtContent>
              </w:sdt>
              <w:tc>
                <w:tcPr>
                  <w:tcW w:w="8545" w:type="dxa"/>
                </w:tcPr>
                <w:p w14:paraId="173CB75D" w14:textId="77777777" w:rsidR="007C72FC" w:rsidRPr="007C72FC" w:rsidRDefault="007C72FC" w:rsidP="007C72FC">
                  <w:pPr>
                    <w:spacing w:after="0" w:line="240" w:lineRule="auto"/>
                    <w:rPr>
                      <w:rFonts w:ascii="Times New Roman" w:hAnsi="Times New Roman"/>
                      <w:b/>
                      <w:sz w:val="20"/>
                      <w:szCs w:val="20"/>
                      <w:lang w:eastAsia="sk-SK"/>
                    </w:rPr>
                  </w:pPr>
                  <w:r w:rsidRPr="007C72FC">
                    <w:rPr>
                      <w:rFonts w:ascii="Times New Roman" w:hAnsi="Times New Roman"/>
                      <w:b/>
                      <w:sz w:val="20"/>
                      <w:szCs w:val="20"/>
                      <w:lang w:eastAsia="sk-SK"/>
                    </w:rPr>
                    <w:t>Áno</w:t>
                  </w:r>
                </w:p>
              </w:tc>
            </w:tr>
            <w:tr w:rsidR="007C72FC" w:rsidRPr="007C72FC" w14:paraId="2B6B7A5C" w14:textId="77777777" w:rsidTr="00154BAB">
              <w:sdt>
                <w:sdtPr>
                  <w:rPr>
                    <w:rFonts w:ascii="Times New Roman" w:hAnsi="Times New Roman"/>
                    <w:sz w:val="20"/>
                    <w:szCs w:val="20"/>
                    <w:lang w:eastAsia="sk-SK"/>
                  </w:rPr>
                  <w:id w:val="-439767500"/>
                  <w14:checkbox>
                    <w14:checked w14:val="1"/>
                    <w14:checkedState w14:val="2612" w14:font="MS Gothic"/>
                    <w14:uncheckedState w14:val="2610" w14:font="MS Gothic"/>
                  </w14:checkbox>
                </w:sdtPr>
                <w:sdtEndPr/>
                <w:sdtContent>
                  <w:tc>
                    <w:tcPr>
                      <w:tcW w:w="436" w:type="dxa"/>
                    </w:tcPr>
                    <w:p w14:paraId="055D63C1" w14:textId="77777777" w:rsidR="007C72FC" w:rsidRPr="007C72FC" w:rsidRDefault="007C72FC" w:rsidP="007C72FC">
                      <w:pPr>
                        <w:spacing w:after="0" w:line="240" w:lineRule="auto"/>
                        <w:jc w:val="center"/>
                        <w:rPr>
                          <w:rFonts w:ascii="Times New Roman" w:hAnsi="Times New Roman"/>
                          <w:sz w:val="20"/>
                          <w:szCs w:val="20"/>
                          <w:lang w:eastAsia="sk-SK"/>
                        </w:rPr>
                      </w:pPr>
                      <w:r w:rsidRPr="007C72FC">
                        <w:rPr>
                          <w:rFonts w:ascii="Times New Roman" w:hAnsi="Times New Roman" w:hint="eastAsia"/>
                          <w:sz w:val="20"/>
                          <w:szCs w:val="20"/>
                          <w:lang w:eastAsia="sk-SK"/>
                        </w:rPr>
                        <w:t>☒</w:t>
                      </w:r>
                    </w:p>
                  </w:tc>
                </w:sdtContent>
              </w:sdt>
              <w:tc>
                <w:tcPr>
                  <w:tcW w:w="8545" w:type="dxa"/>
                </w:tcPr>
                <w:p w14:paraId="6AC890E4" w14:textId="77777777" w:rsidR="007C72FC" w:rsidRPr="007C72FC" w:rsidRDefault="007C72FC" w:rsidP="007C72FC">
                  <w:pPr>
                    <w:spacing w:after="0" w:line="240" w:lineRule="auto"/>
                    <w:rPr>
                      <w:rFonts w:ascii="Times New Roman" w:hAnsi="Times New Roman"/>
                      <w:b/>
                      <w:sz w:val="20"/>
                      <w:szCs w:val="20"/>
                      <w:lang w:eastAsia="sk-SK"/>
                    </w:rPr>
                  </w:pPr>
                  <w:r w:rsidRPr="007C72FC">
                    <w:rPr>
                      <w:rFonts w:ascii="Times New Roman" w:hAnsi="Times New Roman"/>
                      <w:b/>
                      <w:sz w:val="20"/>
                      <w:szCs w:val="20"/>
                      <w:lang w:eastAsia="sk-SK"/>
                    </w:rPr>
                    <w:t>Nie</w:t>
                  </w:r>
                </w:p>
              </w:tc>
            </w:tr>
          </w:tbl>
          <w:p w14:paraId="5541D4E4" w14:textId="77777777" w:rsidR="007C72FC" w:rsidRPr="007C72FC" w:rsidRDefault="007C72FC" w:rsidP="007C72FC">
            <w:pPr>
              <w:spacing w:after="0" w:line="240" w:lineRule="auto"/>
              <w:rPr>
                <w:rFonts w:ascii="Times New Roman" w:hAnsi="Times New Roman"/>
                <w:sz w:val="24"/>
                <w:szCs w:val="24"/>
                <w:lang w:eastAsia="sk-SK"/>
              </w:rPr>
            </w:pPr>
          </w:p>
        </w:tc>
        <w:tc>
          <w:tcPr>
            <w:tcW w:w="3969" w:type="dxa"/>
            <w:gridSpan w:val="5"/>
            <w:tcBorders>
              <w:bottom w:val="single" w:sz="4" w:space="0" w:color="auto"/>
            </w:tcBorders>
          </w:tcPr>
          <w:p w14:paraId="599114E1" w14:textId="77777777" w:rsidR="007C72FC" w:rsidRPr="007C72FC" w:rsidRDefault="007C72FC" w:rsidP="007C72FC">
            <w:pPr>
              <w:spacing w:after="0" w:line="240" w:lineRule="auto"/>
              <w:rPr>
                <w:rFonts w:ascii="Times New Roman" w:hAnsi="Times New Roman"/>
                <w:i/>
                <w:iCs/>
                <w:sz w:val="24"/>
                <w:szCs w:val="24"/>
                <w:lang w:eastAsia="sk-SK"/>
              </w:rPr>
            </w:pPr>
            <w:r w:rsidRPr="007C72FC">
              <w:rPr>
                <w:rFonts w:ascii="Times New Roman" w:hAnsi="Times New Roman"/>
                <w:i/>
                <w:iCs/>
                <w:sz w:val="20"/>
                <w:szCs w:val="22"/>
                <w:lang w:eastAsia="sk-SK"/>
              </w:rPr>
              <w:t>(Uveďte, akým spôsobom budú údaje v konaní predkladané/preukazované v budúcnosti. Ak sa vyžaduje predloženie účastníkom konania, uveďte dôvod.)</w:t>
            </w:r>
          </w:p>
        </w:tc>
      </w:tr>
      <w:tr w:rsidR="007C72FC" w:rsidRPr="007C72FC" w14:paraId="27500FFE" w14:textId="77777777" w:rsidTr="00154BAB">
        <w:trPr>
          <w:trHeight w:val="20"/>
        </w:trPr>
        <w:tc>
          <w:tcPr>
            <w:tcW w:w="9371" w:type="dxa"/>
            <w:gridSpan w:val="8"/>
            <w:shd w:val="pct25" w:color="auto" w:fill="auto"/>
          </w:tcPr>
          <w:p w14:paraId="41850650" w14:textId="77777777" w:rsidR="007C72FC" w:rsidRPr="007C72FC" w:rsidRDefault="007C72FC" w:rsidP="007C72FC">
            <w:pPr>
              <w:spacing w:after="0" w:line="20" w:lineRule="atLeast"/>
              <w:ind w:hanging="55"/>
              <w:jc w:val="center"/>
              <w:rPr>
                <w:rFonts w:ascii="Times New Roman" w:hAnsi="Times New Roman"/>
                <w:i/>
                <w:iCs/>
                <w:sz w:val="20"/>
                <w:szCs w:val="20"/>
                <w:lang w:eastAsia="sk-SK"/>
              </w:rPr>
            </w:pPr>
            <w:r w:rsidRPr="007C72FC">
              <w:rPr>
                <w:rFonts w:ascii="Times New Roman" w:hAnsi="Times New Roman"/>
                <w:b/>
                <w:sz w:val="20"/>
                <w:szCs w:val="20"/>
                <w:lang w:eastAsia="sk-SK"/>
              </w:rPr>
              <w:t>Výmena údajov medzi orgánmi verejnej moci</w:t>
            </w:r>
          </w:p>
        </w:tc>
      </w:tr>
      <w:tr w:rsidR="007C72FC" w:rsidRPr="007C72FC" w14:paraId="3235B63B" w14:textId="77777777" w:rsidTr="00154BAB">
        <w:trPr>
          <w:trHeight w:val="20"/>
        </w:trPr>
        <w:tc>
          <w:tcPr>
            <w:tcW w:w="3956" w:type="dxa"/>
            <w:gridSpan w:val="2"/>
          </w:tcPr>
          <w:p w14:paraId="45825073" w14:textId="77777777" w:rsidR="007C72FC" w:rsidRPr="007C72FC" w:rsidRDefault="007C72FC" w:rsidP="007C72FC">
            <w:pPr>
              <w:spacing w:after="0" w:line="240" w:lineRule="auto"/>
              <w:jc w:val="both"/>
              <w:rPr>
                <w:rFonts w:ascii="Times New Roman" w:hAnsi="Times New Roman"/>
                <w:b/>
                <w:sz w:val="20"/>
                <w:szCs w:val="22"/>
                <w:lang w:eastAsia="sk-SK"/>
              </w:rPr>
            </w:pPr>
            <w:r w:rsidRPr="007C72FC">
              <w:rPr>
                <w:rFonts w:ascii="Times New Roman" w:hAnsi="Times New Roman"/>
                <w:b/>
                <w:sz w:val="20"/>
                <w:szCs w:val="22"/>
                <w:lang w:eastAsia="sk-SK"/>
              </w:rPr>
              <w:t xml:space="preserve">6.6.1. </w:t>
            </w:r>
            <w:r w:rsidRPr="007C72FC">
              <w:rPr>
                <w:rFonts w:ascii="Times New Roman" w:hAnsi="Times New Roman"/>
                <w:sz w:val="20"/>
                <w:szCs w:val="22"/>
                <w:lang w:eastAsia="sk-SK"/>
              </w:rPr>
              <w:t>Predpokladá predložený návrh zriadenie novej evidencie údajov alebo upravuje vedenie evidencie údajov?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7C72FC" w:rsidRPr="007C72FC" w14:paraId="77FDC2E5" w14:textId="77777777" w:rsidTr="00154BAB">
              <w:sdt>
                <w:sdtPr>
                  <w:rPr>
                    <w:rFonts w:ascii="Times New Roman" w:hAnsi="Times New Roman"/>
                    <w:sz w:val="20"/>
                    <w:szCs w:val="20"/>
                    <w:lang w:eastAsia="sk-SK"/>
                  </w:rPr>
                  <w:id w:val="-581141114"/>
                  <w14:checkbox>
                    <w14:checked w14:val="1"/>
                    <w14:checkedState w14:val="2612" w14:font="MS Gothic"/>
                    <w14:uncheckedState w14:val="2610" w14:font="MS Gothic"/>
                  </w14:checkbox>
                </w:sdtPr>
                <w:sdtEndPr/>
                <w:sdtContent>
                  <w:tc>
                    <w:tcPr>
                      <w:tcW w:w="436" w:type="dxa"/>
                    </w:tcPr>
                    <w:p w14:paraId="33552910" w14:textId="77777777" w:rsidR="007C72FC" w:rsidRPr="007C72FC" w:rsidRDefault="007C72FC" w:rsidP="007C72FC">
                      <w:pPr>
                        <w:spacing w:after="0" w:line="240" w:lineRule="auto"/>
                        <w:jc w:val="center"/>
                        <w:rPr>
                          <w:rFonts w:ascii="Times New Roman" w:hAnsi="Times New Roman"/>
                          <w:sz w:val="20"/>
                          <w:szCs w:val="20"/>
                          <w:lang w:eastAsia="sk-SK"/>
                        </w:rPr>
                      </w:pPr>
                      <w:r w:rsidRPr="007C72FC">
                        <w:rPr>
                          <w:rFonts w:ascii="Times New Roman" w:hAnsi="Times New Roman" w:hint="eastAsia"/>
                          <w:sz w:val="20"/>
                          <w:szCs w:val="20"/>
                          <w:lang w:eastAsia="sk-SK"/>
                        </w:rPr>
                        <w:t>☒</w:t>
                      </w:r>
                    </w:p>
                  </w:tc>
                </w:sdtContent>
              </w:sdt>
              <w:tc>
                <w:tcPr>
                  <w:tcW w:w="8545" w:type="dxa"/>
                </w:tcPr>
                <w:p w14:paraId="65152A1F" w14:textId="77777777" w:rsidR="007C72FC" w:rsidRPr="007C72FC" w:rsidRDefault="007C72FC" w:rsidP="007C72FC">
                  <w:pPr>
                    <w:spacing w:after="0" w:line="240" w:lineRule="auto"/>
                    <w:rPr>
                      <w:rFonts w:ascii="Times New Roman" w:hAnsi="Times New Roman"/>
                      <w:b/>
                      <w:sz w:val="20"/>
                      <w:szCs w:val="20"/>
                      <w:lang w:eastAsia="sk-SK"/>
                    </w:rPr>
                  </w:pPr>
                  <w:r w:rsidRPr="007C72FC">
                    <w:rPr>
                      <w:rFonts w:ascii="Times New Roman" w:hAnsi="Times New Roman"/>
                      <w:b/>
                      <w:sz w:val="20"/>
                      <w:szCs w:val="20"/>
                      <w:lang w:eastAsia="sk-SK"/>
                    </w:rPr>
                    <w:t>Áno</w:t>
                  </w:r>
                </w:p>
              </w:tc>
            </w:tr>
            <w:tr w:rsidR="007C72FC" w:rsidRPr="007C72FC" w14:paraId="1C9995B8" w14:textId="77777777" w:rsidTr="00154BAB">
              <w:sdt>
                <w:sdtPr>
                  <w:rPr>
                    <w:rFonts w:ascii="Times New Roman" w:hAnsi="Times New Roman"/>
                    <w:sz w:val="20"/>
                    <w:szCs w:val="20"/>
                    <w:lang w:eastAsia="sk-SK"/>
                  </w:rPr>
                  <w:id w:val="-561481988"/>
                  <w14:checkbox>
                    <w14:checked w14:val="0"/>
                    <w14:checkedState w14:val="2612" w14:font="MS Gothic"/>
                    <w14:uncheckedState w14:val="2610" w14:font="MS Gothic"/>
                  </w14:checkbox>
                </w:sdtPr>
                <w:sdtEndPr/>
                <w:sdtContent>
                  <w:tc>
                    <w:tcPr>
                      <w:tcW w:w="436" w:type="dxa"/>
                    </w:tcPr>
                    <w:p w14:paraId="5D2AD103" w14:textId="77777777" w:rsidR="007C72FC" w:rsidRPr="007C72FC" w:rsidRDefault="007C72FC" w:rsidP="007C72FC">
                      <w:pPr>
                        <w:spacing w:after="0" w:line="240" w:lineRule="auto"/>
                        <w:jc w:val="center"/>
                        <w:rPr>
                          <w:rFonts w:ascii="Times New Roman" w:hAnsi="Times New Roman"/>
                          <w:sz w:val="20"/>
                          <w:szCs w:val="20"/>
                          <w:lang w:eastAsia="sk-SK"/>
                        </w:rPr>
                      </w:pPr>
                      <w:r w:rsidRPr="007C72FC">
                        <w:rPr>
                          <w:rFonts w:ascii="Times New Roman" w:hAnsi="Times New Roman" w:hint="eastAsia"/>
                          <w:sz w:val="20"/>
                          <w:szCs w:val="20"/>
                          <w:lang w:eastAsia="sk-SK"/>
                        </w:rPr>
                        <w:t>☐</w:t>
                      </w:r>
                    </w:p>
                  </w:tc>
                </w:sdtContent>
              </w:sdt>
              <w:tc>
                <w:tcPr>
                  <w:tcW w:w="8545" w:type="dxa"/>
                </w:tcPr>
                <w:p w14:paraId="4EA149D0" w14:textId="77777777" w:rsidR="007C72FC" w:rsidRPr="007C72FC" w:rsidRDefault="007C72FC" w:rsidP="007C72FC">
                  <w:pPr>
                    <w:spacing w:after="0" w:line="240" w:lineRule="auto"/>
                    <w:rPr>
                      <w:rFonts w:ascii="Times New Roman" w:hAnsi="Times New Roman"/>
                      <w:b/>
                      <w:sz w:val="20"/>
                      <w:szCs w:val="20"/>
                      <w:lang w:eastAsia="sk-SK"/>
                    </w:rPr>
                  </w:pPr>
                  <w:r w:rsidRPr="007C72FC">
                    <w:rPr>
                      <w:rFonts w:ascii="Times New Roman" w:hAnsi="Times New Roman"/>
                      <w:b/>
                      <w:sz w:val="20"/>
                      <w:szCs w:val="20"/>
                      <w:lang w:eastAsia="sk-SK"/>
                    </w:rPr>
                    <w:t>Nie</w:t>
                  </w:r>
                </w:p>
              </w:tc>
            </w:tr>
          </w:tbl>
          <w:p w14:paraId="4B116F90" w14:textId="77777777" w:rsidR="007C72FC" w:rsidRPr="007C72FC" w:rsidRDefault="007C72FC" w:rsidP="007C72FC">
            <w:pPr>
              <w:spacing w:after="0" w:line="240" w:lineRule="auto"/>
              <w:rPr>
                <w:rFonts w:ascii="Times New Roman" w:hAnsi="Times New Roman"/>
                <w:sz w:val="24"/>
                <w:szCs w:val="24"/>
                <w:lang w:eastAsia="sk-SK"/>
              </w:rPr>
            </w:pPr>
          </w:p>
        </w:tc>
        <w:tc>
          <w:tcPr>
            <w:tcW w:w="3969" w:type="dxa"/>
            <w:gridSpan w:val="5"/>
          </w:tcPr>
          <w:p w14:paraId="76F1B83B" w14:textId="77777777" w:rsidR="007C72FC" w:rsidRPr="007C72FC" w:rsidRDefault="007C72FC" w:rsidP="007C72FC">
            <w:pPr>
              <w:spacing w:after="0" w:line="240" w:lineRule="auto"/>
              <w:rPr>
                <w:rFonts w:ascii="Times New Roman" w:hAnsi="Times New Roman"/>
                <w:i/>
                <w:iCs/>
                <w:sz w:val="24"/>
                <w:szCs w:val="24"/>
                <w:lang w:eastAsia="sk-SK"/>
              </w:rPr>
            </w:pPr>
            <w:r w:rsidRPr="007C72FC">
              <w:rPr>
                <w:rFonts w:ascii="Times New Roman" w:hAnsi="Times New Roman"/>
                <w:i/>
                <w:iCs/>
                <w:sz w:val="20"/>
                <w:szCs w:val="22"/>
                <w:lang w:eastAsia="sk-SK"/>
              </w:rPr>
              <w:t>Centrálny systém evidencie poplatkov Štátnej pokladnice eviduje platobné úkony anonymne alebo s uvedením identifikačných údajov poplatníka.</w:t>
            </w:r>
          </w:p>
        </w:tc>
      </w:tr>
      <w:tr w:rsidR="007C72FC" w:rsidRPr="007C72FC" w14:paraId="4A897D01" w14:textId="77777777" w:rsidTr="00154BAB">
        <w:trPr>
          <w:trHeight w:val="20"/>
        </w:trPr>
        <w:tc>
          <w:tcPr>
            <w:tcW w:w="3956" w:type="dxa"/>
            <w:gridSpan w:val="2"/>
          </w:tcPr>
          <w:p w14:paraId="519CC695" w14:textId="77777777" w:rsidR="007C72FC" w:rsidRPr="007C72FC" w:rsidRDefault="007C72FC" w:rsidP="007C72FC">
            <w:pPr>
              <w:spacing w:after="0" w:line="240" w:lineRule="auto"/>
              <w:jc w:val="both"/>
              <w:rPr>
                <w:rFonts w:ascii="Times New Roman" w:hAnsi="Times New Roman"/>
                <w:b/>
                <w:sz w:val="20"/>
                <w:szCs w:val="22"/>
                <w:lang w:eastAsia="sk-SK"/>
              </w:rPr>
            </w:pPr>
            <w:r w:rsidRPr="007C72FC">
              <w:rPr>
                <w:rFonts w:ascii="Times New Roman" w:hAnsi="Times New Roman"/>
                <w:b/>
                <w:sz w:val="20"/>
                <w:szCs w:val="22"/>
                <w:lang w:eastAsia="sk-SK"/>
              </w:rPr>
              <w:t xml:space="preserve">6.6.2. </w:t>
            </w:r>
            <w:r w:rsidRPr="007C72FC">
              <w:rPr>
                <w:rFonts w:ascii="Times New Roman" w:hAnsi="Times New Roman"/>
                <w:sz w:val="20"/>
                <w:szCs w:val="22"/>
                <w:lang w:eastAsia="sk-SK"/>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7C72FC" w:rsidRPr="007C72FC" w14:paraId="1049A073" w14:textId="77777777" w:rsidTr="00154BAB">
              <w:sdt>
                <w:sdtPr>
                  <w:rPr>
                    <w:rFonts w:ascii="Times New Roman" w:hAnsi="Times New Roman"/>
                    <w:sz w:val="20"/>
                    <w:szCs w:val="20"/>
                    <w:lang w:eastAsia="sk-SK"/>
                  </w:rPr>
                  <w:id w:val="1434169894"/>
                  <w14:checkbox>
                    <w14:checked w14:val="0"/>
                    <w14:checkedState w14:val="2612" w14:font="MS Gothic"/>
                    <w14:uncheckedState w14:val="2610" w14:font="MS Gothic"/>
                  </w14:checkbox>
                </w:sdtPr>
                <w:sdtEndPr/>
                <w:sdtContent>
                  <w:tc>
                    <w:tcPr>
                      <w:tcW w:w="436" w:type="dxa"/>
                    </w:tcPr>
                    <w:p w14:paraId="067B111B" w14:textId="77777777" w:rsidR="007C72FC" w:rsidRPr="007C72FC" w:rsidRDefault="007C72FC" w:rsidP="007C72FC">
                      <w:pPr>
                        <w:spacing w:after="0" w:line="240" w:lineRule="auto"/>
                        <w:jc w:val="center"/>
                        <w:rPr>
                          <w:rFonts w:ascii="Times New Roman" w:hAnsi="Times New Roman"/>
                          <w:sz w:val="20"/>
                          <w:szCs w:val="20"/>
                          <w:lang w:eastAsia="sk-SK"/>
                        </w:rPr>
                      </w:pPr>
                      <w:r w:rsidRPr="007C72FC">
                        <w:rPr>
                          <w:rFonts w:ascii="Times New Roman" w:hAnsi="Times New Roman" w:hint="eastAsia"/>
                          <w:sz w:val="20"/>
                          <w:szCs w:val="20"/>
                          <w:lang w:eastAsia="sk-SK"/>
                        </w:rPr>
                        <w:t>☐</w:t>
                      </w:r>
                    </w:p>
                  </w:tc>
                </w:sdtContent>
              </w:sdt>
              <w:tc>
                <w:tcPr>
                  <w:tcW w:w="8545" w:type="dxa"/>
                </w:tcPr>
                <w:p w14:paraId="3A4BFD85" w14:textId="77777777" w:rsidR="007C72FC" w:rsidRPr="007C72FC" w:rsidRDefault="007C72FC" w:rsidP="007C72FC">
                  <w:pPr>
                    <w:spacing w:after="0" w:line="240" w:lineRule="auto"/>
                    <w:rPr>
                      <w:rFonts w:ascii="Times New Roman" w:hAnsi="Times New Roman"/>
                      <w:b/>
                      <w:sz w:val="20"/>
                      <w:szCs w:val="20"/>
                      <w:lang w:eastAsia="sk-SK"/>
                    </w:rPr>
                  </w:pPr>
                  <w:r w:rsidRPr="007C72FC">
                    <w:rPr>
                      <w:rFonts w:ascii="Times New Roman" w:hAnsi="Times New Roman"/>
                      <w:b/>
                      <w:sz w:val="20"/>
                      <w:szCs w:val="20"/>
                      <w:lang w:eastAsia="sk-SK"/>
                    </w:rPr>
                    <w:t>Áno</w:t>
                  </w:r>
                </w:p>
              </w:tc>
            </w:tr>
            <w:tr w:rsidR="007C72FC" w:rsidRPr="007C72FC" w14:paraId="3E831451" w14:textId="77777777" w:rsidTr="00154BAB">
              <w:sdt>
                <w:sdtPr>
                  <w:rPr>
                    <w:rFonts w:ascii="Times New Roman" w:hAnsi="Times New Roman"/>
                    <w:sz w:val="20"/>
                    <w:szCs w:val="20"/>
                    <w:lang w:eastAsia="sk-SK"/>
                  </w:rPr>
                  <w:id w:val="-1288507644"/>
                  <w14:checkbox>
                    <w14:checked w14:val="1"/>
                    <w14:checkedState w14:val="2612" w14:font="MS Gothic"/>
                    <w14:uncheckedState w14:val="2610" w14:font="MS Gothic"/>
                  </w14:checkbox>
                </w:sdtPr>
                <w:sdtEndPr/>
                <w:sdtContent>
                  <w:tc>
                    <w:tcPr>
                      <w:tcW w:w="436" w:type="dxa"/>
                    </w:tcPr>
                    <w:p w14:paraId="739D1A0A" w14:textId="77777777" w:rsidR="007C72FC" w:rsidRPr="007C72FC" w:rsidRDefault="007C72FC" w:rsidP="007C72FC">
                      <w:pPr>
                        <w:spacing w:after="0" w:line="240" w:lineRule="auto"/>
                        <w:jc w:val="center"/>
                        <w:rPr>
                          <w:rFonts w:ascii="Times New Roman" w:hAnsi="Times New Roman"/>
                          <w:sz w:val="20"/>
                          <w:szCs w:val="20"/>
                          <w:lang w:eastAsia="sk-SK"/>
                        </w:rPr>
                      </w:pPr>
                      <w:r w:rsidRPr="007C72FC">
                        <w:rPr>
                          <w:rFonts w:ascii="Times New Roman" w:hAnsi="Times New Roman" w:hint="eastAsia"/>
                          <w:sz w:val="20"/>
                          <w:szCs w:val="20"/>
                          <w:lang w:eastAsia="sk-SK"/>
                        </w:rPr>
                        <w:t>☒</w:t>
                      </w:r>
                    </w:p>
                  </w:tc>
                </w:sdtContent>
              </w:sdt>
              <w:tc>
                <w:tcPr>
                  <w:tcW w:w="8545" w:type="dxa"/>
                </w:tcPr>
                <w:p w14:paraId="6CFCEFA9" w14:textId="77777777" w:rsidR="007C72FC" w:rsidRPr="007C72FC" w:rsidRDefault="007C72FC" w:rsidP="007C72FC">
                  <w:pPr>
                    <w:spacing w:after="0" w:line="240" w:lineRule="auto"/>
                    <w:rPr>
                      <w:rFonts w:ascii="Times New Roman" w:hAnsi="Times New Roman"/>
                      <w:b/>
                      <w:sz w:val="20"/>
                      <w:szCs w:val="20"/>
                      <w:lang w:eastAsia="sk-SK"/>
                    </w:rPr>
                  </w:pPr>
                  <w:r w:rsidRPr="007C72FC">
                    <w:rPr>
                      <w:rFonts w:ascii="Times New Roman" w:hAnsi="Times New Roman"/>
                      <w:b/>
                      <w:sz w:val="20"/>
                      <w:szCs w:val="20"/>
                      <w:lang w:eastAsia="sk-SK"/>
                    </w:rPr>
                    <w:t>Nie</w:t>
                  </w:r>
                </w:p>
              </w:tc>
            </w:tr>
          </w:tbl>
          <w:p w14:paraId="45AF2CE2" w14:textId="77777777" w:rsidR="007C72FC" w:rsidRPr="007C72FC" w:rsidRDefault="007C72FC" w:rsidP="007C72FC">
            <w:pPr>
              <w:spacing w:after="0" w:line="240" w:lineRule="auto"/>
              <w:rPr>
                <w:rFonts w:ascii="Times New Roman" w:hAnsi="Times New Roman"/>
                <w:sz w:val="24"/>
                <w:szCs w:val="24"/>
                <w:lang w:eastAsia="sk-SK"/>
              </w:rPr>
            </w:pPr>
          </w:p>
        </w:tc>
        <w:tc>
          <w:tcPr>
            <w:tcW w:w="3969" w:type="dxa"/>
            <w:gridSpan w:val="5"/>
          </w:tcPr>
          <w:p w14:paraId="6C59C28D" w14:textId="77777777" w:rsidR="007C72FC" w:rsidRPr="007C72FC" w:rsidRDefault="007C72FC" w:rsidP="007C72FC">
            <w:pPr>
              <w:spacing w:after="0" w:line="240" w:lineRule="auto"/>
              <w:rPr>
                <w:rFonts w:ascii="Times New Roman" w:hAnsi="Times New Roman"/>
                <w:i/>
                <w:iCs/>
                <w:sz w:val="24"/>
                <w:szCs w:val="24"/>
                <w:lang w:eastAsia="sk-SK"/>
              </w:rPr>
            </w:pPr>
            <w:r w:rsidRPr="007C72FC">
              <w:rPr>
                <w:rFonts w:ascii="Times New Roman" w:hAnsi="Times New Roman"/>
                <w:i/>
                <w:iCs/>
                <w:sz w:val="20"/>
                <w:szCs w:val="22"/>
                <w:lang w:eastAsia="sk-SK"/>
              </w:rPr>
              <w:t>Nie. Jedine na výkon kontroly platenia správnych a súdnych poplatkov budú poskytnuté orgánu kontroly.</w:t>
            </w:r>
          </w:p>
        </w:tc>
      </w:tr>
      <w:tr w:rsidR="007C72FC" w:rsidRPr="007C72FC" w14:paraId="28078F6B" w14:textId="77777777" w:rsidTr="00154BAB">
        <w:trPr>
          <w:trHeight w:val="20"/>
        </w:trPr>
        <w:tc>
          <w:tcPr>
            <w:tcW w:w="3956" w:type="dxa"/>
            <w:gridSpan w:val="2"/>
          </w:tcPr>
          <w:p w14:paraId="178D6ADB" w14:textId="77777777" w:rsidR="007C72FC" w:rsidRPr="007C72FC" w:rsidRDefault="007C72FC" w:rsidP="007C72FC">
            <w:pPr>
              <w:spacing w:after="0" w:line="240" w:lineRule="auto"/>
              <w:jc w:val="both"/>
              <w:rPr>
                <w:rFonts w:ascii="Times New Roman" w:hAnsi="Times New Roman"/>
                <w:b/>
                <w:sz w:val="20"/>
                <w:szCs w:val="22"/>
                <w:lang w:eastAsia="sk-SK"/>
              </w:rPr>
            </w:pPr>
            <w:r w:rsidRPr="007C72FC">
              <w:rPr>
                <w:rFonts w:ascii="Times New Roman" w:hAnsi="Times New Roman"/>
                <w:b/>
                <w:sz w:val="20"/>
                <w:szCs w:val="22"/>
                <w:lang w:eastAsia="sk-SK"/>
              </w:rPr>
              <w:t xml:space="preserve">6.6.3. </w:t>
            </w:r>
            <w:r w:rsidRPr="007C72FC">
              <w:rPr>
                <w:rFonts w:ascii="Times New Roman" w:hAnsi="Times New Roman"/>
                <w:sz w:val="20"/>
                <w:szCs w:val="22"/>
                <w:lang w:eastAsia="sk-SK"/>
              </w:rPr>
              <w:t>Je zabezpečené poskytovanie údajov z evidencie elektronicky a automatizovaným spôsobom?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7C72FC" w:rsidRPr="007C72FC" w14:paraId="348BCE14" w14:textId="77777777" w:rsidTr="00154BAB">
              <w:sdt>
                <w:sdtPr>
                  <w:rPr>
                    <w:rFonts w:ascii="Times New Roman" w:hAnsi="Times New Roman"/>
                    <w:sz w:val="20"/>
                    <w:szCs w:val="20"/>
                    <w:lang w:eastAsia="sk-SK"/>
                  </w:rPr>
                  <w:id w:val="-1355335144"/>
                  <w14:checkbox>
                    <w14:checked w14:val="1"/>
                    <w14:checkedState w14:val="2612" w14:font="MS Gothic"/>
                    <w14:uncheckedState w14:val="2610" w14:font="MS Gothic"/>
                  </w14:checkbox>
                </w:sdtPr>
                <w:sdtEndPr/>
                <w:sdtContent>
                  <w:tc>
                    <w:tcPr>
                      <w:tcW w:w="436" w:type="dxa"/>
                    </w:tcPr>
                    <w:p w14:paraId="2748FEB8" w14:textId="77777777" w:rsidR="007C72FC" w:rsidRPr="007C72FC" w:rsidRDefault="007C72FC" w:rsidP="007C72FC">
                      <w:pPr>
                        <w:spacing w:after="0" w:line="240" w:lineRule="auto"/>
                        <w:jc w:val="center"/>
                        <w:rPr>
                          <w:rFonts w:ascii="Times New Roman" w:hAnsi="Times New Roman"/>
                          <w:sz w:val="20"/>
                          <w:szCs w:val="20"/>
                          <w:lang w:eastAsia="sk-SK"/>
                        </w:rPr>
                      </w:pPr>
                      <w:r w:rsidRPr="007C72FC">
                        <w:rPr>
                          <w:rFonts w:ascii="Times New Roman" w:hAnsi="Times New Roman" w:hint="eastAsia"/>
                          <w:sz w:val="20"/>
                          <w:szCs w:val="20"/>
                          <w:lang w:eastAsia="sk-SK"/>
                        </w:rPr>
                        <w:t>☒</w:t>
                      </w:r>
                    </w:p>
                  </w:tc>
                </w:sdtContent>
              </w:sdt>
              <w:tc>
                <w:tcPr>
                  <w:tcW w:w="8545" w:type="dxa"/>
                </w:tcPr>
                <w:p w14:paraId="3660A44C" w14:textId="77777777" w:rsidR="007C72FC" w:rsidRPr="007C72FC" w:rsidRDefault="007C72FC" w:rsidP="007C72FC">
                  <w:pPr>
                    <w:spacing w:after="0" w:line="240" w:lineRule="auto"/>
                    <w:rPr>
                      <w:rFonts w:ascii="Times New Roman" w:hAnsi="Times New Roman"/>
                      <w:b/>
                      <w:sz w:val="20"/>
                      <w:szCs w:val="20"/>
                      <w:lang w:eastAsia="sk-SK"/>
                    </w:rPr>
                  </w:pPr>
                  <w:r w:rsidRPr="007C72FC">
                    <w:rPr>
                      <w:rFonts w:ascii="Times New Roman" w:hAnsi="Times New Roman"/>
                      <w:b/>
                      <w:sz w:val="20"/>
                      <w:szCs w:val="20"/>
                      <w:lang w:eastAsia="sk-SK"/>
                    </w:rPr>
                    <w:t>Áno</w:t>
                  </w:r>
                </w:p>
              </w:tc>
            </w:tr>
            <w:tr w:rsidR="007C72FC" w:rsidRPr="007C72FC" w14:paraId="09E911BA" w14:textId="77777777" w:rsidTr="00154BAB">
              <w:sdt>
                <w:sdtPr>
                  <w:rPr>
                    <w:rFonts w:ascii="Times New Roman" w:hAnsi="Times New Roman"/>
                    <w:sz w:val="20"/>
                    <w:szCs w:val="20"/>
                    <w:lang w:eastAsia="sk-SK"/>
                  </w:rPr>
                  <w:id w:val="116884503"/>
                  <w14:checkbox>
                    <w14:checked w14:val="0"/>
                    <w14:checkedState w14:val="2612" w14:font="MS Gothic"/>
                    <w14:uncheckedState w14:val="2610" w14:font="MS Gothic"/>
                  </w14:checkbox>
                </w:sdtPr>
                <w:sdtEndPr/>
                <w:sdtContent>
                  <w:tc>
                    <w:tcPr>
                      <w:tcW w:w="436" w:type="dxa"/>
                    </w:tcPr>
                    <w:p w14:paraId="726DA044" w14:textId="77777777" w:rsidR="007C72FC" w:rsidRPr="007C72FC" w:rsidRDefault="007C72FC" w:rsidP="007C72FC">
                      <w:pPr>
                        <w:spacing w:after="0" w:line="240" w:lineRule="auto"/>
                        <w:jc w:val="center"/>
                        <w:rPr>
                          <w:rFonts w:ascii="Times New Roman" w:hAnsi="Times New Roman"/>
                          <w:sz w:val="20"/>
                          <w:szCs w:val="20"/>
                          <w:lang w:eastAsia="sk-SK"/>
                        </w:rPr>
                      </w:pPr>
                      <w:r w:rsidRPr="007C72FC">
                        <w:rPr>
                          <w:rFonts w:ascii="Times New Roman" w:hAnsi="Times New Roman" w:hint="eastAsia"/>
                          <w:sz w:val="20"/>
                          <w:szCs w:val="20"/>
                          <w:lang w:eastAsia="sk-SK"/>
                        </w:rPr>
                        <w:t>☐</w:t>
                      </w:r>
                    </w:p>
                  </w:tc>
                </w:sdtContent>
              </w:sdt>
              <w:tc>
                <w:tcPr>
                  <w:tcW w:w="8545" w:type="dxa"/>
                </w:tcPr>
                <w:p w14:paraId="72AA4A16" w14:textId="77777777" w:rsidR="007C72FC" w:rsidRPr="007C72FC" w:rsidRDefault="007C72FC" w:rsidP="007C72FC">
                  <w:pPr>
                    <w:spacing w:after="0" w:line="240" w:lineRule="auto"/>
                    <w:rPr>
                      <w:rFonts w:ascii="Times New Roman" w:hAnsi="Times New Roman"/>
                      <w:b/>
                      <w:sz w:val="20"/>
                      <w:szCs w:val="20"/>
                      <w:lang w:eastAsia="sk-SK"/>
                    </w:rPr>
                  </w:pPr>
                  <w:r w:rsidRPr="007C72FC">
                    <w:rPr>
                      <w:rFonts w:ascii="Times New Roman" w:hAnsi="Times New Roman"/>
                      <w:b/>
                      <w:sz w:val="20"/>
                      <w:szCs w:val="20"/>
                      <w:lang w:eastAsia="sk-SK"/>
                    </w:rPr>
                    <w:t>Nie</w:t>
                  </w:r>
                </w:p>
              </w:tc>
            </w:tr>
          </w:tbl>
          <w:p w14:paraId="4D59B70E" w14:textId="77777777" w:rsidR="007C72FC" w:rsidRPr="007C72FC" w:rsidRDefault="007C72FC" w:rsidP="007C72FC">
            <w:pPr>
              <w:spacing w:after="0" w:line="240" w:lineRule="auto"/>
              <w:rPr>
                <w:rFonts w:ascii="Times New Roman" w:hAnsi="Times New Roman"/>
                <w:sz w:val="24"/>
                <w:szCs w:val="24"/>
                <w:lang w:eastAsia="sk-SK"/>
              </w:rPr>
            </w:pPr>
          </w:p>
        </w:tc>
        <w:tc>
          <w:tcPr>
            <w:tcW w:w="3969" w:type="dxa"/>
            <w:gridSpan w:val="5"/>
          </w:tcPr>
          <w:p w14:paraId="05D06D8E" w14:textId="77777777" w:rsidR="007C72FC" w:rsidRPr="007C72FC" w:rsidRDefault="007C72FC" w:rsidP="007C72FC">
            <w:pPr>
              <w:spacing w:after="0" w:line="240" w:lineRule="auto"/>
              <w:rPr>
                <w:rFonts w:ascii="Times New Roman" w:hAnsi="Times New Roman"/>
                <w:i/>
                <w:iCs/>
                <w:sz w:val="24"/>
                <w:szCs w:val="24"/>
                <w:lang w:eastAsia="sk-SK"/>
              </w:rPr>
            </w:pPr>
            <w:r w:rsidRPr="007C72FC">
              <w:rPr>
                <w:rFonts w:ascii="Times New Roman" w:hAnsi="Times New Roman"/>
                <w:i/>
                <w:iCs/>
                <w:sz w:val="20"/>
                <w:szCs w:val="22"/>
                <w:lang w:eastAsia="sk-SK"/>
              </w:rPr>
              <w:t>Iba anonymizované štatistické údaje o počte spoplatnených úkonov.</w:t>
            </w:r>
          </w:p>
        </w:tc>
      </w:tr>
      <w:tr w:rsidR="007C72FC" w:rsidRPr="007C72FC" w14:paraId="4A842754" w14:textId="77777777" w:rsidTr="00154BAB">
        <w:trPr>
          <w:trHeight w:val="20"/>
        </w:trPr>
        <w:tc>
          <w:tcPr>
            <w:tcW w:w="3956" w:type="dxa"/>
            <w:gridSpan w:val="2"/>
          </w:tcPr>
          <w:p w14:paraId="4515C381" w14:textId="77777777" w:rsidR="007C72FC" w:rsidRPr="007C72FC" w:rsidRDefault="007C72FC" w:rsidP="007C72FC">
            <w:pPr>
              <w:spacing w:after="0" w:line="240" w:lineRule="auto"/>
              <w:jc w:val="both"/>
              <w:rPr>
                <w:rFonts w:ascii="Times New Roman" w:hAnsi="Times New Roman"/>
                <w:b/>
                <w:sz w:val="20"/>
                <w:szCs w:val="22"/>
                <w:lang w:eastAsia="sk-SK"/>
              </w:rPr>
            </w:pPr>
            <w:r w:rsidRPr="007C72FC">
              <w:rPr>
                <w:rFonts w:ascii="Times New Roman" w:hAnsi="Times New Roman"/>
                <w:b/>
                <w:sz w:val="20"/>
                <w:szCs w:val="22"/>
                <w:lang w:eastAsia="sk-SK"/>
              </w:rPr>
              <w:t xml:space="preserve">6.6.4. </w:t>
            </w:r>
            <w:r w:rsidRPr="007C72FC">
              <w:rPr>
                <w:rFonts w:ascii="Times New Roman" w:hAnsi="Times New Roman"/>
                <w:sz w:val="20"/>
                <w:szCs w:val="22"/>
                <w:lang w:eastAsia="sk-SK"/>
              </w:rPr>
              <w:t>Je na poskytovanie údajov z evidencie využitý režim podľa zákona č. 177/2018 Z. z. v znení neskorších predpisov?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7C72FC" w:rsidRPr="007C72FC" w14:paraId="4A227708" w14:textId="77777777" w:rsidTr="00154BAB">
              <w:sdt>
                <w:sdtPr>
                  <w:rPr>
                    <w:rFonts w:ascii="Times New Roman" w:hAnsi="Times New Roman"/>
                    <w:sz w:val="20"/>
                    <w:szCs w:val="20"/>
                    <w:lang w:eastAsia="sk-SK"/>
                  </w:rPr>
                  <w:id w:val="-295379826"/>
                  <w14:checkbox>
                    <w14:checked w14:val="0"/>
                    <w14:checkedState w14:val="2612" w14:font="MS Gothic"/>
                    <w14:uncheckedState w14:val="2610" w14:font="MS Gothic"/>
                  </w14:checkbox>
                </w:sdtPr>
                <w:sdtEndPr/>
                <w:sdtContent>
                  <w:tc>
                    <w:tcPr>
                      <w:tcW w:w="436" w:type="dxa"/>
                    </w:tcPr>
                    <w:p w14:paraId="6EF9F836" w14:textId="77777777" w:rsidR="007C72FC" w:rsidRPr="007C72FC" w:rsidRDefault="007C72FC" w:rsidP="007C72FC">
                      <w:pPr>
                        <w:spacing w:after="0" w:line="240" w:lineRule="auto"/>
                        <w:jc w:val="center"/>
                        <w:rPr>
                          <w:rFonts w:ascii="Times New Roman" w:hAnsi="Times New Roman"/>
                          <w:sz w:val="20"/>
                          <w:szCs w:val="20"/>
                          <w:lang w:eastAsia="sk-SK"/>
                        </w:rPr>
                      </w:pPr>
                      <w:r w:rsidRPr="007C72FC">
                        <w:rPr>
                          <w:rFonts w:ascii="Times New Roman" w:hAnsi="Times New Roman" w:hint="eastAsia"/>
                          <w:sz w:val="20"/>
                          <w:szCs w:val="20"/>
                          <w:lang w:eastAsia="sk-SK"/>
                        </w:rPr>
                        <w:t>☐</w:t>
                      </w:r>
                    </w:p>
                  </w:tc>
                </w:sdtContent>
              </w:sdt>
              <w:tc>
                <w:tcPr>
                  <w:tcW w:w="8545" w:type="dxa"/>
                </w:tcPr>
                <w:p w14:paraId="06B43358" w14:textId="77777777" w:rsidR="007C72FC" w:rsidRPr="007C72FC" w:rsidRDefault="007C72FC" w:rsidP="007C72FC">
                  <w:pPr>
                    <w:spacing w:after="0" w:line="240" w:lineRule="auto"/>
                    <w:rPr>
                      <w:rFonts w:ascii="Times New Roman" w:hAnsi="Times New Roman"/>
                      <w:b/>
                      <w:sz w:val="20"/>
                      <w:szCs w:val="20"/>
                      <w:lang w:eastAsia="sk-SK"/>
                    </w:rPr>
                  </w:pPr>
                  <w:r w:rsidRPr="007C72FC">
                    <w:rPr>
                      <w:rFonts w:ascii="Times New Roman" w:hAnsi="Times New Roman"/>
                      <w:b/>
                      <w:sz w:val="20"/>
                      <w:szCs w:val="20"/>
                      <w:lang w:eastAsia="sk-SK"/>
                    </w:rPr>
                    <w:t>Áno</w:t>
                  </w:r>
                </w:p>
              </w:tc>
            </w:tr>
            <w:tr w:rsidR="007C72FC" w:rsidRPr="007C72FC" w14:paraId="6A0D01E4" w14:textId="77777777" w:rsidTr="00154BAB">
              <w:sdt>
                <w:sdtPr>
                  <w:rPr>
                    <w:rFonts w:ascii="Times New Roman" w:hAnsi="Times New Roman"/>
                    <w:sz w:val="20"/>
                    <w:szCs w:val="20"/>
                    <w:lang w:eastAsia="sk-SK"/>
                  </w:rPr>
                  <w:id w:val="-1689520971"/>
                  <w14:checkbox>
                    <w14:checked w14:val="1"/>
                    <w14:checkedState w14:val="2612" w14:font="MS Gothic"/>
                    <w14:uncheckedState w14:val="2610" w14:font="MS Gothic"/>
                  </w14:checkbox>
                </w:sdtPr>
                <w:sdtEndPr/>
                <w:sdtContent>
                  <w:tc>
                    <w:tcPr>
                      <w:tcW w:w="436" w:type="dxa"/>
                    </w:tcPr>
                    <w:p w14:paraId="273D535C" w14:textId="77777777" w:rsidR="007C72FC" w:rsidRPr="007C72FC" w:rsidRDefault="007C72FC" w:rsidP="007C72FC">
                      <w:pPr>
                        <w:spacing w:after="0" w:line="240" w:lineRule="auto"/>
                        <w:jc w:val="center"/>
                        <w:rPr>
                          <w:rFonts w:ascii="Times New Roman" w:hAnsi="Times New Roman"/>
                          <w:sz w:val="20"/>
                          <w:szCs w:val="20"/>
                          <w:lang w:eastAsia="sk-SK"/>
                        </w:rPr>
                      </w:pPr>
                      <w:r w:rsidRPr="007C72FC">
                        <w:rPr>
                          <w:rFonts w:ascii="Times New Roman" w:hAnsi="Times New Roman" w:hint="eastAsia"/>
                          <w:sz w:val="20"/>
                          <w:szCs w:val="20"/>
                          <w:lang w:eastAsia="sk-SK"/>
                        </w:rPr>
                        <w:t>☒</w:t>
                      </w:r>
                    </w:p>
                  </w:tc>
                </w:sdtContent>
              </w:sdt>
              <w:tc>
                <w:tcPr>
                  <w:tcW w:w="8545" w:type="dxa"/>
                </w:tcPr>
                <w:p w14:paraId="76B3C803" w14:textId="77777777" w:rsidR="007C72FC" w:rsidRPr="007C72FC" w:rsidRDefault="007C72FC" w:rsidP="007C72FC">
                  <w:pPr>
                    <w:spacing w:after="0" w:line="240" w:lineRule="auto"/>
                    <w:rPr>
                      <w:rFonts w:ascii="Times New Roman" w:hAnsi="Times New Roman"/>
                      <w:b/>
                      <w:sz w:val="20"/>
                      <w:szCs w:val="20"/>
                      <w:lang w:eastAsia="sk-SK"/>
                    </w:rPr>
                  </w:pPr>
                  <w:r w:rsidRPr="007C72FC">
                    <w:rPr>
                      <w:rFonts w:ascii="Times New Roman" w:hAnsi="Times New Roman"/>
                      <w:b/>
                      <w:sz w:val="20"/>
                      <w:szCs w:val="20"/>
                      <w:lang w:eastAsia="sk-SK"/>
                    </w:rPr>
                    <w:t>Nie</w:t>
                  </w:r>
                </w:p>
              </w:tc>
            </w:tr>
          </w:tbl>
          <w:p w14:paraId="100E69C3" w14:textId="77777777" w:rsidR="007C72FC" w:rsidRPr="007C72FC" w:rsidRDefault="007C72FC" w:rsidP="007C72FC">
            <w:pPr>
              <w:spacing w:after="0" w:line="240" w:lineRule="auto"/>
              <w:rPr>
                <w:rFonts w:ascii="Times New Roman" w:hAnsi="Times New Roman"/>
                <w:sz w:val="24"/>
                <w:szCs w:val="24"/>
                <w:lang w:eastAsia="sk-SK"/>
              </w:rPr>
            </w:pPr>
          </w:p>
        </w:tc>
        <w:tc>
          <w:tcPr>
            <w:tcW w:w="3969" w:type="dxa"/>
            <w:gridSpan w:val="5"/>
          </w:tcPr>
          <w:p w14:paraId="13FC20D4" w14:textId="77777777" w:rsidR="007C72FC" w:rsidRPr="007C72FC" w:rsidRDefault="007C72FC" w:rsidP="007C72FC">
            <w:pPr>
              <w:spacing w:after="0" w:line="240" w:lineRule="auto"/>
              <w:rPr>
                <w:rFonts w:ascii="Times New Roman" w:hAnsi="Times New Roman"/>
                <w:i/>
                <w:iCs/>
                <w:sz w:val="24"/>
                <w:szCs w:val="24"/>
                <w:lang w:eastAsia="sk-SK"/>
              </w:rPr>
            </w:pPr>
          </w:p>
        </w:tc>
      </w:tr>
      <w:tr w:rsidR="007C72FC" w:rsidRPr="007C72FC" w14:paraId="6418B427" w14:textId="77777777" w:rsidTr="007C72FC">
        <w:trPr>
          <w:trHeight w:val="20"/>
        </w:trPr>
        <w:tc>
          <w:tcPr>
            <w:tcW w:w="9371" w:type="dxa"/>
            <w:gridSpan w:val="8"/>
            <w:shd w:val="clear" w:color="auto" w:fill="A6A6A6"/>
          </w:tcPr>
          <w:p w14:paraId="4AE591D7" w14:textId="77777777" w:rsidR="007C72FC" w:rsidRPr="007C72FC" w:rsidRDefault="007C72FC" w:rsidP="007C72FC">
            <w:pPr>
              <w:spacing w:after="0" w:line="20" w:lineRule="atLeast"/>
              <w:ind w:hanging="55"/>
              <w:jc w:val="center"/>
              <w:rPr>
                <w:rFonts w:ascii="Times New Roman" w:hAnsi="Times New Roman"/>
                <w:i/>
                <w:iCs/>
                <w:sz w:val="20"/>
                <w:szCs w:val="22"/>
                <w:lang w:eastAsia="sk-SK"/>
              </w:rPr>
            </w:pPr>
            <w:r w:rsidRPr="007C72FC">
              <w:rPr>
                <w:rFonts w:ascii="Times New Roman" w:hAnsi="Times New Roman"/>
                <w:b/>
                <w:sz w:val="20"/>
                <w:szCs w:val="20"/>
                <w:lang w:eastAsia="sk-SK"/>
              </w:rPr>
              <w:t>Referenčné údaje</w:t>
            </w:r>
          </w:p>
        </w:tc>
      </w:tr>
      <w:tr w:rsidR="007C72FC" w:rsidRPr="007C72FC" w14:paraId="013D841F" w14:textId="77777777" w:rsidTr="00154BAB">
        <w:trPr>
          <w:trHeight w:val="20"/>
        </w:trPr>
        <w:tc>
          <w:tcPr>
            <w:tcW w:w="3956" w:type="dxa"/>
            <w:gridSpan w:val="2"/>
          </w:tcPr>
          <w:p w14:paraId="22C42E36" w14:textId="77777777" w:rsidR="007C72FC" w:rsidRPr="007C72FC" w:rsidRDefault="007C72FC" w:rsidP="007C72FC">
            <w:pPr>
              <w:spacing w:after="0" w:line="240" w:lineRule="auto"/>
              <w:jc w:val="both"/>
              <w:rPr>
                <w:rFonts w:ascii="Times New Roman" w:hAnsi="Times New Roman"/>
                <w:sz w:val="20"/>
                <w:szCs w:val="22"/>
                <w:lang w:eastAsia="sk-SK"/>
              </w:rPr>
            </w:pPr>
            <w:r w:rsidRPr="007C72FC">
              <w:rPr>
                <w:rFonts w:ascii="Times New Roman" w:hAnsi="Times New Roman"/>
                <w:b/>
                <w:bCs/>
                <w:sz w:val="20"/>
                <w:szCs w:val="22"/>
                <w:lang w:eastAsia="sk-SK"/>
              </w:rPr>
              <w:t>6.7.1.</w:t>
            </w:r>
            <w:r w:rsidRPr="007C72FC">
              <w:rPr>
                <w:rFonts w:ascii="Times New Roman" w:hAnsi="Times New Roman"/>
                <w:sz w:val="20"/>
                <w:szCs w:val="22"/>
                <w:lang w:eastAsia="sk-SK"/>
              </w:rPr>
              <w:t xml:space="preserve"> Predpokladá predložený návrh zriadenie novej evidencie údajov alebo upravuje vedenie evidencie údajov, ktoré budú navrhnuté na zaradenie do zoznamu referenčných údajov podľa § 51 zákona č. 305/2013 Z. z. o e-Governmente?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7C72FC" w:rsidRPr="007C72FC" w14:paraId="1A226B23" w14:textId="77777777" w:rsidTr="00154BAB">
              <w:sdt>
                <w:sdtPr>
                  <w:rPr>
                    <w:rFonts w:ascii="Times New Roman" w:hAnsi="Times New Roman"/>
                    <w:sz w:val="20"/>
                    <w:szCs w:val="20"/>
                    <w:lang w:eastAsia="sk-SK"/>
                  </w:rPr>
                  <w:id w:val="-677810283"/>
                  <w14:checkbox>
                    <w14:checked w14:val="0"/>
                    <w14:checkedState w14:val="2612" w14:font="MS Gothic"/>
                    <w14:uncheckedState w14:val="2610" w14:font="MS Gothic"/>
                  </w14:checkbox>
                </w:sdtPr>
                <w:sdtEndPr/>
                <w:sdtContent>
                  <w:tc>
                    <w:tcPr>
                      <w:tcW w:w="436" w:type="dxa"/>
                    </w:tcPr>
                    <w:p w14:paraId="5B2D92A0" w14:textId="77777777" w:rsidR="007C72FC" w:rsidRPr="007C72FC" w:rsidRDefault="007C72FC" w:rsidP="007C72FC">
                      <w:pPr>
                        <w:spacing w:after="0" w:line="240" w:lineRule="auto"/>
                        <w:jc w:val="center"/>
                        <w:rPr>
                          <w:rFonts w:ascii="Times New Roman" w:hAnsi="Times New Roman"/>
                          <w:sz w:val="20"/>
                          <w:szCs w:val="20"/>
                          <w:lang w:eastAsia="sk-SK"/>
                        </w:rPr>
                      </w:pPr>
                      <w:r w:rsidRPr="007C72FC">
                        <w:rPr>
                          <w:rFonts w:ascii="Segoe UI Symbol" w:hAnsi="Segoe UI Symbol" w:cs="Segoe UI Symbol"/>
                          <w:sz w:val="20"/>
                          <w:szCs w:val="20"/>
                          <w:lang w:eastAsia="sk-SK"/>
                        </w:rPr>
                        <w:t>☐</w:t>
                      </w:r>
                    </w:p>
                  </w:tc>
                </w:sdtContent>
              </w:sdt>
              <w:tc>
                <w:tcPr>
                  <w:tcW w:w="8545" w:type="dxa"/>
                </w:tcPr>
                <w:p w14:paraId="7E5EE920" w14:textId="77777777" w:rsidR="007C72FC" w:rsidRPr="007C72FC" w:rsidRDefault="007C72FC" w:rsidP="007C72FC">
                  <w:pPr>
                    <w:spacing w:after="0" w:line="240" w:lineRule="auto"/>
                    <w:rPr>
                      <w:rFonts w:ascii="Times New Roman" w:hAnsi="Times New Roman"/>
                      <w:b/>
                      <w:sz w:val="20"/>
                      <w:szCs w:val="20"/>
                      <w:lang w:eastAsia="sk-SK"/>
                    </w:rPr>
                  </w:pPr>
                  <w:r w:rsidRPr="007C72FC">
                    <w:rPr>
                      <w:rFonts w:ascii="Times New Roman" w:hAnsi="Times New Roman"/>
                      <w:b/>
                      <w:sz w:val="20"/>
                      <w:szCs w:val="20"/>
                      <w:lang w:eastAsia="sk-SK"/>
                    </w:rPr>
                    <w:t>Áno</w:t>
                  </w:r>
                </w:p>
              </w:tc>
            </w:tr>
            <w:tr w:rsidR="007C72FC" w:rsidRPr="007C72FC" w14:paraId="2359AA39" w14:textId="77777777" w:rsidTr="00154BAB">
              <w:sdt>
                <w:sdtPr>
                  <w:rPr>
                    <w:rFonts w:ascii="Times New Roman" w:hAnsi="Times New Roman"/>
                    <w:sz w:val="20"/>
                    <w:szCs w:val="20"/>
                    <w:lang w:eastAsia="sk-SK"/>
                  </w:rPr>
                  <w:id w:val="-159857975"/>
                  <w14:checkbox>
                    <w14:checked w14:val="1"/>
                    <w14:checkedState w14:val="2612" w14:font="MS Gothic"/>
                    <w14:uncheckedState w14:val="2610" w14:font="MS Gothic"/>
                  </w14:checkbox>
                </w:sdtPr>
                <w:sdtEndPr/>
                <w:sdtContent>
                  <w:tc>
                    <w:tcPr>
                      <w:tcW w:w="436" w:type="dxa"/>
                    </w:tcPr>
                    <w:p w14:paraId="3574D098" w14:textId="77777777" w:rsidR="007C72FC" w:rsidRPr="007C72FC" w:rsidRDefault="007C72FC" w:rsidP="007C72FC">
                      <w:pPr>
                        <w:spacing w:after="0" w:line="240" w:lineRule="auto"/>
                        <w:jc w:val="center"/>
                        <w:rPr>
                          <w:rFonts w:ascii="Times New Roman" w:hAnsi="Times New Roman"/>
                          <w:sz w:val="20"/>
                          <w:szCs w:val="20"/>
                          <w:lang w:eastAsia="sk-SK"/>
                        </w:rPr>
                      </w:pPr>
                      <w:r w:rsidRPr="007C72FC">
                        <w:rPr>
                          <w:rFonts w:ascii="Times New Roman" w:hAnsi="Times New Roman" w:hint="eastAsia"/>
                          <w:sz w:val="20"/>
                          <w:szCs w:val="20"/>
                          <w:lang w:eastAsia="sk-SK"/>
                        </w:rPr>
                        <w:t>☒</w:t>
                      </w:r>
                    </w:p>
                  </w:tc>
                </w:sdtContent>
              </w:sdt>
              <w:tc>
                <w:tcPr>
                  <w:tcW w:w="8545" w:type="dxa"/>
                </w:tcPr>
                <w:p w14:paraId="5D731781" w14:textId="77777777" w:rsidR="007C72FC" w:rsidRPr="007C72FC" w:rsidRDefault="007C72FC" w:rsidP="007C72FC">
                  <w:pPr>
                    <w:spacing w:after="0" w:line="240" w:lineRule="auto"/>
                    <w:rPr>
                      <w:rFonts w:ascii="Times New Roman" w:hAnsi="Times New Roman"/>
                      <w:b/>
                      <w:sz w:val="20"/>
                      <w:szCs w:val="20"/>
                      <w:lang w:eastAsia="sk-SK"/>
                    </w:rPr>
                  </w:pPr>
                  <w:r w:rsidRPr="007C72FC">
                    <w:rPr>
                      <w:rFonts w:ascii="Times New Roman" w:hAnsi="Times New Roman"/>
                      <w:b/>
                      <w:sz w:val="20"/>
                      <w:szCs w:val="20"/>
                      <w:lang w:eastAsia="sk-SK"/>
                    </w:rPr>
                    <w:t>Nie</w:t>
                  </w:r>
                </w:p>
              </w:tc>
            </w:tr>
          </w:tbl>
          <w:p w14:paraId="41E417EF" w14:textId="77777777" w:rsidR="007C72FC" w:rsidRPr="007C72FC" w:rsidRDefault="007C72FC" w:rsidP="007C72FC">
            <w:pPr>
              <w:spacing w:after="0" w:line="240" w:lineRule="auto"/>
              <w:jc w:val="center"/>
              <w:rPr>
                <w:rFonts w:ascii="Times New Roman" w:hAnsi="Times New Roman"/>
                <w:sz w:val="20"/>
                <w:szCs w:val="20"/>
                <w:lang w:eastAsia="sk-SK"/>
              </w:rPr>
            </w:pPr>
          </w:p>
        </w:tc>
        <w:tc>
          <w:tcPr>
            <w:tcW w:w="3969" w:type="dxa"/>
            <w:gridSpan w:val="5"/>
          </w:tcPr>
          <w:p w14:paraId="667713BF" w14:textId="77777777" w:rsidR="007C72FC" w:rsidRPr="007C72FC" w:rsidRDefault="007C72FC" w:rsidP="007C72FC">
            <w:pPr>
              <w:spacing w:after="0" w:line="240" w:lineRule="auto"/>
              <w:rPr>
                <w:rFonts w:ascii="Times New Roman" w:hAnsi="Times New Roman"/>
                <w:i/>
                <w:iCs/>
                <w:sz w:val="20"/>
                <w:szCs w:val="22"/>
                <w:lang w:eastAsia="sk-SK"/>
              </w:rPr>
            </w:pPr>
            <w:r w:rsidRPr="007C72FC">
              <w:rPr>
                <w:rFonts w:ascii="Times New Roman" w:hAnsi="Times New Roman"/>
                <w:i/>
                <w:iCs/>
                <w:sz w:val="20"/>
                <w:szCs w:val="22"/>
                <w:lang w:eastAsia="sk-SK"/>
              </w:rPr>
              <w:t xml:space="preserve">Nie sú referenčné údaje. </w:t>
            </w:r>
          </w:p>
        </w:tc>
      </w:tr>
      <w:tr w:rsidR="007C72FC" w:rsidRPr="007C72FC" w14:paraId="0500107F" w14:textId="77777777" w:rsidTr="00154BAB">
        <w:trPr>
          <w:trHeight w:val="20"/>
        </w:trPr>
        <w:tc>
          <w:tcPr>
            <w:tcW w:w="3956" w:type="dxa"/>
            <w:gridSpan w:val="2"/>
          </w:tcPr>
          <w:p w14:paraId="300244CC" w14:textId="77777777" w:rsidR="007C72FC" w:rsidRPr="007C72FC" w:rsidRDefault="007C72FC" w:rsidP="007C72FC">
            <w:pPr>
              <w:spacing w:after="0" w:line="240" w:lineRule="auto"/>
              <w:jc w:val="both"/>
              <w:rPr>
                <w:rFonts w:ascii="Times New Roman" w:hAnsi="Times New Roman"/>
                <w:sz w:val="20"/>
                <w:szCs w:val="22"/>
                <w:lang w:eastAsia="sk-SK"/>
              </w:rPr>
            </w:pPr>
            <w:r w:rsidRPr="007C72FC">
              <w:rPr>
                <w:rFonts w:ascii="Times New Roman" w:hAnsi="Times New Roman"/>
                <w:b/>
                <w:bCs/>
                <w:sz w:val="20"/>
                <w:szCs w:val="22"/>
                <w:lang w:eastAsia="sk-SK"/>
              </w:rPr>
              <w:t>6.7.2.</w:t>
            </w:r>
            <w:r w:rsidRPr="007C72FC">
              <w:rPr>
                <w:rFonts w:ascii="Times New Roman" w:hAnsi="Times New Roman"/>
                <w:sz w:val="20"/>
                <w:szCs w:val="22"/>
                <w:lang w:eastAsia="sk-SK"/>
              </w:rPr>
              <w:t xml:space="preserve"> Kedy je plánované zaradenie údajov z evidencie do zoznamu referenčných údajov podľa § 51 zákona č. 305/2013 Z. z. o e-Governmente?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7C72FC" w:rsidRPr="007C72FC" w14:paraId="521369FC" w14:textId="77777777" w:rsidTr="00154BAB">
              <w:tc>
                <w:tcPr>
                  <w:tcW w:w="436" w:type="dxa"/>
                </w:tcPr>
                <w:p w14:paraId="62160E0A" w14:textId="77777777" w:rsidR="007C72FC" w:rsidRPr="007C72FC" w:rsidRDefault="007C72FC" w:rsidP="007C72FC">
                  <w:pPr>
                    <w:spacing w:after="0" w:line="240" w:lineRule="auto"/>
                    <w:jc w:val="center"/>
                    <w:rPr>
                      <w:rFonts w:ascii="Times New Roman" w:hAnsi="Times New Roman"/>
                      <w:sz w:val="20"/>
                      <w:szCs w:val="20"/>
                      <w:lang w:eastAsia="sk-SK"/>
                    </w:rPr>
                  </w:pPr>
                </w:p>
              </w:tc>
              <w:tc>
                <w:tcPr>
                  <w:tcW w:w="8545" w:type="dxa"/>
                </w:tcPr>
                <w:p w14:paraId="0325895D" w14:textId="77777777" w:rsidR="007C72FC" w:rsidRPr="007C72FC" w:rsidRDefault="007C72FC" w:rsidP="007C72FC">
                  <w:pPr>
                    <w:spacing w:after="0" w:line="240" w:lineRule="auto"/>
                    <w:rPr>
                      <w:rFonts w:ascii="Times New Roman" w:hAnsi="Times New Roman"/>
                      <w:b/>
                      <w:sz w:val="20"/>
                      <w:szCs w:val="20"/>
                      <w:lang w:eastAsia="sk-SK"/>
                    </w:rPr>
                  </w:pPr>
                </w:p>
              </w:tc>
            </w:tr>
            <w:tr w:rsidR="007C72FC" w:rsidRPr="007C72FC" w14:paraId="7C8949DE" w14:textId="77777777" w:rsidTr="00154BAB">
              <w:tc>
                <w:tcPr>
                  <w:tcW w:w="436" w:type="dxa"/>
                </w:tcPr>
                <w:p w14:paraId="4DD5C10A" w14:textId="77777777" w:rsidR="007C72FC" w:rsidRPr="007C72FC" w:rsidRDefault="007C72FC" w:rsidP="007C72FC">
                  <w:pPr>
                    <w:spacing w:after="0" w:line="240" w:lineRule="auto"/>
                    <w:jc w:val="center"/>
                    <w:rPr>
                      <w:rFonts w:ascii="Times New Roman" w:hAnsi="Times New Roman"/>
                      <w:sz w:val="20"/>
                      <w:szCs w:val="20"/>
                      <w:lang w:eastAsia="sk-SK"/>
                    </w:rPr>
                  </w:pPr>
                </w:p>
              </w:tc>
              <w:tc>
                <w:tcPr>
                  <w:tcW w:w="8545" w:type="dxa"/>
                </w:tcPr>
                <w:p w14:paraId="1C5B7AF8" w14:textId="77777777" w:rsidR="007C72FC" w:rsidRPr="007C72FC" w:rsidRDefault="007C72FC" w:rsidP="007C72FC">
                  <w:pPr>
                    <w:spacing w:after="0" w:line="240" w:lineRule="auto"/>
                    <w:rPr>
                      <w:rFonts w:ascii="Times New Roman" w:hAnsi="Times New Roman"/>
                      <w:b/>
                      <w:sz w:val="20"/>
                      <w:szCs w:val="20"/>
                      <w:lang w:eastAsia="sk-SK"/>
                    </w:rPr>
                  </w:pPr>
                </w:p>
              </w:tc>
            </w:tr>
          </w:tbl>
          <w:p w14:paraId="39E3B851" w14:textId="77777777" w:rsidR="007C72FC" w:rsidRPr="007C72FC" w:rsidRDefault="007C72FC" w:rsidP="007C72FC">
            <w:pPr>
              <w:spacing w:after="0" w:line="240" w:lineRule="auto"/>
              <w:jc w:val="center"/>
              <w:rPr>
                <w:rFonts w:ascii="Times New Roman" w:hAnsi="Times New Roman"/>
                <w:sz w:val="20"/>
                <w:szCs w:val="20"/>
                <w:lang w:eastAsia="sk-SK"/>
              </w:rPr>
            </w:pPr>
          </w:p>
        </w:tc>
        <w:tc>
          <w:tcPr>
            <w:tcW w:w="3969" w:type="dxa"/>
            <w:gridSpan w:val="5"/>
          </w:tcPr>
          <w:p w14:paraId="7022E034" w14:textId="77777777" w:rsidR="007C72FC" w:rsidRPr="007C72FC" w:rsidRDefault="007C72FC" w:rsidP="007C72FC">
            <w:pPr>
              <w:spacing w:after="0" w:line="240" w:lineRule="auto"/>
              <w:rPr>
                <w:rFonts w:ascii="Times New Roman" w:hAnsi="Times New Roman"/>
                <w:i/>
                <w:iCs/>
                <w:sz w:val="20"/>
                <w:szCs w:val="22"/>
                <w:lang w:eastAsia="sk-SK"/>
              </w:rPr>
            </w:pPr>
            <w:r w:rsidRPr="007C72FC">
              <w:rPr>
                <w:rFonts w:ascii="Times New Roman" w:hAnsi="Times New Roman"/>
                <w:i/>
                <w:iCs/>
                <w:sz w:val="20"/>
                <w:szCs w:val="22"/>
                <w:lang w:eastAsia="sk-SK"/>
              </w:rPr>
              <w:t>Nie sú referenčné údaje.</w:t>
            </w:r>
          </w:p>
        </w:tc>
      </w:tr>
    </w:tbl>
    <w:p w14:paraId="6E85974C" w14:textId="77777777" w:rsidR="007C72FC" w:rsidRPr="007C72FC" w:rsidRDefault="007C72FC" w:rsidP="007C72FC">
      <w:pPr>
        <w:autoSpaceDE w:val="0"/>
        <w:autoSpaceDN w:val="0"/>
        <w:adjustRightInd w:val="0"/>
        <w:spacing w:after="0" w:line="240" w:lineRule="auto"/>
        <w:rPr>
          <w:rFonts w:ascii="Times New Roman" w:eastAsia="Calibri" w:hAnsi="Times New Roman"/>
          <w:b/>
          <w:bCs/>
          <w:color w:val="000000"/>
          <w:sz w:val="24"/>
          <w:szCs w:val="24"/>
        </w:rPr>
      </w:pPr>
    </w:p>
    <w:p w14:paraId="5E378BB1" w14:textId="77777777" w:rsidR="00BD372F" w:rsidRDefault="00BD372F" w:rsidP="00BD372F">
      <w:pPr>
        <w:spacing w:after="0" w:line="240" w:lineRule="auto"/>
        <w:rPr>
          <w:rFonts w:ascii="Calibri" w:eastAsia="Calibri" w:hAnsi="Calibri"/>
          <w:color w:val="000000"/>
          <w:szCs w:val="22"/>
        </w:rPr>
      </w:pPr>
    </w:p>
    <w:p w14:paraId="6B5C373B" w14:textId="77777777" w:rsidR="007C72FC" w:rsidRDefault="007C72FC" w:rsidP="00BD372F">
      <w:pPr>
        <w:spacing w:after="0" w:line="240" w:lineRule="auto"/>
        <w:rPr>
          <w:rFonts w:ascii="Calibri" w:eastAsia="Calibri" w:hAnsi="Calibri"/>
          <w:color w:val="000000"/>
          <w:szCs w:val="22"/>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9371"/>
      </w:tblGrid>
      <w:tr w:rsidR="007C72FC" w:rsidRPr="007C72FC" w14:paraId="158A4EFE" w14:textId="77777777" w:rsidTr="00154BAB">
        <w:trPr>
          <w:trHeight w:val="822"/>
        </w:trPr>
        <w:tc>
          <w:tcPr>
            <w:tcW w:w="9371" w:type="dxa"/>
            <w:shd w:val="clear" w:color="auto" w:fill="BFBFBF"/>
            <w:vAlign w:val="center"/>
          </w:tcPr>
          <w:p w14:paraId="0F3E2672" w14:textId="77777777" w:rsidR="007C72FC" w:rsidRPr="007C72FC" w:rsidRDefault="007C72FC" w:rsidP="007C72FC">
            <w:pPr>
              <w:widowControl w:val="0"/>
              <w:adjustRightInd w:val="0"/>
              <w:spacing w:after="0" w:line="240" w:lineRule="auto"/>
              <w:jc w:val="center"/>
              <w:textAlignment w:val="baseline"/>
              <w:rPr>
                <w:rFonts w:ascii="Times New Roman" w:hAnsi="Times New Roman"/>
                <w:b/>
                <w:bCs/>
                <w:sz w:val="32"/>
                <w:szCs w:val="32"/>
                <w:lang w:eastAsia="sk-SK"/>
              </w:rPr>
            </w:pPr>
            <w:r w:rsidRPr="007C72FC">
              <w:rPr>
                <w:rFonts w:ascii="Times New Roman" w:hAnsi="Times New Roman"/>
                <w:b/>
                <w:bCs/>
                <w:sz w:val="32"/>
                <w:szCs w:val="32"/>
                <w:lang w:eastAsia="sk-SK"/>
              </w:rPr>
              <w:t>Analýza vplyvov na služby verejnej správy pre občana</w:t>
            </w:r>
          </w:p>
          <w:p w14:paraId="5E559D8F" w14:textId="77777777" w:rsidR="007C72FC" w:rsidRPr="007C72FC" w:rsidRDefault="007C72FC" w:rsidP="007C72FC">
            <w:pPr>
              <w:widowControl w:val="0"/>
              <w:adjustRightInd w:val="0"/>
              <w:spacing w:after="0" w:line="240" w:lineRule="auto"/>
              <w:jc w:val="both"/>
              <w:textAlignment w:val="baseline"/>
              <w:rPr>
                <w:rFonts w:ascii="Times New Roman" w:hAnsi="Times New Roman"/>
                <w:b/>
                <w:i/>
                <w:iCs/>
                <w:sz w:val="2"/>
                <w:szCs w:val="22"/>
                <w:lang w:eastAsia="sk-SK"/>
              </w:rPr>
            </w:pPr>
          </w:p>
        </w:tc>
      </w:tr>
      <w:tr w:rsidR="007C72FC" w:rsidRPr="007C72FC" w14:paraId="3F2F301A" w14:textId="77777777" w:rsidTr="00154BAB">
        <w:trPr>
          <w:trHeight w:val="367"/>
        </w:trPr>
        <w:tc>
          <w:tcPr>
            <w:tcW w:w="9371" w:type="dxa"/>
            <w:shd w:val="clear" w:color="auto" w:fill="C0C0C0"/>
            <w:vAlign w:val="center"/>
          </w:tcPr>
          <w:p w14:paraId="76052A28" w14:textId="77777777" w:rsidR="007C72FC" w:rsidRPr="007C72FC" w:rsidRDefault="007C72FC" w:rsidP="007C72FC">
            <w:pPr>
              <w:widowControl w:val="0"/>
              <w:adjustRightInd w:val="0"/>
              <w:spacing w:after="0" w:line="240" w:lineRule="auto"/>
              <w:jc w:val="center"/>
              <w:textAlignment w:val="baseline"/>
              <w:rPr>
                <w:rFonts w:ascii="Times New Roman" w:hAnsi="Times New Roman"/>
                <w:b/>
                <w:sz w:val="28"/>
                <w:szCs w:val="28"/>
                <w:lang w:eastAsia="sk-SK"/>
              </w:rPr>
            </w:pPr>
            <w:r w:rsidRPr="007C72FC">
              <w:rPr>
                <w:rFonts w:ascii="Times New Roman" w:hAnsi="Times New Roman"/>
                <w:b/>
                <w:sz w:val="28"/>
                <w:szCs w:val="28"/>
                <w:lang w:eastAsia="sk-SK"/>
              </w:rPr>
              <w:t xml:space="preserve">7.1 Identifikácia služby verejnej správy, ktorá je dotknutá návrhom </w:t>
            </w:r>
          </w:p>
        </w:tc>
      </w:tr>
      <w:tr w:rsidR="007C72FC" w:rsidRPr="007C72FC" w14:paraId="2BF038A1" w14:textId="77777777" w:rsidTr="00154BAB">
        <w:trPr>
          <w:trHeight w:val="316"/>
        </w:trPr>
        <w:tc>
          <w:tcPr>
            <w:tcW w:w="9371" w:type="dxa"/>
          </w:tcPr>
          <w:p w14:paraId="10551AC2" w14:textId="77777777" w:rsidR="007C72FC" w:rsidRPr="007C72FC" w:rsidRDefault="007C72FC" w:rsidP="007C72FC">
            <w:pPr>
              <w:widowControl w:val="0"/>
              <w:adjustRightInd w:val="0"/>
              <w:spacing w:after="0" w:line="240" w:lineRule="auto"/>
              <w:jc w:val="both"/>
              <w:textAlignment w:val="baseline"/>
              <w:rPr>
                <w:rFonts w:ascii="Times New Roman" w:hAnsi="Times New Roman"/>
                <w:b/>
                <w:i/>
                <w:szCs w:val="22"/>
                <w:lang w:eastAsia="sk-SK"/>
              </w:rPr>
            </w:pPr>
            <w:r w:rsidRPr="007C72FC">
              <w:rPr>
                <w:rFonts w:ascii="Times New Roman" w:hAnsi="Times New Roman"/>
                <w:b/>
                <w:sz w:val="24"/>
                <w:szCs w:val="24"/>
                <w:lang w:eastAsia="sk-SK"/>
              </w:rPr>
              <w:t>7.1.1 Predpokladá predložený návrh zmenu existujúcej služby verejnej správy alebo vytvorenie novej služby?</w:t>
            </w:r>
            <w:r w:rsidRPr="007C72FC">
              <w:rPr>
                <w:rFonts w:ascii="Times New Roman" w:hAnsi="Times New Roman"/>
                <w:i/>
                <w:szCs w:val="22"/>
                <w:lang w:eastAsia="sk-SK"/>
              </w:rPr>
              <w:t xml:space="preserve"> </w:t>
            </w:r>
          </w:p>
        </w:tc>
      </w:tr>
      <w:tr w:rsidR="007C72FC" w:rsidRPr="007C72FC" w14:paraId="12455879" w14:textId="77777777" w:rsidTr="00154BAB">
        <w:trPr>
          <w:trHeight w:val="296"/>
        </w:trPr>
        <w:tc>
          <w:tcPr>
            <w:tcW w:w="9371" w:type="dxa"/>
          </w:tcPr>
          <w:p w14:paraId="39B93C26" w14:textId="77777777" w:rsidR="007C72FC" w:rsidRPr="007C72FC" w:rsidRDefault="007C72FC" w:rsidP="007C72FC">
            <w:pPr>
              <w:widowControl w:val="0"/>
              <w:adjustRightInd w:val="0"/>
              <w:spacing w:after="0" w:line="240" w:lineRule="auto"/>
              <w:jc w:val="both"/>
              <w:textAlignment w:val="baseline"/>
              <w:rPr>
                <w:rFonts w:ascii="Times New Roman" w:hAnsi="Times New Roman"/>
                <w:b/>
                <w:i/>
                <w:szCs w:val="22"/>
                <w:lang w:eastAsia="sk-SK"/>
              </w:rPr>
            </w:pPr>
            <w:r w:rsidRPr="007C72FC">
              <w:rPr>
                <w:rFonts w:ascii="Times New Roman" w:hAnsi="Times New Roman"/>
                <w:i/>
                <w:szCs w:val="22"/>
                <w:lang w:eastAsia="sk-SK"/>
              </w:rPr>
              <w:t xml:space="preserve">Zmena existujúcej služby (konkretizujte a popíšte) </w:t>
            </w:r>
          </w:p>
        </w:tc>
      </w:tr>
      <w:tr w:rsidR="007C72FC" w:rsidRPr="007C72FC" w14:paraId="3A1CBB39" w14:textId="77777777" w:rsidTr="00154BAB">
        <w:trPr>
          <w:trHeight w:val="363"/>
        </w:trPr>
        <w:tc>
          <w:tcPr>
            <w:tcW w:w="9371" w:type="dxa"/>
          </w:tcPr>
          <w:p w14:paraId="095FC532" w14:textId="77777777" w:rsidR="007C72FC" w:rsidRPr="007C72FC" w:rsidRDefault="007C72FC" w:rsidP="007C72FC">
            <w:pPr>
              <w:widowControl w:val="0"/>
              <w:adjustRightInd w:val="0"/>
              <w:spacing w:after="0" w:line="240" w:lineRule="auto"/>
              <w:jc w:val="both"/>
              <w:textAlignment w:val="baseline"/>
              <w:rPr>
                <w:rFonts w:ascii="Times New Roman" w:hAnsi="Times New Roman"/>
                <w:i/>
                <w:szCs w:val="22"/>
                <w:lang w:eastAsia="sk-SK"/>
              </w:rPr>
            </w:pPr>
          </w:p>
        </w:tc>
      </w:tr>
      <w:tr w:rsidR="007C72FC" w:rsidRPr="007C72FC" w14:paraId="793D8076" w14:textId="77777777" w:rsidTr="00154BAB">
        <w:trPr>
          <w:trHeight w:val="212"/>
        </w:trPr>
        <w:tc>
          <w:tcPr>
            <w:tcW w:w="9371" w:type="dxa"/>
          </w:tcPr>
          <w:p w14:paraId="7B474C0D" w14:textId="77777777" w:rsidR="007C72FC" w:rsidRPr="007C72FC" w:rsidRDefault="007C72FC" w:rsidP="007C72FC">
            <w:pPr>
              <w:widowControl w:val="0"/>
              <w:adjustRightInd w:val="0"/>
              <w:spacing w:after="0" w:line="240" w:lineRule="auto"/>
              <w:jc w:val="both"/>
              <w:textAlignment w:val="baseline"/>
              <w:rPr>
                <w:rFonts w:ascii="Times New Roman" w:hAnsi="Times New Roman"/>
                <w:i/>
                <w:szCs w:val="22"/>
                <w:lang w:eastAsia="sk-SK"/>
              </w:rPr>
            </w:pPr>
            <w:r w:rsidRPr="007C72FC">
              <w:rPr>
                <w:rFonts w:ascii="Times New Roman" w:hAnsi="Times New Roman"/>
                <w:i/>
                <w:szCs w:val="22"/>
                <w:lang w:eastAsia="sk-SK"/>
              </w:rPr>
              <w:t>Nová služba (konkretizujte a popíšte)</w:t>
            </w:r>
          </w:p>
        </w:tc>
      </w:tr>
      <w:tr w:rsidR="007C72FC" w:rsidRPr="007C72FC" w14:paraId="1A71A8E0" w14:textId="77777777" w:rsidTr="00154BAB">
        <w:trPr>
          <w:trHeight w:val="598"/>
        </w:trPr>
        <w:tc>
          <w:tcPr>
            <w:tcW w:w="9371" w:type="dxa"/>
          </w:tcPr>
          <w:p w14:paraId="477624E1" w14:textId="77777777" w:rsidR="007C72FC" w:rsidRPr="007C72FC" w:rsidRDefault="007C72FC" w:rsidP="007C72FC">
            <w:pPr>
              <w:widowControl w:val="0"/>
              <w:adjustRightInd w:val="0"/>
              <w:spacing w:after="0" w:line="240" w:lineRule="auto"/>
              <w:jc w:val="both"/>
              <w:textAlignment w:val="baseline"/>
              <w:rPr>
                <w:rFonts w:ascii="Times New Roman" w:hAnsi="Times New Roman"/>
                <w:i/>
                <w:szCs w:val="22"/>
                <w:lang w:eastAsia="sk-SK"/>
              </w:rPr>
            </w:pPr>
            <w:r w:rsidRPr="007C72FC">
              <w:rPr>
                <w:rFonts w:ascii="Times New Roman" w:hAnsi="Times New Roman"/>
                <w:sz w:val="24"/>
                <w:szCs w:val="24"/>
                <w:lang w:eastAsia="sk-SK"/>
              </w:rPr>
              <w:t xml:space="preserve">Vytvorenie novej služby úhrady súdnych poplatkov a správnych poplatkov prostredníctvom technického vybavenia Štátnej pokladnice, platobnej brány Štátnej pokladnice alebo platobného predpisu. Cieľovým riešením budú úhrady súdnych poplatkov a správnych poplatkov len prostredníctvom Štátnej pokladnice. Z pohľadu poplatníka sa možnosti voľby spôsobu úhrady rôznymi platobnými kanálmi zachovávajú, umožnená však bude aj platba priamo u úradníka prostredníctvom POS terminálu. </w:t>
            </w:r>
          </w:p>
        </w:tc>
      </w:tr>
      <w:tr w:rsidR="007C72FC" w:rsidRPr="007C72FC" w14:paraId="61D40544" w14:textId="77777777" w:rsidTr="00154BAB">
        <w:trPr>
          <w:trHeight w:val="248"/>
        </w:trPr>
        <w:tc>
          <w:tcPr>
            <w:tcW w:w="9371" w:type="dxa"/>
          </w:tcPr>
          <w:p w14:paraId="15686AC0" w14:textId="77777777" w:rsidR="007C72FC" w:rsidRPr="007C72FC" w:rsidRDefault="007C72FC" w:rsidP="007C72FC">
            <w:pPr>
              <w:widowControl w:val="0"/>
              <w:adjustRightInd w:val="0"/>
              <w:spacing w:after="0" w:line="240" w:lineRule="auto"/>
              <w:jc w:val="both"/>
              <w:textAlignment w:val="baseline"/>
              <w:rPr>
                <w:rFonts w:ascii="Times New Roman" w:hAnsi="Times New Roman"/>
                <w:b/>
                <w:sz w:val="24"/>
                <w:szCs w:val="24"/>
                <w:lang w:eastAsia="sk-SK"/>
              </w:rPr>
            </w:pPr>
            <w:r w:rsidRPr="007C72FC">
              <w:rPr>
                <w:rFonts w:ascii="Times New Roman" w:hAnsi="Times New Roman"/>
                <w:b/>
                <w:sz w:val="24"/>
                <w:szCs w:val="24"/>
                <w:lang w:eastAsia="sk-SK"/>
              </w:rPr>
              <w:t>7.1.2 Špecifikácia služby verejnej správy, ktorá je dotknutá návrhom</w:t>
            </w:r>
          </w:p>
        </w:tc>
      </w:tr>
      <w:tr w:rsidR="007C72FC" w:rsidRPr="007C72FC" w14:paraId="70E00CC2" w14:textId="77777777" w:rsidTr="00154BAB">
        <w:trPr>
          <w:trHeight w:val="248"/>
        </w:trPr>
        <w:tc>
          <w:tcPr>
            <w:tcW w:w="9371" w:type="dxa"/>
          </w:tcPr>
          <w:p w14:paraId="1DDAE06A" w14:textId="77777777" w:rsidR="007C72FC" w:rsidRPr="007C72FC" w:rsidRDefault="007C72FC" w:rsidP="007C72FC">
            <w:pPr>
              <w:widowControl w:val="0"/>
              <w:adjustRightInd w:val="0"/>
              <w:spacing w:after="0" w:line="240" w:lineRule="auto"/>
              <w:jc w:val="both"/>
              <w:textAlignment w:val="baseline"/>
              <w:rPr>
                <w:rFonts w:ascii="Times New Roman" w:hAnsi="Times New Roman"/>
                <w:i/>
                <w:szCs w:val="22"/>
                <w:lang w:eastAsia="sk-SK"/>
              </w:rPr>
            </w:pPr>
            <w:r w:rsidRPr="007C72FC">
              <w:rPr>
                <w:rFonts w:ascii="Times New Roman" w:hAnsi="Times New Roman"/>
                <w:i/>
                <w:szCs w:val="22"/>
                <w:lang w:eastAsia="sk-SK"/>
              </w:rPr>
              <w:t xml:space="preserve">Názov služby </w:t>
            </w:r>
          </w:p>
        </w:tc>
      </w:tr>
      <w:tr w:rsidR="007C72FC" w:rsidRPr="007C72FC" w14:paraId="34E97AA5" w14:textId="77777777" w:rsidTr="00154BAB">
        <w:trPr>
          <w:trHeight w:val="545"/>
        </w:trPr>
        <w:tc>
          <w:tcPr>
            <w:tcW w:w="9371" w:type="dxa"/>
          </w:tcPr>
          <w:p w14:paraId="5E566EE7" w14:textId="77777777" w:rsidR="007C72FC" w:rsidRPr="007C72FC" w:rsidRDefault="007C72FC" w:rsidP="007C72FC">
            <w:pPr>
              <w:widowControl w:val="0"/>
              <w:adjustRightInd w:val="0"/>
              <w:spacing w:after="0" w:line="240" w:lineRule="auto"/>
              <w:jc w:val="both"/>
              <w:textAlignment w:val="baseline"/>
              <w:rPr>
                <w:rFonts w:ascii="Times New Roman" w:hAnsi="Times New Roman"/>
                <w:i/>
                <w:szCs w:val="22"/>
                <w:lang w:eastAsia="sk-SK"/>
              </w:rPr>
            </w:pPr>
            <w:r w:rsidRPr="007C72FC">
              <w:rPr>
                <w:rFonts w:ascii="Times New Roman" w:hAnsi="Times New Roman"/>
                <w:sz w:val="24"/>
                <w:szCs w:val="24"/>
                <w:lang w:eastAsia="sk-SK"/>
              </w:rPr>
              <w:t>Úhrada správneho a súdneho poplatku prostredníctvom centrálneho systému evidencie poplatkov ŠP (funkčné rozšírenie IS ŠP).</w:t>
            </w:r>
          </w:p>
        </w:tc>
      </w:tr>
      <w:tr w:rsidR="007C72FC" w:rsidRPr="007C72FC" w14:paraId="7C311963" w14:textId="77777777" w:rsidTr="00154BAB">
        <w:trPr>
          <w:trHeight w:val="248"/>
        </w:trPr>
        <w:tc>
          <w:tcPr>
            <w:tcW w:w="9371" w:type="dxa"/>
          </w:tcPr>
          <w:p w14:paraId="7C12E6E7" w14:textId="77777777" w:rsidR="007C72FC" w:rsidRPr="007C72FC" w:rsidRDefault="007C72FC" w:rsidP="007C72FC">
            <w:pPr>
              <w:widowControl w:val="0"/>
              <w:adjustRightInd w:val="0"/>
              <w:spacing w:after="0" w:line="240" w:lineRule="auto"/>
              <w:jc w:val="both"/>
              <w:textAlignment w:val="baseline"/>
              <w:rPr>
                <w:rFonts w:ascii="Times New Roman" w:hAnsi="Times New Roman"/>
                <w:b/>
                <w:i/>
                <w:szCs w:val="22"/>
                <w:lang w:eastAsia="sk-SK"/>
              </w:rPr>
            </w:pPr>
            <w:r w:rsidRPr="007C72FC">
              <w:rPr>
                <w:rFonts w:ascii="Times New Roman" w:hAnsi="Times New Roman"/>
                <w:i/>
                <w:szCs w:val="22"/>
                <w:lang w:eastAsia="sk-SK"/>
              </w:rPr>
              <w:t>Platná právna úprava, na základe ktorej je služba poskytovaná (ak ide o zmenu existujúcej služby)</w:t>
            </w:r>
          </w:p>
        </w:tc>
      </w:tr>
      <w:tr w:rsidR="007C72FC" w:rsidRPr="007C72FC" w14:paraId="7B638B7D" w14:textId="77777777" w:rsidTr="00154BAB">
        <w:trPr>
          <w:trHeight w:val="398"/>
        </w:trPr>
        <w:tc>
          <w:tcPr>
            <w:tcW w:w="9371" w:type="dxa"/>
          </w:tcPr>
          <w:p w14:paraId="02A7D358" w14:textId="77777777" w:rsidR="007C72FC" w:rsidRPr="007C72FC" w:rsidRDefault="007C72FC" w:rsidP="007C72FC">
            <w:pPr>
              <w:widowControl w:val="0"/>
              <w:adjustRightInd w:val="0"/>
              <w:spacing w:after="0" w:line="240" w:lineRule="auto"/>
              <w:jc w:val="both"/>
              <w:textAlignment w:val="baseline"/>
              <w:rPr>
                <w:rFonts w:ascii="Times New Roman" w:hAnsi="Times New Roman"/>
                <w:b/>
                <w:i/>
                <w:szCs w:val="22"/>
                <w:lang w:eastAsia="sk-SK"/>
              </w:rPr>
            </w:pPr>
            <w:r w:rsidRPr="007C72FC">
              <w:rPr>
                <w:rFonts w:ascii="Times New Roman" w:hAnsi="Times New Roman"/>
                <w:sz w:val="24"/>
                <w:szCs w:val="24"/>
                <w:lang w:eastAsia="sk-SK"/>
              </w:rPr>
              <w:t xml:space="preserve">Ide o novú službu. </w:t>
            </w:r>
          </w:p>
        </w:tc>
      </w:tr>
      <w:tr w:rsidR="007C72FC" w:rsidRPr="007C72FC" w14:paraId="411A4BEE" w14:textId="77777777" w:rsidTr="00154BAB">
        <w:trPr>
          <w:trHeight w:val="220"/>
        </w:trPr>
        <w:tc>
          <w:tcPr>
            <w:tcW w:w="9371" w:type="dxa"/>
          </w:tcPr>
          <w:p w14:paraId="34EB4747" w14:textId="77777777" w:rsidR="007C72FC" w:rsidRPr="007C72FC" w:rsidRDefault="007C72FC" w:rsidP="007C72FC">
            <w:pPr>
              <w:widowControl w:val="0"/>
              <w:adjustRightInd w:val="0"/>
              <w:spacing w:after="0" w:line="240" w:lineRule="auto"/>
              <w:jc w:val="both"/>
              <w:textAlignment w:val="baseline"/>
              <w:rPr>
                <w:rFonts w:ascii="Times New Roman" w:hAnsi="Times New Roman"/>
                <w:b/>
                <w:i/>
                <w:szCs w:val="22"/>
                <w:lang w:eastAsia="sk-SK"/>
              </w:rPr>
            </w:pPr>
            <w:r w:rsidRPr="007C72FC">
              <w:rPr>
                <w:rFonts w:ascii="Times New Roman" w:hAnsi="Times New Roman"/>
                <w:i/>
                <w:szCs w:val="22"/>
                <w:lang w:eastAsia="sk-SK"/>
              </w:rPr>
              <w:t xml:space="preserve">Subjekt, ktorý je na základe platnej právnej úpravy oprávnený službu poskytovať </w:t>
            </w:r>
          </w:p>
        </w:tc>
      </w:tr>
      <w:tr w:rsidR="007C72FC" w:rsidRPr="007C72FC" w14:paraId="2A0F6143" w14:textId="77777777" w:rsidTr="00154BAB">
        <w:trPr>
          <w:trHeight w:val="323"/>
        </w:trPr>
        <w:tc>
          <w:tcPr>
            <w:tcW w:w="9371" w:type="dxa"/>
          </w:tcPr>
          <w:p w14:paraId="28DFBAD6" w14:textId="77777777" w:rsidR="007C72FC" w:rsidRPr="007C72FC" w:rsidRDefault="007C72FC" w:rsidP="007C72FC">
            <w:pPr>
              <w:widowControl w:val="0"/>
              <w:adjustRightInd w:val="0"/>
              <w:spacing w:after="0" w:line="240" w:lineRule="auto"/>
              <w:jc w:val="both"/>
              <w:textAlignment w:val="baseline"/>
              <w:rPr>
                <w:rFonts w:ascii="Times New Roman" w:hAnsi="Times New Roman"/>
                <w:szCs w:val="22"/>
                <w:lang w:eastAsia="sk-SK"/>
              </w:rPr>
            </w:pPr>
            <w:r w:rsidRPr="007C72FC">
              <w:rPr>
                <w:rFonts w:ascii="Times New Roman" w:hAnsi="Times New Roman"/>
                <w:sz w:val="24"/>
                <w:szCs w:val="24"/>
                <w:lang w:eastAsia="sk-SK"/>
              </w:rPr>
              <w:t>Štátna pokladnica.</w:t>
            </w:r>
          </w:p>
        </w:tc>
      </w:tr>
      <w:tr w:rsidR="007C72FC" w:rsidRPr="007C72FC" w14:paraId="12E7CD32" w14:textId="77777777" w:rsidTr="00154BAB">
        <w:trPr>
          <w:trHeight w:val="423"/>
        </w:trPr>
        <w:tc>
          <w:tcPr>
            <w:tcW w:w="9371" w:type="dxa"/>
          </w:tcPr>
          <w:p w14:paraId="2B12FFB0" w14:textId="77777777" w:rsidR="007C72FC" w:rsidRPr="007C72FC" w:rsidRDefault="007C72FC" w:rsidP="007C72FC">
            <w:pPr>
              <w:widowControl w:val="0"/>
              <w:adjustRightInd w:val="0"/>
              <w:spacing w:after="0" w:line="240" w:lineRule="auto"/>
              <w:jc w:val="both"/>
              <w:textAlignment w:val="baseline"/>
              <w:rPr>
                <w:rFonts w:ascii="Times New Roman" w:hAnsi="Times New Roman"/>
                <w:b/>
                <w:i/>
                <w:szCs w:val="22"/>
                <w:lang w:eastAsia="sk-SK"/>
              </w:rPr>
            </w:pPr>
            <w:r w:rsidRPr="007C72FC">
              <w:rPr>
                <w:rFonts w:ascii="Times New Roman" w:hAnsi="Times New Roman"/>
                <w:b/>
                <w:sz w:val="24"/>
                <w:szCs w:val="24"/>
                <w:lang w:eastAsia="sk-SK"/>
              </w:rPr>
              <w:t xml:space="preserve">7.1.3 O aký vplyv na službu verejnej správy ide? </w:t>
            </w:r>
          </w:p>
        </w:tc>
      </w:tr>
      <w:tr w:rsidR="007C72FC" w:rsidRPr="007C72FC" w14:paraId="5E22C6DC" w14:textId="77777777" w:rsidTr="00154BAB">
        <w:trPr>
          <w:trHeight w:val="256"/>
        </w:trPr>
        <w:tc>
          <w:tcPr>
            <w:tcW w:w="9371" w:type="dxa"/>
          </w:tcPr>
          <w:p w14:paraId="61B7AADD" w14:textId="77777777" w:rsidR="007C72FC" w:rsidRPr="007C72FC" w:rsidRDefault="007C72FC" w:rsidP="007C72FC">
            <w:pPr>
              <w:widowControl w:val="0"/>
              <w:adjustRightInd w:val="0"/>
              <w:spacing w:after="0" w:line="240" w:lineRule="auto"/>
              <w:jc w:val="both"/>
              <w:textAlignment w:val="baseline"/>
              <w:rPr>
                <w:rFonts w:ascii="Times New Roman" w:hAnsi="Times New Roman"/>
                <w:b/>
                <w:i/>
                <w:szCs w:val="22"/>
                <w:lang w:eastAsia="sk-SK"/>
              </w:rPr>
            </w:pPr>
            <w:r w:rsidRPr="007C72FC">
              <w:rPr>
                <w:rFonts w:ascii="Times New Roman" w:hAnsi="Times New Roman"/>
                <w:i/>
                <w:szCs w:val="22"/>
                <w:lang w:eastAsia="sk-SK"/>
              </w:rPr>
              <w:t xml:space="preserve">Priamy vplyv (popíšte) </w:t>
            </w:r>
          </w:p>
        </w:tc>
      </w:tr>
      <w:tr w:rsidR="007C72FC" w:rsidRPr="007C72FC" w14:paraId="1B24A16A" w14:textId="77777777" w:rsidTr="00154BAB">
        <w:trPr>
          <w:trHeight w:val="543"/>
        </w:trPr>
        <w:tc>
          <w:tcPr>
            <w:tcW w:w="9371" w:type="dxa"/>
          </w:tcPr>
          <w:p w14:paraId="7733D94F" w14:textId="77777777" w:rsidR="007C72FC" w:rsidRPr="007C72FC" w:rsidRDefault="007C72FC" w:rsidP="007C72FC">
            <w:pPr>
              <w:widowControl w:val="0"/>
              <w:adjustRightInd w:val="0"/>
              <w:spacing w:after="0" w:line="240" w:lineRule="auto"/>
              <w:jc w:val="both"/>
              <w:textAlignment w:val="baseline"/>
              <w:rPr>
                <w:rFonts w:ascii="Times New Roman" w:hAnsi="Times New Roman"/>
                <w:sz w:val="24"/>
                <w:szCs w:val="24"/>
                <w:lang w:eastAsia="sk-SK"/>
              </w:rPr>
            </w:pPr>
            <w:r w:rsidRPr="007C72FC">
              <w:rPr>
                <w:rFonts w:ascii="Times New Roman" w:hAnsi="Times New Roman"/>
                <w:sz w:val="24"/>
                <w:szCs w:val="24"/>
                <w:lang w:eastAsia="sk-SK"/>
              </w:rPr>
              <w:t>Úprava procesov na úradoch verejnej moci pri platbe súdnych poplatkov a správnych poplatkov. Platba na úrade bude primárne prebiehať priamo u úradníka prostredníctvom POS terminálu Štátnej pokladnice. Pri elektronickom podaní bude platba prebiehať cez platobnú bránu Štátnej pokladnice. Prostredníctvom platobného predpisu sa sprístupnia všetky súčasné spôsoby platby, teda aj platba v hotovosti, prípadne poštovou poukážkou.</w:t>
            </w:r>
          </w:p>
        </w:tc>
      </w:tr>
      <w:tr w:rsidR="007C72FC" w:rsidRPr="007C72FC" w14:paraId="2E63076D" w14:textId="77777777" w:rsidTr="00154BAB">
        <w:trPr>
          <w:trHeight w:val="20"/>
        </w:trPr>
        <w:tc>
          <w:tcPr>
            <w:tcW w:w="9371" w:type="dxa"/>
          </w:tcPr>
          <w:p w14:paraId="675120C5" w14:textId="77777777" w:rsidR="007C72FC" w:rsidRPr="007C72FC" w:rsidRDefault="007C72FC" w:rsidP="007C72FC">
            <w:pPr>
              <w:widowControl w:val="0"/>
              <w:adjustRightInd w:val="0"/>
              <w:spacing w:after="0" w:line="240" w:lineRule="auto"/>
              <w:jc w:val="both"/>
              <w:textAlignment w:val="baseline"/>
              <w:rPr>
                <w:rFonts w:ascii="Times New Roman" w:hAnsi="Times New Roman"/>
                <w:b/>
                <w:i/>
                <w:szCs w:val="22"/>
                <w:lang w:eastAsia="sk-SK"/>
              </w:rPr>
            </w:pPr>
            <w:r w:rsidRPr="007C72FC">
              <w:rPr>
                <w:rFonts w:ascii="Times New Roman" w:hAnsi="Times New Roman"/>
                <w:i/>
                <w:szCs w:val="22"/>
                <w:lang w:eastAsia="sk-SK"/>
              </w:rPr>
              <w:t xml:space="preserve">Nepriamy vplyv (popíšte) </w:t>
            </w:r>
          </w:p>
        </w:tc>
      </w:tr>
      <w:tr w:rsidR="007C72FC" w:rsidRPr="007C72FC" w14:paraId="06251FD6" w14:textId="77777777" w:rsidTr="00154BAB">
        <w:trPr>
          <w:trHeight w:val="616"/>
        </w:trPr>
        <w:tc>
          <w:tcPr>
            <w:tcW w:w="9371" w:type="dxa"/>
          </w:tcPr>
          <w:p w14:paraId="28209C9E" w14:textId="77777777" w:rsidR="007C72FC" w:rsidRPr="007C72FC" w:rsidRDefault="007C72FC" w:rsidP="007C72FC">
            <w:pPr>
              <w:widowControl w:val="0"/>
              <w:adjustRightInd w:val="0"/>
              <w:spacing w:after="0" w:line="240" w:lineRule="auto"/>
              <w:jc w:val="both"/>
              <w:textAlignment w:val="baseline"/>
              <w:rPr>
                <w:rFonts w:ascii="Times New Roman" w:hAnsi="Times New Roman"/>
                <w:b/>
                <w:i/>
                <w:szCs w:val="22"/>
                <w:lang w:eastAsia="sk-SK"/>
              </w:rPr>
            </w:pPr>
            <w:r w:rsidRPr="007C72FC">
              <w:rPr>
                <w:rFonts w:ascii="Times New Roman" w:hAnsi="Times New Roman"/>
                <w:sz w:val="24"/>
                <w:szCs w:val="24"/>
                <w:lang w:eastAsia="sk-SK"/>
              </w:rPr>
              <w:t>Nie je. Poplatková povinnosť sa nemení.</w:t>
            </w:r>
          </w:p>
        </w:tc>
      </w:tr>
      <w:tr w:rsidR="007C72FC" w:rsidRPr="007C72FC" w14:paraId="7A23AF15" w14:textId="77777777" w:rsidTr="00154BAB">
        <w:trPr>
          <w:trHeight w:val="20"/>
        </w:trPr>
        <w:tc>
          <w:tcPr>
            <w:tcW w:w="9371" w:type="dxa"/>
            <w:shd w:val="clear" w:color="auto" w:fill="C0C0C0"/>
            <w:vAlign w:val="center"/>
          </w:tcPr>
          <w:p w14:paraId="5942FE54" w14:textId="77777777" w:rsidR="007C72FC" w:rsidRPr="007C72FC" w:rsidRDefault="007C72FC" w:rsidP="007C72FC">
            <w:pPr>
              <w:widowControl w:val="0"/>
              <w:adjustRightInd w:val="0"/>
              <w:spacing w:after="0" w:line="240" w:lineRule="auto"/>
              <w:jc w:val="center"/>
              <w:textAlignment w:val="baseline"/>
              <w:rPr>
                <w:rFonts w:ascii="Times New Roman" w:hAnsi="Times New Roman"/>
                <w:b/>
                <w:sz w:val="28"/>
                <w:szCs w:val="28"/>
                <w:lang w:eastAsia="sk-SK"/>
              </w:rPr>
            </w:pPr>
            <w:r w:rsidRPr="007C72FC">
              <w:rPr>
                <w:rFonts w:ascii="Times New Roman" w:hAnsi="Times New Roman"/>
                <w:b/>
                <w:sz w:val="28"/>
                <w:szCs w:val="28"/>
                <w:lang w:eastAsia="sk-SK"/>
              </w:rPr>
              <w:t>7.2 Vplyv služieb verejnej správy na občana</w:t>
            </w:r>
          </w:p>
        </w:tc>
      </w:tr>
      <w:tr w:rsidR="007C72FC" w:rsidRPr="007C72FC" w14:paraId="25B6CA01" w14:textId="77777777" w:rsidTr="00154BAB">
        <w:trPr>
          <w:trHeight w:val="388"/>
        </w:trPr>
        <w:tc>
          <w:tcPr>
            <w:tcW w:w="9371" w:type="dxa"/>
          </w:tcPr>
          <w:p w14:paraId="4600BF46" w14:textId="77777777" w:rsidR="007C72FC" w:rsidRPr="007C72FC" w:rsidRDefault="007C72FC" w:rsidP="007C72FC">
            <w:pPr>
              <w:widowControl w:val="0"/>
              <w:adjustRightInd w:val="0"/>
              <w:spacing w:after="0" w:line="240" w:lineRule="auto"/>
              <w:jc w:val="both"/>
              <w:textAlignment w:val="baseline"/>
              <w:rPr>
                <w:rFonts w:ascii="Times New Roman" w:hAnsi="Times New Roman"/>
                <w:b/>
                <w:sz w:val="24"/>
                <w:szCs w:val="24"/>
                <w:lang w:eastAsia="sk-SK"/>
              </w:rPr>
            </w:pPr>
            <w:r w:rsidRPr="007C72FC">
              <w:rPr>
                <w:rFonts w:ascii="Times New Roman" w:hAnsi="Times New Roman"/>
                <w:b/>
                <w:sz w:val="24"/>
                <w:szCs w:val="24"/>
                <w:lang w:eastAsia="sk-SK"/>
              </w:rPr>
              <w:t xml:space="preserve">7.2.1 Náklady </w:t>
            </w:r>
          </w:p>
        </w:tc>
      </w:tr>
      <w:tr w:rsidR="007C72FC" w:rsidRPr="007C72FC" w14:paraId="220F9B17" w14:textId="77777777" w:rsidTr="00154BAB">
        <w:trPr>
          <w:trHeight w:val="226"/>
        </w:trPr>
        <w:tc>
          <w:tcPr>
            <w:tcW w:w="9371" w:type="dxa"/>
          </w:tcPr>
          <w:p w14:paraId="70705F94" w14:textId="77777777" w:rsidR="007C72FC" w:rsidRPr="007C72FC" w:rsidRDefault="007C72FC" w:rsidP="007C72FC">
            <w:pPr>
              <w:widowControl w:val="0"/>
              <w:adjustRightInd w:val="0"/>
              <w:spacing w:after="0" w:line="240" w:lineRule="auto"/>
              <w:jc w:val="both"/>
              <w:textAlignment w:val="baseline"/>
              <w:rPr>
                <w:rFonts w:ascii="Times New Roman" w:hAnsi="Times New Roman"/>
                <w:b/>
                <w:sz w:val="24"/>
                <w:szCs w:val="24"/>
                <w:lang w:eastAsia="sk-SK"/>
              </w:rPr>
            </w:pPr>
            <w:r w:rsidRPr="007C72FC">
              <w:rPr>
                <w:rFonts w:ascii="Times New Roman" w:hAnsi="Times New Roman"/>
                <w:i/>
                <w:sz w:val="24"/>
                <w:szCs w:val="24"/>
                <w:lang w:eastAsia="sk-SK"/>
              </w:rPr>
              <w:t xml:space="preserve">Zníženie priamych finančných nákladov </w:t>
            </w:r>
          </w:p>
        </w:tc>
      </w:tr>
      <w:tr w:rsidR="007C72FC" w:rsidRPr="007C72FC" w14:paraId="4287AF64" w14:textId="77777777" w:rsidTr="00154BAB">
        <w:trPr>
          <w:trHeight w:val="317"/>
        </w:trPr>
        <w:tc>
          <w:tcPr>
            <w:tcW w:w="9371" w:type="dxa"/>
          </w:tcPr>
          <w:p w14:paraId="4BBD919A" w14:textId="77777777" w:rsidR="007C72FC" w:rsidRPr="007C72FC" w:rsidRDefault="007C72FC" w:rsidP="007C72FC">
            <w:pPr>
              <w:widowControl w:val="0"/>
              <w:adjustRightInd w:val="0"/>
              <w:spacing w:after="0" w:line="240" w:lineRule="auto"/>
              <w:jc w:val="both"/>
              <w:textAlignment w:val="baseline"/>
              <w:rPr>
                <w:rFonts w:ascii="Times New Roman" w:hAnsi="Times New Roman"/>
                <w:i/>
                <w:sz w:val="24"/>
                <w:szCs w:val="24"/>
                <w:lang w:eastAsia="sk-SK"/>
              </w:rPr>
            </w:pPr>
            <w:r w:rsidRPr="007C72FC">
              <w:rPr>
                <w:rFonts w:ascii="Times New Roman" w:hAnsi="Times New Roman"/>
                <w:sz w:val="24"/>
                <w:szCs w:val="24"/>
                <w:lang w:eastAsia="sk-SK"/>
              </w:rPr>
              <w:t>Nie sú. Poplatková povinnosť sa nemení.</w:t>
            </w:r>
          </w:p>
        </w:tc>
      </w:tr>
      <w:tr w:rsidR="007C72FC" w:rsidRPr="007C72FC" w14:paraId="0E2E39A0" w14:textId="77777777" w:rsidTr="00154BAB">
        <w:trPr>
          <w:trHeight w:val="294"/>
        </w:trPr>
        <w:tc>
          <w:tcPr>
            <w:tcW w:w="9371" w:type="dxa"/>
          </w:tcPr>
          <w:p w14:paraId="6A605F20" w14:textId="77777777" w:rsidR="007C72FC" w:rsidRPr="007C72FC" w:rsidRDefault="007C72FC" w:rsidP="007C72FC">
            <w:pPr>
              <w:widowControl w:val="0"/>
              <w:adjustRightInd w:val="0"/>
              <w:spacing w:after="0" w:line="240" w:lineRule="auto"/>
              <w:jc w:val="both"/>
              <w:textAlignment w:val="baseline"/>
              <w:rPr>
                <w:rFonts w:ascii="Times New Roman" w:hAnsi="Times New Roman"/>
                <w:i/>
                <w:sz w:val="24"/>
                <w:szCs w:val="24"/>
                <w:lang w:eastAsia="sk-SK"/>
              </w:rPr>
            </w:pPr>
            <w:r w:rsidRPr="007C72FC">
              <w:rPr>
                <w:rFonts w:ascii="Times New Roman" w:hAnsi="Times New Roman"/>
                <w:i/>
                <w:sz w:val="24"/>
                <w:szCs w:val="24"/>
                <w:lang w:eastAsia="sk-SK"/>
              </w:rPr>
              <w:t>Zvýšenie priamych finančných nákladov</w:t>
            </w:r>
          </w:p>
        </w:tc>
      </w:tr>
      <w:tr w:rsidR="007C72FC" w:rsidRPr="007C72FC" w14:paraId="34B7E645" w14:textId="77777777" w:rsidTr="00154BAB">
        <w:trPr>
          <w:trHeight w:val="242"/>
        </w:trPr>
        <w:tc>
          <w:tcPr>
            <w:tcW w:w="9371" w:type="dxa"/>
          </w:tcPr>
          <w:p w14:paraId="1E65714A" w14:textId="77777777" w:rsidR="007C72FC" w:rsidRPr="007C72FC" w:rsidRDefault="007C72FC" w:rsidP="007C72FC">
            <w:pPr>
              <w:widowControl w:val="0"/>
              <w:adjustRightInd w:val="0"/>
              <w:spacing w:after="0" w:line="240" w:lineRule="auto"/>
              <w:jc w:val="both"/>
              <w:textAlignment w:val="baseline"/>
              <w:rPr>
                <w:rFonts w:ascii="Times New Roman" w:hAnsi="Times New Roman"/>
                <w:i/>
                <w:sz w:val="24"/>
                <w:szCs w:val="24"/>
                <w:lang w:eastAsia="sk-SK"/>
              </w:rPr>
            </w:pPr>
            <w:r w:rsidRPr="007C72FC">
              <w:rPr>
                <w:rFonts w:ascii="Times New Roman" w:hAnsi="Times New Roman"/>
                <w:sz w:val="24"/>
                <w:szCs w:val="24"/>
                <w:lang w:eastAsia="sk-SK"/>
              </w:rPr>
              <w:t>Nie sú. Poplatková povinnosť sa nemení.</w:t>
            </w:r>
          </w:p>
        </w:tc>
      </w:tr>
      <w:tr w:rsidR="007C72FC" w:rsidRPr="007C72FC" w14:paraId="268BE05A" w14:textId="77777777" w:rsidTr="00154BAB">
        <w:trPr>
          <w:trHeight w:val="214"/>
        </w:trPr>
        <w:tc>
          <w:tcPr>
            <w:tcW w:w="9371" w:type="dxa"/>
          </w:tcPr>
          <w:p w14:paraId="0E09BC5C" w14:textId="77777777" w:rsidR="007C72FC" w:rsidRPr="007C72FC" w:rsidRDefault="007C72FC" w:rsidP="007C72FC">
            <w:pPr>
              <w:widowControl w:val="0"/>
              <w:adjustRightInd w:val="0"/>
              <w:spacing w:after="0" w:line="240" w:lineRule="auto"/>
              <w:jc w:val="both"/>
              <w:textAlignment w:val="baseline"/>
              <w:rPr>
                <w:rFonts w:ascii="Times New Roman" w:hAnsi="Times New Roman"/>
                <w:i/>
                <w:sz w:val="24"/>
                <w:szCs w:val="24"/>
                <w:lang w:eastAsia="sk-SK"/>
              </w:rPr>
            </w:pPr>
            <w:r w:rsidRPr="007C72FC">
              <w:rPr>
                <w:rFonts w:ascii="Times New Roman" w:hAnsi="Times New Roman"/>
                <w:i/>
                <w:sz w:val="24"/>
                <w:szCs w:val="24"/>
                <w:lang w:eastAsia="sk-SK"/>
              </w:rPr>
              <w:t>Zníženie nepriamych finančných nákladov</w:t>
            </w:r>
          </w:p>
        </w:tc>
      </w:tr>
      <w:tr w:rsidR="007C72FC" w:rsidRPr="007C72FC" w14:paraId="02988F3E" w14:textId="77777777" w:rsidTr="00154BAB">
        <w:trPr>
          <w:trHeight w:val="398"/>
        </w:trPr>
        <w:tc>
          <w:tcPr>
            <w:tcW w:w="9371" w:type="dxa"/>
          </w:tcPr>
          <w:p w14:paraId="5F2AA8BF" w14:textId="77777777" w:rsidR="007C72FC" w:rsidRPr="007C72FC" w:rsidRDefault="007C72FC" w:rsidP="007C72FC">
            <w:pPr>
              <w:widowControl w:val="0"/>
              <w:adjustRightInd w:val="0"/>
              <w:spacing w:after="0" w:line="240" w:lineRule="auto"/>
              <w:jc w:val="both"/>
              <w:textAlignment w:val="baseline"/>
              <w:rPr>
                <w:rFonts w:ascii="Times New Roman" w:hAnsi="Times New Roman"/>
                <w:i/>
                <w:sz w:val="24"/>
                <w:szCs w:val="24"/>
                <w:lang w:eastAsia="sk-SK"/>
              </w:rPr>
            </w:pPr>
            <w:r w:rsidRPr="007C72FC">
              <w:rPr>
                <w:rFonts w:ascii="Times New Roman" w:hAnsi="Times New Roman"/>
                <w:sz w:val="24"/>
                <w:szCs w:val="24"/>
                <w:lang w:eastAsia="sk-SK"/>
              </w:rPr>
              <w:t>Nie sú.</w:t>
            </w:r>
          </w:p>
        </w:tc>
      </w:tr>
      <w:tr w:rsidR="007C72FC" w:rsidRPr="007C72FC" w14:paraId="10AF2EF9" w14:textId="77777777" w:rsidTr="00154BAB">
        <w:trPr>
          <w:trHeight w:val="388"/>
        </w:trPr>
        <w:tc>
          <w:tcPr>
            <w:tcW w:w="9371" w:type="dxa"/>
          </w:tcPr>
          <w:p w14:paraId="31BBE78F" w14:textId="77777777" w:rsidR="007C72FC" w:rsidRPr="007C72FC" w:rsidRDefault="007C72FC" w:rsidP="007C72FC">
            <w:pPr>
              <w:widowControl w:val="0"/>
              <w:adjustRightInd w:val="0"/>
              <w:spacing w:after="0" w:line="240" w:lineRule="auto"/>
              <w:jc w:val="both"/>
              <w:textAlignment w:val="baseline"/>
              <w:rPr>
                <w:rFonts w:ascii="Times New Roman" w:hAnsi="Times New Roman"/>
                <w:i/>
                <w:sz w:val="24"/>
                <w:szCs w:val="24"/>
                <w:lang w:eastAsia="sk-SK"/>
              </w:rPr>
            </w:pPr>
            <w:r w:rsidRPr="007C72FC">
              <w:rPr>
                <w:rFonts w:ascii="Times New Roman" w:hAnsi="Times New Roman"/>
                <w:i/>
                <w:sz w:val="24"/>
                <w:szCs w:val="24"/>
                <w:lang w:eastAsia="sk-SK"/>
              </w:rPr>
              <w:t>Zvýšenie nepriamych finančných nákladov</w:t>
            </w:r>
          </w:p>
        </w:tc>
      </w:tr>
      <w:tr w:rsidR="007C72FC" w:rsidRPr="007C72FC" w14:paraId="2A03EF5A" w14:textId="77777777" w:rsidTr="00154BAB">
        <w:trPr>
          <w:trHeight w:val="301"/>
        </w:trPr>
        <w:tc>
          <w:tcPr>
            <w:tcW w:w="9371" w:type="dxa"/>
          </w:tcPr>
          <w:p w14:paraId="2BA9BEA8" w14:textId="77777777" w:rsidR="007C72FC" w:rsidRPr="007C72FC" w:rsidRDefault="007C72FC" w:rsidP="007C72FC">
            <w:pPr>
              <w:widowControl w:val="0"/>
              <w:adjustRightInd w:val="0"/>
              <w:spacing w:after="0" w:line="240" w:lineRule="auto"/>
              <w:jc w:val="both"/>
              <w:textAlignment w:val="baseline"/>
              <w:rPr>
                <w:rFonts w:ascii="Times New Roman" w:hAnsi="Times New Roman"/>
                <w:i/>
                <w:sz w:val="24"/>
                <w:szCs w:val="24"/>
                <w:lang w:eastAsia="sk-SK"/>
              </w:rPr>
            </w:pPr>
            <w:r w:rsidRPr="007C72FC">
              <w:rPr>
                <w:rFonts w:ascii="Times New Roman" w:hAnsi="Times New Roman"/>
                <w:sz w:val="24"/>
                <w:szCs w:val="24"/>
                <w:lang w:eastAsia="sk-SK"/>
              </w:rPr>
              <w:t>Nie sú.</w:t>
            </w:r>
          </w:p>
        </w:tc>
      </w:tr>
      <w:tr w:rsidR="007C72FC" w:rsidRPr="007C72FC" w14:paraId="0D85520C" w14:textId="77777777" w:rsidTr="00154BAB">
        <w:trPr>
          <w:trHeight w:val="388"/>
        </w:trPr>
        <w:tc>
          <w:tcPr>
            <w:tcW w:w="9371" w:type="dxa"/>
          </w:tcPr>
          <w:p w14:paraId="74020BA3" w14:textId="77777777" w:rsidR="007C72FC" w:rsidRPr="007C72FC" w:rsidRDefault="007C72FC" w:rsidP="007C72FC">
            <w:pPr>
              <w:widowControl w:val="0"/>
              <w:adjustRightInd w:val="0"/>
              <w:spacing w:after="0" w:line="240" w:lineRule="auto"/>
              <w:jc w:val="both"/>
              <w:textAlignment w:val="baseline"/>
              <w:rPr>
                <w:rFonts w:ascii="Times New Roman" w:hAnsi="Times New Roman"/>
                <w:i/>
                <w:iCs/>
                <w:sz w:val="24"/>
                <w:szCs w:val="24"/>
                <w:lang w:eastAsia="sk-SK"/>
              </w:rPr>
            </w:pPr>
            <w:r w:rsidRPr="007C72FC">
              <w:rPr>
                <w:rFonts w:ascii="Times New Roman" w:hAnsi="Times New Roman"/>
                <w:b/>
                <w:sz w:val="24"/>
                <w:szCs w:val="24"/>
                <w:lang w:eastAsia="sk-SK"/>
              </w:rPr>
              <w:t xml:space="preserve">7.2.2 Časový vplyv </w:t>
            </w:r>
          </w:p>
        </w:tc>
      </w:tr>
      <w:tr w:rsidR="007C72FC" w:rsidRPr="007C72FC" w14:paraId="4EA7F23E" w14:textId="77777777" w:rsidTr="00154BAB">
        <w:trPr>
          <w:trHeight w:val="20"/>
        </w:trPr>
        <w:tc>
          <w:tcPr>
            <w:tcW w:w="9371" w:type="dxa"/>
          </w:tcPr>
          <w:p w14:paraId="4EA94424" w14:textId="77777777" w:rsidR="007C72FC" w:rsidRPr="007C72FC" w:rsidRDefault="007C72FC" w:rsidP="007C72FC">
            <w:pPr>
              <w:widowControl w:val="0"/>
              <w:adjustRightInd w:val="0"/>
              <w:spacing w:after="0" w:line="240" w:lineRule="auto"/>
              <w:jc w:val="both"/>
              <w:textAlignment w:val="baseline"/>
              <w:rPr>
                <w:rFonts w:ascii="Times New Roman" w:hAnsi="Times New Roman"/>
                <w:b/>
                <w:sz w:val="24"/>
                <w:szCs w:val="24"/>
                <w:lang w:eastAsia="sk-SK"/>
              </w:rPr>
            </w:pPr>
            <w:r w:rsidRPr="007C72FC">
              <w:rPr>
                <w:rFonts w:ascii="Times New Roman" w:hAnsi="Times New Roman"/>
                <w:i/>
                <w:sz w:val="24"/>
                <w:szCs w:val="24"/>
                <w:lang w:eastAsia="sk-SK"/>
              </w:rPr>
              <w:t>Zníženie času vybavenia požiadavky (popíšte)</w:t>
            </w:r>
          </w:p>
        </w:tc>
      </w:tr>
      <w:tr w:rsidR="007C72FC" w:rsidRPr="007C72FC" w14:paraId="09E50D60" w14:textId="77777777" w:rsidTr="00154BAB">
        <w:trPr>
          <w:trHeight w:val="994"/>
        </w:trPr>
        <w:tc>
          <w:tcPr>
            <w:tcW w:w="9371" w:type="dxa"/>
          </w:tcPr>
          <w:p w14:paraId="1C051436" w14:textId="77777777" w:rsidR="007C72FC" w:rsidRPr="007C72FC" w:rsidRDefault="007C72FC" w:rsidP="007C72FC">
            <w:pPr>
              <w:widowControl w:val="0"/>
              <w:adjustRightInd w:val="0"/>
              <w:spacing w:after="0" w:line="240" w:lineRule="auto"/>
              <w:jc w:val="both"/>
              <w:textAlignment w:val="baseline"/>
              <w:rPr>
                <w:rFonts w:ascii="Times New Roman" w:hAnsi="Times New Roman"/>
                <w:sz w:val="24"/>
                <w:szCs w:val="24"/>
                <w:lang w:eastAsia="sk-SK"/>
              </w:rPr>
            </w:pPr>
            <w:r w:rsidRPr="007C72FC">
              <w:rPr>
                <w:rFonts w:ascii="Times New Roman" w:hAnsi="Times New Roman"/>
                <w:sz w:val="24"/>
                <w:szCs w:val="24"/>
                <w:lang w:eastAsia="sk-SK"/>
              </w:rPr>
              <w:t>Dominantná časť úhrad bude mať v dôsledku možnosti platby priamo na priehradke znížený čas vybavenia platby elimináciou potreby úhrady poplatku vopred. Občan dostane plnohodnotnú službu platby sprocesovanú úradníkom, čím sa vylúčia omyly a potreby storna uhradených poplatkov.</w:t>
            </w:r>
          </w:p>
        </w:tc>
      </w:tr>
      <w:tr w:rsidR="007C72FC" w:rsidRPr="007C72FC" w14:paraId="09669B3C" w14:textId="77777777" w:rsidTr="00154BAB">
        <w:trPr>
          <w:trHeight w:val="20"/>
        </w:trPr>
        <w:tc>
          <w:tcPr>
            <w:tcW w:w="9371" w:type="dxa"/>
          </w:tcPr>
          <w:p w14:paraId="333EC05E" w14:textId="77777777" w:rsidR="007C72FC" w:rsidRPr="007C72FC" w:rsidRDefault="007C72FC" w:rsidP="007C72FC">
            <w:pPr>
              <w:widowControl w:val="0"/>
              <w:adjustRightInd w:val="0"/>
              <w:spacing w:after="0" w:line="240" w:lineRule="auto"/>
              <w:jc w:val="both"/>
              <w:textAlignment w:val="baseline"/>
              <w:rPr>
                <w:rFonts w:ascii="Times New Roman" w:hAnsi="Times New Roman"/>
                <w:b/>
                <w:sz w:val="24"/>
                <w:szCs w:val="24"/>
                <w:lang w:eastAsia="sk-SK"/>
              </w:rPr>
            </w:pPr>
            <w:r w:rsidRPr="007C72FC">
              <w:rPr>
                <w:rFonts w:ascii="Times New Roman" w:hAnsi="Times New Roman"/>
                <w:i/>
                <w:sz w:val="24"/>
                <w:szCs w:val="24"/>
                <w:lang w:eastAsia="sk-SK"/>
              </w:rPr>
              <w:t>Zvýšenie času  vybavenia požiadavky (popíšte)</w:t>
            </w:r>
          </w:p>
        </w:tc>
      </w:tr>
      <w:tr w:rsidR="007C72FC" w:rsidRPr="007C72FC" w14:paraId="73F4EFCD" w14:textId="77777777" w:rsidTr="00154BAB">
        <w:trPr>
          <w:trHeight w:val="729"/>
        </w:trPr>
        <w:tc>
          <w:tcPr>
            <w:tcW w:w="9371" w:type="dxa"/>
          </w:tcPr>
          <w:p w14:paraId="405E1268" w14:textId="77777777" w:rsidR="007C72FC" w:rsidRPr="007C72FC" w:rsidRDefault="007C72FC" w:rsidP="007C72FC">
            <w:pPr>
              <w:widowControl w:val="0"/>
              <w:adjustRightInd w:val="0"/>
              <w:spacing w:after="0" w:line="240" w:lineRule="auto"/>
              <w:jc w:val="both"/>
              <w:textAlignment w:val="baseline"/>
              <w:rPr>
                <w:rFonts w:ascii="Times New Roman" w:hAnsi="Times New Roman"/>
                <w:sz w:val="24"/>
                <w:szCs w:val="24"/>
                <w:lang w:eastAsia="sk-SK"/>
              </w:rPr>
            </w:pPr>
            <w:r w:rsidRPr="007C72FC">
              <w:rPr>
                <w:rFonts w:ascii="Times New Roman" w:hAnsi="Times New Roman"/>
                <w:sz w:val="24"/>
                <w:szCs w:val="24"/>
                <w:lang w:eastAsia="sk-SK"/>
              </w:rPr>
              <w:t xml:space="preserve">V prípade platby v hotovosti budú dostupné vybrané hotovostné pracoviská alebo zmluvný platobný partner, čo môže v niektorých prípadoch spôsobiť predĺženie času úhrady hotovosťou (do úvahy je však potrebné zobrať aj súčasný stav, keď platba v hotovosti na platobnom zariadení alebo na pobočke pošty taktiež konzumuje určitý čas občana). Negatívny vplyv je možné predpokladať na menšiu skupinu poplatníkov na orgánoch verejnej moci, ktorí si nezvolia možnosť úhrady za úradnou priehradkou, ale po uskutočnení podania budú preferovať využitie iného platobného kanála. </w:t>
            </w:r>
          </w:p>
        </w:tc>
      </w:tr>
      <w:tr w:rsidR="007C72FC" w:rsidRPr="007C72FC" w14:paraId="7EFD2903" w14:textId="77777777" w:rsidTr="00154BAB">
        <w:trPr>
          <w:trHeight w:val="424"/>
        </w:trPr>
        <w:tc>
          <w:tcPr>
            <w:tcW w:w="9371" w:type="dxa"/>
          </w:tcPr>
          <w:p w14:paraId="16A08B61" w14:textId="77777777" w:rsidR="007C72FC" w:rsidRPr="007C72FC" w:rsidRDefault="007C72FC" w:rsidP="007C72FC">
            <w:pPr>
              <w:widowControl w:val="0"/>
              <w:adjustRightInd w:val="0"/>
              <w:spacing w:after="0" w:line="240" w:lineRule="auto"/>
              <w:jc w:val="both"/>
              <w:textAlignment w:val="baseline"/>
              <w:rPr>
                <w:rFonts w:ascii="Times New Roman" w:hAnsi="Times New Roman"/>
                <w:b/>
                <w:sz w:val="24"/>
                <w:szCs w:val="24"/>
                <w:lang w:eastAsia="sk-SK"/>
              </w:rPr>
            </w:pPr>
            <w:r w:rsidRPr="007C72FC">
              <w:rPr>
                <w:rFonts w:ascii="Times New Roman" w:hAnsi="Times New Roman"/>
                <w:b/>
                <w:sz w:val="24"/>
                <w:szCs w:val="24"/>
                <w:lang w:eastAsia="sk-SK"/>
              </w:rPr>
              <w:t xml:space="preserve">7.2.3 Ktorá skupina občanov bude predloženým návrhom ovplyvnená? </w:t>
            </w:r>
          </w:p>
          <w:p w14:paraId="280FBE1D" w14:textId="77777777" w:rsidR="007C72FC" w:rsidRPr="007C72FC" w:rsidRDefault="007C72FC" w:rsidP="007C72FC">
            <w:pPr>
              <w:widowControl w:val="0"/>
              <w:adjustRightInd w:val="0"/>
              <w:spacing w:after="0" w:line="240" w:lineRule="auto"/>
              <w:jc w:val="both"/>
              <w:textAlignment w:val="baseline"/>
              <w:rPr>
                <w:rFonts w:ascii="Times New Roman" w:hAnsi="Times New Roman"/>
                <w:i/>
                <w:iCs/>
                <w:sz w:val="24"/>
                <w:szCs w:val="24"/>
                <w:lang w:eastAsia="sk-SK"/>
              </w:rPr>
            </w:pPr>
            <w:r w:rsidRPr="007C72FC">
              <w:rPr>
                <w:rFonts w:ascii="Times New Roman" w:hAnsi="Times New Roman"/>
                <w:i/>
                <w:iCs/>
                <w:sz w:val="24"/>
                <w:szCs w:val="24"/>
                <w:lang w:eastAsia="sk-SK"/>
              </w:rPr>
              <w:t>Špecifikujte skupinu občanov, ktorá bude návrhom ovplyvnená (napr. držitelia vodičských oprávnení). Aká je veľkosť tejto skupiny?</w:t>
            </w:r>
          </w:p>
        </w:tc>
      </w:tr>
      <w:tr w:rsidR="007C72FC" w:rsidRPr="007C72FC" w14:paraId="1E81E4BD" w14:textId="77777777" w:rsidTr="00154BAB">
        <w:trPr>
          <w:trHeight w:val="734"/>
        </w:trPr>
        <w:tc>
          <w:tcPr>
            <w:tcW w:w="9371" w:type="dxa"/>
          </w:tcPr>
          <w:p w14:paraId="511B470F" w14:textId="77777777" w:rsidR="007C72FC" w:rsidRPr="007C72FC" w:rsidRDefault="007C72FC" w:rsidP="007C72FC">
            <w:pPr>
              <w:widowControl w:val="0"/>
              <w:adjustRightInd w:val="0"/>
              <w:spacing w:after="0" w:line="240" w:lineRule="auto"/>
              <w:jc w:val="both"/>
              <w:textAlignment w:val="baseline"/>
              <w:rPr>
                <w:rFonts w:ascii="Times New Roman" w:hAnsi="Times New Roman"/>
                <w:i/>
                <w:iCs/>
                <w:sz w:val="24"/>
                <w:szCs w:val="24"/>
                <w:lang w:eastAsia="sk-SK"/>
              </w:rPr>
            </w:pPr>
            <w:r w:rsidRPr="007C72FC">
              <w:rPr>
                <w:rFonts w:ascii="Times New Roman" w:hAnsi="Times New Roman"/>
                <w:sz w:val="24"/>
                <w:szCs w:val="24"/>
                <w:lang w:eastAsia="sk-SK"/>
              </w:rPr>
              <w:t>Všetci občania platiaci správne alebo súdne poplatky (fyzické aj právnické osoby zastúpené štatutármi). Nie je možné presne určiť veľkosť skupiny keďže platby sa uskutočňujú na nepravidelnej báze.</w:t>
            </w:r>
          </w:p>
        </w:tc>
      </w:tr>
      <w:tr w:rsidR="007C72FC" w:rsidRPr="007C72FC" w14:paraId="0A37E853" w14:textId="77777777" w:rsidTr="00154BAB">
        <w:trPr>
          <w:trHeight w:val="20"/>
        </w:trPr>
        <w:tc>
          <w:tcPr>
            <w:tcW w:w="9371" w:type="dxa"/>
          </w:tcPr>
          <w:p w14:paraId="7830FBC7" w14:textId="77777777" w:rsidR="007C72FC" w:rsidRPr="007C72FC" w:rsidRDefault="007C72FC" w:rsidP="007C72FC">
            <w:pPr>
              <w:widowControl w:val="0"/>
              <w:adjustRightInd w:val="0"/>
              <w:spacing w:after="0" w:line="240" w:lineRule="auto"/>
              <w:jc w:val="both"/>
              <w:textAlignment w:val="baseline"/>
              <w:rPr>
                <w:rFonts w:ascii="Times New Roman" w:hAnsi="Times New Roman"/>
                <w:i/>
                <w:iCs/>
                <w:sz w:val="24"/>
                <w:szCs w:val="24"/>
                <w:lang w:eastAsia="sk-SK"/>
              </w:rPr>
            </w:pPr>
            <w:r w:rsidRPr="007C72FC">
              <w:rPr>
                <w:rFonts w:ascii="Times New Roman" w:hAnsi="Times New Roman"/>
                <w:b/>
                <w:sz w:val="24"/>
                <w:szCs w:val="24"/>
                <w:lang w:eastAsia="sk-SK"/>
              </w:rPr>
              <w:t xml:space="preserve">7.2.4 Vyplývajú z návrhu pre občana pri vybavení svojej požiadavky nové povinnosti alebo zanikajú už existujúce povinnosti?  </w:t>
            </w:r>
          </w:p>
        </w:tc>
      </w:tr>
      <w:tr w:rsidR="007C72FC" w:rsidRPr="007C72FC" w14:paraId="11416133" w14:textId="77777777" w:rsidTr="00154BAB">
        <w:trPr>
          <w:trHeight w:val="20"/>
        </w:trPr>
        <w:tc>
          <w:tcPr>
            <w:tcW w:w="9371" w:type="dxa"/>
          </w:tcPr>
          <w:p w14:paraId="1DD86257" w14:textId="77777777" w:rsidR="007C72FC" w:rsidRPr="007C72FC" w:rsidRDefault="007C72FC" w:rsidP="007C72FC">
            <w:pPr>
              <w:widowControl w:val="0"/>
              <w:adjustRightInd w:val="0"/>
              <w:spacing w:after="0" w:line="240" w:lineRule="auto"/>
              <w:jc w:val="both"/>
              <w:textAlignment w:val="baseline"/>
              <w:rPr>
                <w:rFonts w:ascii="Times New Roman" w:hAnsi="Times New Roman"/>
                <w:i/>
                <w:iCs/>
                <w:sz w:val="24"/>
                <w:szCs w:val="24"/>
                <w:lang w:eastAsia="sk-SK"/>
              </w:rPr>
            </w:pPr>
            <w:r w:rsidRPr="007C72FC">
              <w:rPr>
                <w:rFonts w:ascii="Times New Roman" w:hAnsi="Times New Roman"/>
                <w:i/>
                <w:iCs/>
                <w:sz w:val="24"/>
                <w:szCs w:val="24"/>
                <w:lang w:eastAsia="sk-SK"/>
              </w:rPr>
              <w:t xml:space="preserve">Nové povinnosti (identifikujte) </w:t>
            </w:r>
          </w:p>
        </w:tc>
      </w:tr>
      <w:tr w:rsidR="007C72FC" w:rsidRPr="007C72FC" w14:paraId="2839449A" w14:textId="77777777" w:rsidTr="00154BAB">
        <w:trPr>
          <w:trHeight w:val="445"/>
        </w:trPr>
        <w:tc>
          <w:tcPr>
            <w:tcW w:w="9371" w:type="dxa"/>
          </w:tcPr>
          <w:p w14:paraId="143AA0D8" w14:textId="77777777" w:rsidR="007C72FC" w:rsidRPr="007C72FC" w:rsidRDefault="007C72FC" w:rsidP="007C72FC">
            <w:pPr>
              <w:widowControl w:val="0"/>
              <w:adjustRightInd w:val="0"/>
              <w:spacing w:after="0" w:line="240" w:lineRule="auto"/>
              <w:jc w:val="both"/>
              <w:textAlignment w:val="baseline"/>
              <w:rPr>
                <w:rFonts w:ascii="Times New Roman" w:hAnsi="Times New Roman"/>
                <w:i/>
                <w:iCs/>
                <w:sz w:val="24"/>
                <w:szCs w:val="24"/>
                <w:lang w:eastAsia="sk-SK"/>
              </w:rPr>
            </w:pPr>
            <w:r w:rsidRPr="007C72FC">
              <w:rPr>
                <w:rFonts w:ascii="Times New Roman" w:hAnsi="Times New Roman"/>
                <w:sz w:val="24"/>
                <w:szCs w:val="24"/>
                <w:lang w:eastAsia="sk-SK"/>
              </w:rPr>
              <w:t>Nie sú.</w:t>
            </w:r>
          </w:p>
        </w:tc>
      </w:tr>
      <w:tr w:rsidR="007C72FC" w:rsidRPr="007C72FC" w14:paraId="64A76CA8" w14:textId="77777777" w:rsidTr="00154BAB">
        <w:trPr>
          <w:trHeight w:val="20"/>
        </w:trPr>
        <w:tc>
          <w:tcPr>
            <w:tcW w:w="9371" w:type="dxa"/>
          </w:tcPr>
          <w:p w14:paraId="3809A262" w14:textId="77777777" w:rsidR="007C72FC" w:rsidRPr="007C72FC" w:rsidRDefault="007C72FC" w:rsidP="007C72FC">
            <w:pPr>
              <w:widowControl w:val="0"/>
              <w:adjustRightInd w:val="0"/>
              <w:spacing w:after="0" w:line="240" w:lineRule="auto"/>
              <w:jc w:val="both"/>
              <w:textAlignment w:val="baseline"/>
              <w:rPr>
                <w:rFonts w:ascii="Times New Roman" w:hAnsi="Times New Roman"/>
                <w:i/>
                <w:iCs/>
                <w:sz w:val="24"/>
                <w:szCs w:val="24"/>
                <w:lang w:eastAsia="sk-SK"/>
              </w:rPr>
            </w:pPr>
            <w:r w:rsidRPr="007C72FC">
              <w:rPr>
                <w:rFonts w:ascii="Times New Roman" w:hAnsi="Times New Roman"/>
                <w:i/>
                <w:iCs/>
                <w:sz w:val="24"/>
                <w:szCs w:val="24"/>
                <w:lang w:eastAsia="sk-SK"/>
              </w:rPr>
              <w:t>Zanikajúce povinnosti (identifikujte)</w:t>
            </w:r>
          </w:p>
        </w:tc>
      </w:tr>
      <w:tr w:rsidR="007C72FC" w:rsidRPr="007C72FC" w14:paraId="53CFEE26" w14:textId="77777777" w:rsidTr="00154BAB">
        <w:trPr>
          <w:trHeight w:val="306"/>
        </w:trPr>
        <w:tc>
          <w:tcPr>
            <w:tcW w:w="9371" w:type="dxa"/>
          </w:tcPr>
          <w:p w14:paraId="060047D2" w14:textId="77777777" w:rsidR="007C72FC" w:rsidRPr="007C72FC" w:rsidRDefault="007C72FC" w:rsidP="007C72FC">
            <w:pPr>
              <w:widowControl w:val="0"/>
              <w:adjustRightInd w:val="0"/>
              <w:spacing w:after="0" w:line="240" w:lineRule="auto"/>
              <w:jc w:val="both"/>
              <w:textAlignment w:val="baseline"/>
              <w:rPr>
                <w:rFonts w:ascii="Times New Roman" w:hAnsi="Times New Roman"/>
                <w:sz w:val="24"/>
                <w:szCs w:val="24"/>
                <w:lang w:eastAsia="sk-SK"/>
              </w:rPr>
            </w:pPr>
            <w:r w:rsidRPr="007C72FC">
              <w:rPr>
                <w:rFonts w:ascii="Times New Roman" w:hAnsi="Times New Roman"/>
                <w:sz w:val="24"/>
                <w:szCs w:val="24"/>
                <w:lang w:eastAsia="sk-SK"/>
              </w:rPr>
              <w:t>Nie sú.</w:t>
            </w:r>
          </w:p>
        </w:tc>
      </w:tr>
      <w:tr w:rsidR="007C72FC" w:rsidRPr="007C72FC" w14:paraId="13E66F57" w14:textId="77777777" w:rsidTr="00154BAB">
        <w:trPr>
          <w:trHeight w:val="20"/>
        </w:trPr>
        <w:tc>
          <w:tcPr>
            <w:tcW w:w="9371" w:type="dxa"/>
            <w:shd w:val="clear" w:color="auto" w:fill="BFBFBF"/>
            <w:vAlign w:val="center"/>
          </w:tcPr>
          <w:p w14:paraId="6AEFFDBF" w14:textId="77777777" w:rsidR="007C72FC" w:rsidRPr="007C72FC" w:rsidRDefault="007C72FC" w:rsidP="007C72FC">
            <w:pPr>
              <w:widowControl w:val="0"/>
              <w:adjustRightInd w:val="0"/>
              <w:spacing w:after="0" w:line="240" w:lineRule="auto"/>
              <w:jc w:val="center"/>
              <w:textAlignment w:val="baseline"/>
              <w:rPr>
                <w:rFonts w:ascii="Times New Roman" w:hAnsi="Times New Roman"/>
                <w:b/>
                <w:sz w:val="28"/>
                <w:szCs w:val="28"/>
                <w:lang w:eastAsia="sk-SK"/>
              </w:rPr>
            </w:pPr>
            <w:r w:rsidRPr="007C72FC">
              <w:rPr>
                <w:rFonts w:ascii="Times New Roman" w:hAnsi="Times New Roman"/>
                <w:b/>
                <w:sz w:val="28"/>
                <w:szCs w:val="28"/>
                <w:lang w:eastAsia="sk-SK"/>
              </w:rPr>
              <w:t>7.3 Vplyv na procesy služieb vo verejnej správe</w:t>
            </w:r>
          </w:p>
        </w:tc>
      </w:tr>
      <w:tr w:rsidR="007C72FC" w:rsidRPr="007C72FC" w14:paraId="01F01E01" w14:textId="77777777" w:rsidTr="00154BAB">
        <w:trPr>
          <w:trHeight w:val="390"/>
        </w:trPr>
        <w:tc>
          <w:tcPr>
            <w:tcW w:w="9371" w:type="dxa"/>
          </w:tcPr>
          <w:p w14:paraId="0A4A2643" w14:textId="77777777" w:rsidR="007C72FC" w:rsidRPr="007C72FC" w:rsidRDefault="007C72FC" w:rsidP="007C72FC">
            <w:pPr>
              <w:widowControl w:val="0"/>
              <w:adjustRightInd w:val="0"/>
              <w:spacing w:after="0" w:line="240" w:lineRule="auto"/>
              <w:jc w:val="both"/>
              <w:textAlignment w:val="baseline"/>
              <w:rPr>
                <w:rFonts w:ascii="Times New Roman" w:hAnsi="Times New Roman"/>
                <w:b/>
                <w:sz w:val="24"/>
                <w:szCs w:val="24"/>
                <w:lang w:eastAsia="sk-SK"/>
              </w:rPr>
            </w:pPr>
            <w:r w:rsidRPr="007C72FC">
              <w:rPr>
                <w:rFonts w:ascii="Times New Roman" w:hAnsi="Times New Roman"/>
                <w:b/>
                <w:sz w:val="24"/>
                <w:szCs w:val="24"/>
                <w:lang w:eastAsia="sk-SK"/>
              </w:rPr>
              <w:t xml:space="preserve">7.3.1 Ktoré sú dotknuté subjekty verejnej správy? </w:t>
            </w:r>
          </w:p>
          <w:p w14:paraId="59AAA105" w14:textId="77777777" w:rsidR="007C72FC" w:rsidRPr="007C72FC" w:rsidRDefault="007C72FC" w:rsidP="007C72FC">
            <w:pPr>
              <w:widowControl w:val="0"/>
              <w:adjustRightInd w:val="0"/>
              <w:spacing w:after="0" w:line="240" w:lineRule="auto"/>
              <w:jc w:val="both"/>
              <w:textAlignment w:val="baseline"/>
              <w:rPr>
                <w:rFonts w:ascii="Times New Roman" w:hAnsi="Times New Roman"/>
                <w:i/>
                <w:iCs/>
                <w:sz w:val="24"/>
                <w:szCs w:val="24"/>
                <w:lang w:eastAsia="sk-SK"/>
              </w:rPr>
            </w:pPr>
            <w:r w:rsidRPr="007C72FC">
              <w:rPr>
                <w:rFonts w:ascii="Times New Roman" w:hAnsi="Times New Roman"/>
                <w:i/>
                <w:sz w:val="24"/>
                <w:szCs w:val="24"/>
                <w:lang w:eastAsia="sk-SK"/>
              </w:rPr>
              <w:t xml:space="preserve">Ktoré subjekty verejnej správy sú účastné procesu poskytnutia služby? </w:t>
            </w:r>
          </w:p>
        </w:tc>
      </w:tr>
      <w:tr w:rsidR="007C72FC" w:rsidRPr="007C72FC" w14:paraId="025CE812" w14:textId="77777777" w:rsidTr="00154BAB">
        <w:trPr>
          <w:trHeight w:val="733"/>
        </w:trPr>
        <w:tc>
          <w:tcPr>
            <w:tcW w:w="9371" w:type="dxa"/>
          </w:tcPr>
          <w:p w14:paraId="73BBB007" w14:textId="77777777" w:rsidR="007C72FC" w:rsidRPr="007C72FC" w:rsidRDefault="007C72FC" w:rsidP="007C72FC">
            <w:pPr>
              <w:widowControl w:val="0"/>
              <w:adjustRightInd w:val="0"/>
              <w:spacing w:after="0" w:line="240" w:lineRule="auto"/>
              <w:jc w:val="both"/>
              <w:textAlignment w:val="baseline"/>
              <w:rPr>
                <w:rFonts w:ascii="Times New Roman" w:hAnsi="Times New Roman"/>
                <w:sz w:val="24"/>
                <w:szCs w:val="24"/>
                <w:lang w:eastAsia="sk-SK"/>
              </w:rPr>
            </w:pPr>
            <w:r w:rsidRPr="007C72FC">
              <w:rPr>
                <w:rFonts w:ascii="Times New Roman" w:hAnsi="Times New Roman"/>
                <w:sz w:val="24"/>
                <w:szCs w:val="24"/>
                <w:lang w:eastAsia="sk-SK"/>
              </w:rPr>
              <w:t xml:space="preserve">Správne orgány podľa zákona č. 145/1995 Z. z., súdy, orgány štátnej správy súdov a prokuratúra podľa zákona č. 71/1992 Zb. </w:t>
            </w:r>
          </w:p>
        </w:tc>
      </w:tr>
      <w:tr w:rsidR="007C72FC" w:rsidRPr="007C72FC" w14:paraId="44795051" w14:textId="77777777" w:rsidTr="00154BAB">
        <w:trPr>
          <w:trHeight w:val="20"/>
        </w:trPr>
        <w:tc>
          <w:tcPr>
            <w:tcW w:w="9371" w:type="dxa"/>
          </w:tcPr>
          <w:p w14:paraId="413FB7C1" w14:textId="77777777" w:rsidR="007C72FC" w:rsidRPr="007C72FC" w:rsidRDefault="007C72FC" w:rsidP="007C72FC">
            <w:pPr>
              <w:widowControl w:val="0"/>
              <w:adjustRightInd w:val="0"/>
              <w:spacing w:after="0" w:line="240" w:lineRule="auto"/>
              <w:jc w:val="both"/>
              <w:textAlignment w:val="baseline"/>
              <w:rPr>
                <w:rFonts w:ascii="Times New Roman" w:hAnsi="Times New Roman"/>
                <w:i/>
                <w:iCs/>
                <w:sz w:val="24"/>
                <w:szCs w:val="24"/>
                <w:lang w:eastAsia="sk-SK"/>
              </w:rPr>
            </w:pPr>
            <w:r w:rsidRPr="007C72FC">
              <w:rPr>
                <w:rFonts w:ascii="Times New Roman" w:hAnsi="Times New Roman"/>
                <w:b/>
                <w:sz w:val="24"/>
                <w:szCs w:val="24"/>
                <w:lang w:eastAsia="sk-SK"/>
              </w:rPr>
              <w:t xml:space="preserve">7.3.2 Vyplývajú z návrhu pre orgán verejnej správy pri vybavení požiadavky nové povinnosti alebo zanikajú už existujúce povinnosti?  </w:t>
            </w:r>
            <w:r w:rsidRPr="007C72FC">
              <w:rPr>
                <w:rFonts w:ascii="Times New Roman" w:hAnsi="Times New Roman"/>
                <w:iCs/>
                <w:sz w:val="24"/>
                <w:szCs w:val="24"/>
                <w:lang w:eastAsia="sk-SK"/>
              </w:rPr>
              <w:t xml:space="preserve"> </w:t>
            </w:r>
          </w:p>
        </w:tc>
      </w:tr>
      <w:tr w:rsidR="007C72FC" w:rsidRPr="007C72FC" w14:paraId="29DDF456" w14:textId="77777777" w:rsidTr="00154BAB">
        <w:trPr>
          <w:trHeight w:val="20"/>
        </w:trPr>
        <w:tc>
          <w:tcPr>
            <w:tcW w:w="9371" w:type="dxa"/>
          </w:tcPr>
          <w:p w14:paraId="7D0AFECD" w14:textId="77777777" w:rsidR="007C72FC" w:rsidRPr="007C72FC" w:rsidRDefault="007C72FC" w:rsidP="007C72FC">
            <w:pPr>
              <w:widowControl w:val="0"/>
              <w:adjustRightInd w:val="0"/>
              <w:spacing w:after="0" w:line="240" w:lineRule="auto"/>
              <w:jc w:val="both"/>
              <w:textAlignment w:val="baseline"/>
              <w:rPr>
                <w:rFonts w:ascii="Times New Roman" w:hAnsi="Times New Roman"/>
                <w:i/>
                <w:iCs/>
                <w:sz w:val="24"/>
                <w:szCs w:val="24"/>
                <w:lang w:eastAsia="sk-SK"/>
              </w:rPr>
            </w:pPr>
            <w:r w:rsidRPr="007C72FC">
              <w:rPr>
                <w:rFonts w:ascii="Times New Roman" w:hAnsi="Times New Roman"/>
                <w:i/>
                <w:iCs/>
                <w:sz w:val="24"/>
                <w:szCs w:val="24"/>
                <w:lang w:eastAsia="sk-SK"/>
              </w:rPr>
              <w:t>Nové povinnosti (identifikujte)</w:t>
            </w:r>
          </w:p>
        </w:tc>
      </w:tr>
      <w:tr w:rsidR="007C72FC" w:rsidRPr="007C72FC" w14:paraId="0C4806AB" w14:textId="77777777" w:rsidTr="00154BAB">
        <w:trPr>
          <w:trHeight w:val="674"/>
        </w:trPr>
        <w:tc>
          <w:tcPr>
            <w:tcW w:w="9371" w:type="dxa"/>
          </w:tcPr>
          <w:p w14:paraId="42F35671" w14:textId="77777777" w:rsidR="007C72FC" w:rsidRPr="007C72FC" w:rsidRDefault="007C72FC" w:rsidP="007C72FC">
            <w:pPr>
              <w:widowControl w:val="0"/>
              <w:adjustRightInd w:val="0"/>
              <w:spacing w:after="0" w:line="240" w:lineRule="auto"/>
              <w:jc w:val="both"/>
              <w:textAlignment w:val="baseline"/>
              <w:rPr>
                <w:rFonts w:ascii="Times New Roman" w:hAnsi="Times New Roman"/>
                <w:i/>
                <w:iCs/>
                <w:sz w:val="24"/>
                <w:szCs w:val="24"/>
                <w:lang w:eastAsia="sk-SK"/>
              </w:rPr>
            </w:pPr>
            <w:r w:rsidRPr="007C72FC">
              <w:rPr>
                <w:rFonts w:ascii="Times New Roman" w:hAnsi="Times New Roman"/>
                <w:sz w:val="24"/>
                <w:szCs w:val="24"/>
                <w:lang w:eastAsia="sk-SK"/>
              </w:rPr>
              <w:t>Zapojenie správneho orgánu, súdu, orgánu štátnej správy súdov a prokuratúry do centrálneho systému evidencie poplatkov Štátnej pokladnice, umiestnenie technického vybavenia a programových prostriedkov Štátnej pokladnice na sprostredkovanie vykonania a evidencie platieb správnych poplatkov a súdnych poplatkov.</w:t>
            </w:r>
          </w:p>
        </w:tc>
      </w:tr>
      <w:tr w:rsidR="007C72FC" w:rsidRPr="007C72FC" w14:paraId="74C10C37" w14:textId="77777777" w:rsidTr="00154BAB">
        <w:trPr>
          <w:trHeight w:val="20"/>
        </w:trPr>
        <w:tc>
          <w:tcPr>
            <w:tcW w:w="9371" w:type="dxa"/>
          </w:tcPr>
          <w:p w14:paraId="42348AE3" w14:textId="77777777" w:rsidR="007C72FC" w:rsidRPr="007C72FC" w:rsidRDefault="007C72FC" w:rsidP="007C72FC">
            <w:pPr>
              <w:widowControl w:val="0"/>
              <w:adjustRightInd w:val="0"/>
              <w:spacing w:after="0" w:line="240" w:lineRule="auto"/>
              <w:jc w:val="both"/>
              <w:textAlignment w:val="baseline"/>
              <w:rPr>
                <w:rFonts w:ascii="Times New Roman" w:hAnsi="Times New Roman"/>
                <w:i/>
                <w:iCs/>
                <w:sz w:val="24"/>
                <w:szCs w:val="24"/>
                <w:lang w:eastAsia="sk-SK"/>
              </w:rPr>
            </w:pPr>
            <w:r w:rsidRPr="007C72FC">
              <w:rPr>
                <w:rFonts w:ascii="Times New Roman" w:hAnsi="Times New Roman"/>
                <w:i/>
                <w:iCs/>
                <w:sz w:val="24"/>
                <w:szCs w:val="24"/>
                <w:lang w:eastAsia="sk-SK"/>
              </w:rPr>
              <w:t>Zanikajúce povinnosti (identifikujte)</w:t>
            </w:r>
          </w:p>
        </w:tc>
      </w:tr>
      <w:tr w:rsidR="007C72FC" w:rsidRPr="007C72FC" w14:paraId="3C8524CF" w14:textId="77777777" w:rsidTr="00154BAB">
        <w:trPr>
          <w:trHeight w:val="291"/>
        </w:trPr>
        <w:tc>
          <w:tcPr>
            <w:tcW w:w="9371" w:type="dxa"/>
          </w:tcPr>
          <w:p w14:paraId="2CFE8D72" w14:textId="77777777" w:rsidR="007C72FC" w:rsidRPr="007C72FC" w:rsidRDefault="007C72FC" w:rsidP="007C72FC">
            <w:pPr>
              <w:widowControl w:val="0"/>
              <w:adjustRightInd w:val="0"/>
              <w:spacing w:after="0" w:line="240" w:lineRule="auto"/>
              <w:jc w:val="both"/>
              <w:textAlignment w:val="baseline"/>
              <w:rPr>
                <w:rFonts w:ascii="Times New Roman" w:hAnsi="Times New Roman"/>
                <w:i/>
                <w:iCs/>
                <w:sz w:val="24"/>
                <w:szCs w:val="24"/>
                <w:lang w:eastAsia="sk-SK"/>
              </w:rPr>
            </w:pPr>
            <w:r w:rsidRPr="007C72FC">
              <w:rPr>
                <w:rFonts w:ascii="Times New Roman" w:hAnsi="Times New Roman"/>
                <w:sz w:val="24"/>
                <w:szCs w:val="24"/>
                <w:lang w:eastAsia="sk-SK"/>
              </w:rPr>
              <w:t>Nie sú.</w:t>
            </w:r>
          </w:p>
        </w:tc>
      </w:tr>
    </w:tbl>
    <w:p w14:paraId="68C935FA" w14:textId="77777777" w:rsidR="007C72FC" w:rsidRDefault="007C72FC" w:rsidP="007C72FC">
      <w:pPr>
        <w:autoSpaceDE w:val="0"/>
        <w:autoSpaceDN w:val="0"/>
        <w:spacing w:after="0" w:line="240" w:lineRule="auto"/>
        <w:jc w:val="center"/>
        <w:rPr>
          <w:rFonts w:ascii="Times New Roman" w:hAnsi="Times New Roman"/>
          <w:b/>
          <w:bCs/>
          <w:sz w:val="24"/>
          <w:szCs w:val="24"/>
          <w:lang w:eastAsia="sk-SK"/>
        </w:rPr>
      </w:pPr>
    </w:p>
    <w:p w14:paraId="3E26E5BC" w14:textId="3F0CCAB4" w:rsidR="007C72FC" w:rsidRPr="007C72FC" w:rsidRDefault="007C72FC" w:rsidP="007C72FC">
      <w:pPr>
        <w:autoSpaceDE w:val="0"/>
        <w:autoSpaceDN w:val="0"/>
        <w:spacing w:after="0" w:line="240" w:lineRule="auto"/>
        <w:jc w:val="center"/>
        <w:rPr>
          <w:rFonts w:ascii="Times New Roman" w:hAnsi="Times New Roman"/>
          <w:b/>
          <w:bCs/>
          <w:sz w:val="24"/>
          <w:szCs w:val="24"/>
          <w:lang w:eastAsia="sk-SK"/>
        </w:rPr>
      </w:pPr>
      <w:r w:rsidRPr="007C72FC">
        <w:rPr>
          <w:rFonts w:ascii="Times New Roman" w:hAnsi="Times New Roman"/>
          <w:b/>
          <w:bCs/>
          <w:sz w:val="24"/>
          <w:szCs w:val="24"/>
          <w:lang w:eastAsia="sk-SK"/>
        </w:rPr>
        <w:t>DOLOŽKA ZLUČITEĽNOSTI</w:t>
      </w:r>
    </w:p>
    <w:p w14:paraId="75481FFB" w14:textId="77777777" w:rsidR="007C72FC" w:rsidRPr="007C72FC" w:rsidRDefault="007C72FC" w:rsidP="007C72FC">
      <w:pPr>
        <w:pBdr>
          <w:bottom w:val="single" w:sz="12" w:space="1" w:color="auto"/>
        </w:pBdr>
        <w:spacing w:after="0" w:line="240" w:lineRule="auto"/>
        <w:jc w:val="center"/>
        <w:rPr>
          <w:rFonts w:ascii="Times New Roman" w:hAnsi="Times New Roman"/>
          <w:b/>
          <w:sz w:val="24"/>
          <w:szCs w:val="24"/>
          <w:lang w:eastAsia="sk-SK"/>
        </w:rPr>
      </w:pPr>
      <w:r w:rsidRPr="007C72FC">
        <w:rPr>
          <w:rFonts w:ascii="Times New Roman" w:hAnsi="Times New Roman"/>
          <w:b/>
          <w:bCs/>
          <w:sz w:val="24"/>
          <w:szCs w:val="24"/>
          <w:lang w:eastAsia="sk-SK"/>
        </w:rPr>
        <w:t xml:space="preserve"> n</w:t>
      </w:r>
      <w:r w:rsidRPr="007C72FC">
        <w:rPr>
          <w:rFonts w:ascii="Times New Roman" w:hAnsi="Times New Roman"/>
          <w:b/>
          <w:sz w:val="24"/>
          <w:szCs w:val="24"/>
          <w:lang w:eastAsia="sk-SK"/>
        </w:rPr>
        <w:t>ávrhu zákona s právom Európskej únie</w:t>
      </w:r>
    </w:p>
    <w:p w14:paraId="6AFFD359" w14:textId="77777777" w:rsidR="007C72FC" w:rsidRPr="007C72FC" w:rsidRDefault="007C72FC" w:rsidP="007C72FC">
      <w:pPr>
        <w:widowControl w:val="0"/>
        <w:autoSpaceDE w:val="0"/>
        <w:autoSpaceDN w:val="0"/>
        <w:spacing w:after="0" w:line="240" w:lineRule="auto"/>
        <w:ind w:left="357"/>
        <w:jc w:val="both"/>
        <w:rPr>
          <w:rFonts w:ascii="Times New Roman" w:hAnsi="Times New Roman"/>
          <w:b/>
          <w:bCs/>
          <w:sz w:val="24"/>
          <w:szCs w:val="24"/>
          <w:lang w:eastAsia="sk-SK"/>
        </w:rPr>
      </w:pPr>
    </w:p>
    <w:p w14:paraId="735BDE36" w14:textId="77777777" w:rsidR="007C72FC" w:rsidRPr="007C72FC" w:rsidRDefault="007C72FC" w:rsidP="007C72FC">
      <w:pPr>
        <w:widowControl w:val="0"/>
        <w:numPr>
          <w:ilvl w:val="0"/>
          <w:numId w:val="12"/>
        </w:numPr>
        <w:tabs>
          <w:tab w:val="clear" w:pos="360"/>
        </w:tabs>
        <w:autoSpaceDE w:val="0"/>
        <w:autoSpaceDN w:val="0"/>
        <w:spacing w:after="0" w:line="240" w:lineRule="auto"/>
        <w:ind w:left="357" w:hanging="357"/>
        <w:jc w:val="both"/>
        <w:rPr>
          <w:rFonts w:ascii="Times New Roman" w:hAnsi="Times New Roman"/>
          <w:b/>
          <w:bCs/>
          <w:sz w:val="24"/>
          <w:szCs w:val="24"/>
          <w:lang w:eastAsia="sk-SK"/>
        </w:rPr>
      </w:pPr>
      <w:r w:rsidRPr="007C72FC">
        <w:rPr>
          <w:rFonts w:ascii="Times New Roman" w:hAnsi="Times New Roman"/>
          <w:b/>
          <w:bCs/>
          <w:sz w:val="24"/>
          <w:szCs w:val="24"/>
          <w:lang w:eastAsia="sk-SK"/>
        </w:rPr>
        <w:t>Navrhovateľ zákona:</w:t>
      </w:r>
    </w:p>
    <w:p w14:paraId="2668B894" w14:textId="77777777" w:rsidR="007C72FC" w:rsidRPr="007C72FC" w:rsidRDefault="007C72FC" w:rsidP="007C72FC">
      <w:pPr>
        <w:widowControl w:val="0"/>
        <w:autoSpaceDE w:val="0"/>
        <w:autoSpaceDN w:val="0"/>
        <w:spacing w:after="0" w:line="240" w:lineRule="auto"/>
        <w:ind w:firstLine="357"/>
        <w:contextualSpacing/>
        <w:jc w:val="both"/>
        <w:rPr>
          <w:rFonts w:ascii="Times New Roman" w:hAnsi="Times New Roman"/>
          <w:sz w:val="24"/>
          <w:szCs w:val="24"/>
          <w:lang w:eastAsia="sk-SK"/>
        </w:rPr>
      </w:pPr>
      <w:r w:rsidRPr="007C72FC">
        <w:rPr>
          <w:rFonts w:ascii="Times New Roman" w:hAnsi="Times New Roman"/>
          <w:sz w:val="24"/>
          <w:szCs w:val="24"/>
          <w:lang w:eastAsia="sk-SK"/>
        </w:rPr>
        <w:t>Vláda Slovenskej republiky.</w:t>
      </w:r>
    </w:p>
    <w:p w14:paraId="1A7DBC17" w14:textId="77777777" w:rsidR="007C72FC" w:rsidRPr="007C72FC" w:rsidRDefault="007C72FC" w:rsidP="007C72FC">
      <w:pPr>
        <w:widowControl w:val="0"/>
        <w:autoSpaceDE w:val="0"/>
        <w:autoSpaceDN w:val="0"/>
        <w:spacing w:after="0" w:line="240" w:lineRule="auto"/>
        <w:ind w:firstLine="357"/>
        <w:contextualSpacing/>
        <w:jc w:val="both"/>
        <w:rPr>
          <w:rFonts w:ascii="Times New Roman" w:hAnsi="Times New Roman"/>
          <w:sz w:val="24"/>
          <w:szCs w:val="24"/>
          <w:lang w:eastAsia="sk-SK"/>
        </w:rPr>
      </w:pPr>
    </w:p>
    <w:p w14:paraId="64A58C47" w14:textId="77777777" w:rsidR="007C72FC" w:rsidRPr="007C72FC" w:rsidRDefault="007C72FC" w:rsidP="007C72FC">
      <w:pPr>
        <w:widowControl w:val="0"/>
        <w:autoSpaceDE w:val="0"/>
        <w:autoSpaceDN w:val="0"/>
        <w:spacing w:after="0" w:line="240" w:lineRule="auto"/>
        <w:ind w:firstLine="357"/>
        <w:contextualSpacing/>
        <w:jc w:val="both"/>
        <w:rPr>
          <w:rFonts w:ascii="Times New Roman" w:hAnsi="Times New Roman"/>
          <w:sz w:val="24"/>
          <w:szCs w:val="24"/>
          <w:lang w:eastAsia="sk-SK"/>
        </w:rPr>
      </w:pPr>
    </w:p>
    <w:p w14:paraId="3E037C66" w14:textId="77777777" w:rsidR="007C72FC" w:rsidRPr="007C72FC" w:rsidRDefault="007C72FC" w:rsidP="007C72FC">
      <w:pPr>
        <w:widowControl w:val="0"/>
        <w:numPr>
          <w:ilvl w:val="0"/>
          <w:numId w:val="12"/>
        </w:numPr>
        <w:autoSpaceDE w:val="0"/>
        <w:autoSpaceDN w:val="0"/>
        <w:spacing w:after="0" w:line="240" w:lineRule="auto"/>
        <w:ind w:left="357" w:hanging="357"/>
        <w:jc w:val="both"/>
        <w:rPr>
          <w:rFonts w:ascii="Times New Roman" w:hAnsi="Times New Roman"/>
          <w:b/>
          <w:bCs/>
          <w:sz w:val="24"/>
          <w:szCs w:val="24"/>
          <w:lang w:eastAsia="sk-SK"/>
        </w:rPr>
      </w:pPr>
      <w:r w:rsidRPr="007C72FC">
        <w:rPr>
          <w:rFonts w:ascii="Times New Roman" w:hAnsi="Times New Roman"/>
          <w:b/>
          <w:bCs/>
          <w:sz w:val="24"/>
          <w:szCs w:val="24"/>
          <w:lang w:eastAsia="sk-SK"/>
        </w:rPr>
        <w:t xml:space="preserve">Názov návrhu zákona: </w:t>
      </w:r>
    </w:p>
    <w:p w14:paraId="26C83185" w14:textId="77777777" w:rsidR="007C72FC" w:rsidRPr="007C72FC" w:rsidRDefault="007C72FC" w:rsidP="007C72FC">
      <w:pPr>
        <w:spacing w:after="0" w:line="240" w:lineRule="auto"/>
        <w:ind w:left="357"/>
        <w:jc w:val="both"/>
        <w:rPr>
          <w:rFonts w:ascii="Times New Roman" w:hAnsi="Times New Roman"/>
          <w:sz w:val="24"/>
          <w:szCs w:val="24"/>
          <w:lang w:eastAsia="sk-SK"/>
        </w:rPr>
      </w:pPr>
      <w:r w:rsidRPr="007C72FC">
        <w:rPr>
          <w:rFonts w:ascii="Times New Roman" w:hAnsi="Times New Roman"/>
          <w:sz w:val="24"/>
          <w:szCs w:val="24"/>
          <w:lang w:eastAsia="sk-SK"/>
        </w:rPr>
        <w:t>Návrh zákona, ktorým sa mení a dopĺňa zákon Slovenskej národnej rady č. 71/1992 Zb. o súdnych poplatkoch a poplatku za výpis z registra trestov v znení neskorších predpisov a ktorým sa menia a dopĺňajú niektoré zákony.</w:t>
      </w:r>
    </w:p>
    <w:p w14:paraId="69207456" w14:textId="77777777" w:rsidR="007C72FC" w:rsidRPr="007C72FC" w:rsidRDefault="007C72FC" w:rsidP="007C72FC">
      <w:pPr>
        <w:widowControl w:val="0"/>
        <w:autoSpaceDE w:val="0"/>
        <w:autoSpaceDN w:val="0"/>
        <w:spacing w:after="0" w:line="240" w:lineRule="auto"/>
        <w:ind w:left="357"/>
        <w:contextualSpacing/>
        <w:jc w:val="both"/>
        <w:rPr>
          <w:rFonts w:ascii="Times New Roman" w:hAnsi="Times New Roman"/>
          <w:b/>
          <w:bCs/>
          <w:sz w:val="24"/>
          <w:szCs w:val="24"/>
          <w:lang w:eastAsia="sk-SK"/>
        </w:rPr>
      </w:pPr>
    </w:p>
    <w:p w14:paraId="1D1BE9DA" w14:textId="77777777" w:rsidR="007C72FC" w:rsidRPr="007C72FC" w:rsidRDefault="007C72FC" w:rsidP="007C72FC">
      <w:pPr>
        <w:widowControl w:val="0"/>
        <w:autoSpaceDE w:val="0"/>
        <w:autoSpaceDN w:val="0"/>
        <w:spacing w:after="0" w:line="240" w:lineRule="auto"/>
        <w:ind w:left="357"/>
        <w:contextualSpacing/>
        <w:jc w:val="both"/>
        <w:rPr>
          <w:rFonts w:ascii="Times New Roman" w:hAnsi="Times New Roman"/>
          <w:b/>
          <w:bCs/>
          <w:sz w:val="24"/>
          <w:szCs w:val="24"/>
          <w:lang w:eastAsia="sk-SK"/>
        </w:rPr>
      </w:pPr>
    </w:p>
    <w:p w14:paraId="52E7052B" w14:textId="77777777" w:rsidR="007C72FC" w:rsidRPr="007C72FC" w:rsidRDefault="007C72FC" w:rsidP="007C72FC">
      <w:pPr>
        <w:widowControl w:val="0"/>
        <w:numPr>
          <w:ilvl w:val="0"/>
          <w:numId w:val="12"/>
        </w:numPr>
        <w:autoSpaceDE w:val="0"/>
        <w:autoSpaceDN w:val="0"/>
        <w:spacing w:after="0" w:line="240" w:lineRule="auto"/>
        <w:jc w:val="both"/>
        <w:rPr>
          <w:rFonts w:ascii="Times New Roman" w:hAnsi="Times New Roman"/>
          <w:b/>
          <w:bCs/>
          <w:sz w:val="24"/>
          <w:szCs w:val="24"/>
          <w:lang w:eastAsia="sk-SK"/>
        </w:rPr>
      </w:pPr>
      <w:r w:rsidRPr="007C72FC">
        <w:rPr>
          <w:rFonts w:ascii="Times New Roman" w:hAnsi="Times New Roman"/>
          <w:b/>
          <w:bCs/>
          <w:sz w:val="24"/>
          <w:szCs w:val="24"/>
          <w:lang w:eastAsia="sk-SK"/>
        </w:rPr>
        <w:t xml:space="preserve">Predmet návrhu zákona </w:t>
      </w:r>
      <w:r w:rsidRPr="007C72FC">
        <w:rPr>
          <w:rFonts w:ascii="Times New Roman" w:hAnsi="Times New Roman"/>
          <w:b/>
          <w:sz w:val="24"/>
          <w:szCs w:val="24"/>
          <w:lang w:eastAsia="sk-SK"/>
        </w:rPr>
        <w:t>je upravený v práve Európskej únie:</w:t>
      </w:r>
    </w:p>
    <w:p w14:paraId="03BE2C93" w14:textId="77777777" w:rsidR="007C72FC" w:rsidRPr="007C72FC" w:rsidRDefault="007C72FC" w:rsidP="007C72FC">
      <w:pPr>
        <w:spacing w:after="0" w:line="240" w:lineRule="auto"/>
        <w:ind w:left="426"/>
        <w:rPr>
          <w:rFonts w:ascii="Times New Roman" w:hAnsi="Times New Roman"/>
          <w:sz w:val="24"/>
          <w:szCs w:val="24"/>
          <w:lang w:eastAsia="sk-SK"/>
        </w:rPr>
      </w:pPr>
      <w:r w:rsidRPr="007C72FC">
        <w:rPr>
          <w:rFonts w:ascii="Times New Roman" w:hAnsi="Times New Roman"/>
          <w:sz w:val="24"/>
          <w:szCs w:val="24"/>
          <w:lang w:eastAsia="sk-SK"/>
        </w:rPr>
        <w:t>a) v primárnom práve:</w:t>
      </w:r>
    </w:p>
    <w:p w14:paraId="31C0B0BC" w14:textId="77777777" w:rsidR="007C72FC" w:rsidRPr="007C72FC" w:rsidRDefault="007C72FC" w:rsidP="007C72FC">
      <w:pPr>
        <w:spacing w:after="0" w:line="240" w:lineRule="auto"/>
        <w:ind w:left="426"/>
        <w:rPr>
          <w:rFonts w:ascii="Times New Roman" w:hAnsi="Times New Roman"/>
          <w:sz w:val="24"/>
          <w:szCs w:val="24"/>
          <w:lang w:eastAsia="sk-SK"/>
        </w:rPr>
      </w:pPr>
    </w:p>
    <w:p w14:paraId="4848F204" w14:textId="77777777" w:rsidR="007C72FC" w:rsidRPr="007C72FC" w:rsidRDefault="007C72FC" w:rsidP="007C72FC">
      <w:pPr>
        <w:numPr>
          <w:ilvl w:val="0"/>
          <w:numId w:val="16"/>
        </w:numPr>
        <w:spacing w:after="0" w:line="240" w:lineRule="auto"/>
        <w:contextualSpacing/>
        <w:rPr>
          <w:rFonts w:ascii="Times New Roman" w:hAnsi="Times New Roman"/>
          <w:sz w:val="24"/>
          <w:szCs w:val="24"/>
          <w:lang w:eastAsia="sk-SK"/>
        </w:rPr>
      </w:pPr>
      <w:r w:rsidRPr="007C72FC">
        <w:rPr>
          <w:rFonts w:ascii="Times New Roman" w:hAnsi="Times New Roman"/>
          <w:sz w:val="24"/>
          <w:szCs w:val="24"/>
          <w:lang w:eastAsia="sk-SK"/>
        </w:rPr>
        <w:t>čl. 50 a 127 ods. 4 Zmluvy o fungovaní Európskej únie (Ú. v. EÚ C 202, 7.6. 2016),</w:t>
      </w:r>
    </w:p>
    <w:p w14:paraId="31795580" w14:textId="77777777" w:rsidR="007C72FC" w:rsidRPr="007C72FC" w:rsidRDefault="007C72FC" w:rsidP="007C72FC">
      <w:pPr>
        <w:spacing w:after="0" w:line="240" w:lineRule="auto"/>
        <w:ind w:left="720"/>
        <w:contextualSpacing/>
        <w:rPr>
          <w:rFonts w:ascii="Times New Roman" w:hAnsi="Times New Roman"/>
          <w:sz w:val="24"/>
          <w:szCs w:val="24"/>
          <w:lang w:eastAsia="sk-SK"/>
        </w:rPr>
      </w:pPr>
    </w:p>
    <w:p w14:paraId="16D1E55F" w14:textId="77777777" w:rsidR="007C72FC" w:rsidRPr="007C72FC" w:rsidRDefault="007C72FC" w:rsidP="007C72FC">
      <w:pPr>
        <w:numPr>
          <w:ilvl w:val="0"/>
          <w:numId w:val="16"/>
        </w:numPr>
        <w:spacing w:after="0" w:line="240" w:lineRule="auto"/>
        <w:contextualSpacing/>
        <w:jc w:val="both"/>
        <w:rPr>
          <w:rFonts w:ascii="Times New Roman" w:hAnsi="Times New Roman"/>
          <w:sz w:val="24"/>
          <w:szCs w:val="24"/>
          <w:lang w:eastAsia="sk-SK"/>
        </w:rPr>
      </w:pPr>
      <w:r w:rsidRPr="007C72FC">
        <w:rPr>
          <w:rFonts w:ascii="Times New Roman" w:hAnsi="Times New Roman"/>
          <w:sz w:val="24"/>
          <w:szCs w:val="24"/>
          <w:lang w:eastAsia="sk-SK"/>
        </w:rPr>
        <w:t>Protokol č. 4 o Štatúte Európskeho systému centrálnych bánk a Európskej centrálnej banky pripojený k Zmluve o fungovaní Európskej únie (Ú. v. EÚ C 202, 7.6.2016).</w:t>
      </w:r>
    </w:p>
    <w:p w14:paraId="0D592723" w14:textId="77777777" w:rsidR="007C72FC" w:rsidRPr="007C72FC" w:rsidRDefault="007C72FC" w:rsidP="007C72FC">
      <w:pPr>
        <w:spacing w:after="0" w:line="240" w:lineRule="auto"/>
        <w:ind w:left="1117"/>
        <w:contextualSpacing/>
        <w:rPr>
          <w:rFonts w:ascii="Times New Roman" w:hAnsi="Times New Roman"/>
          <w:sz w:val="24"/>
          <w:szCs w:val="24"/>
          <w:lang w:eastAsia="sk-SK"/>
        </w:rPr>
      </w:pPr>
    </w:p>
    <w:p w14:paraId="303F10FB" w14:textId="77777777" w:rsidR="007C72FC" w:rsidRPr="007C72FC" w:rsidRDefault="007C72FC" w:rsidP="007C72FC">
      <w:pPr>
        <w:spacing w:after="0" w:line="240" w:lineRule="auto"/>
        <w:ind w:left="426"/>
        <w:jc w:val="both"/>
        <w:rPr>
          <w:rFonts w:ascii="Times New Roman" w:hAnsi="Times New Roman"/>
          <w:sz w:val="24"/>
          <w:szCs w:val="24"/>
          <w:lang w:eastAsia="sk-SK"/>
        </w:rPr>
      </w:pPr>
      <w:r w:rsidRPr="007C72FC">
        <w:rPr>
          <w:rFonts w:ascii="Times New Roman" w:hAnsi="Times New Roman"/>
          <w:sz w:val="24"/>
          <w:szCs w:val="24"/>
          <w:lang w:eastAsia="sk-SK"/>
        </w:rPr>
        <w:t xml:space="preserve">b) v sekundárnom práve: </w:t>
      </w:r>
    </w:p>
    <w:p w14:paraId="7E7B278D" w14:textId="77777777" w:rsidR="007C72FC" w:rsidRPr="007C72FC" w:rsidRDefault="007C72FC" w:rsidP="007C72FC">
      <w:pPr>
        <w:spacing w:after="0" w:line="240" w:lineRule="auto"/>
        <w:ind w:left="709"/>
        <w:contextualSpacing/>
        <w:jc w:val="both"/>
        <w:rPr>
          <w:rFonts w:ascii="Times New Roman" w:hAnsi="Times New Roman"/>
          <w:color w:val="000000"/>
          <w:sz w:val="24"/>
          <w:szCs w:val="24"/>
          <w:lang w:eastAsia="sk-SK"/>
        </w:rPr>
      </w:pPr>
    </w:p>
    <w:p w14:paraId="55A9392B" w14:textId="77777777" w:rsidR="007C72FC" w:rsidRPr="007C72FC" w:rsidRDefault="007C72FC" w:rsidP="007C72FC">
      <w:pPr>
        <w:numPr>
          <w:ilvl w:val="0"/>
          <w:numId w:val="13"/>
        </w:numPr>
        <w:spacing w:after="0" w:line="240" w:lineRule="auto"/>
        <w:ind w:left="709" w:hanging="283"/>
        <w:contextualSpacing/>
        <w:jc w:val="both"/>
        <w:rPr>
          <w:rFonts w:ascii="Times New Roman" w:hAnsi="Times New Roman"/>
          <w:color w:val="000000"/>
          <w:sz w:val="24"/>
          <w:szCs w:val="24"/>
          <w:lang w:eastAsia="sk-SK"/>
        </w:rPr>
      </w:pPr>
      <w:r w:rsidRPr="007C72FC">
        <w:rPr>
          <w:rFonts w:ascii="Times New Roman" w:hAnsi="Times New Roman"/>
          <w:color w:val="000000"/>
          <w:sz w:val="24"/>
          <w:szCs w:val="24"/>
          <w:lang w:eastAsia="sk-SK"/>
        </w:rPr>
        <w:t xml:space="preserve">smernica Európskeho parlamentu a Rady </w:t>
      </w:r>
      <w:r w:rsidRPr="007C72FC">
        <w:rPr>
          <w:rFonts w:ascii="Times New Roman" w:hAnsi="Times New Roman"/>
          <w:sz w:val="24"/>
          <w:szCs w:val="24"/>
          <w:lang w:eastAsia="sk-SK"/>
        </w:rPr>
        <w:t xml:space="preserve">(EÚ) 2017/1132 zo 14. júna 2017 týkajúca sa niektorých aspektov práva obchodných spoločností (kodifikované znenie) (Ú. v. EÚ L 169, 30. 6. 2017) v platnom znení, gestor: MS SR, </w:t>
      </w:r>
      <w:r w:rsidRPr="007C72FC">
        <w:rPr>
          <w:rFonts w:ascii="Times New Roman" w:hAnsi="Times New Roman"/>
          <w:color w:val="000000"/>
          <w:sz w:val="24"/>
          <w:szCs w:val="24"/>
          <w:lang w:eastAsia="sk-SK"/>
        </w:rPr>
        <w:t>spolugestor: MF SR,</w:t>
      </w:r>
    </w:p>
    <w:p w14:paraId="580304A8" w14:textId="77777777" w:rsidR="007C72FC" w:rsidRPr="007C72FC" w:rsidRDefault="007C72FC" w:rsidP="007C72FC">
      <w:pPr>
        <w:spacing w:after="0" w:line="240" w:lineRule="auto"/>
        <w:ind w:left="720"/>
        <w:contextualSpacing/>
        <w:rPr>
          <w:rFonts w:ascii="Times New Roman" w:hAnsi="Times New Roman"/>
          <w:color w:val="000000"/>
          <w:sz w:val="24"/>
          <w:szCs w:val="24"/>
          <w:lang w:eastAsia="sk-SK"/>
        </w:rPr>
      </w:pPr>
    </w:p>
    <w:p w14:paraId="06D6794D" w14:textId="77777777" w:rsidR="007C72FC" w:rsidRPr="007C72FC" w:rsidRDefault="007C72FC" w:rsidP="007C72FC">
      <w:pPr>
        <w:numPr>
          <w:ilvl w:val="0"/>
          <w:numId w:val="13"/>
        </w:numPr>
        <w:spacing w:after="0" w:line="240" w:lineRule="auto"/>
        <w:ind w:left="709" w:hanging="283"/>
        <w:contextualSpacing/>
        <w:jc w:val="both"/>
        <w:rPr>
          <w:rFonts w:ascii="Times New Roman" w:hAnsi="Times New Roman"/>
          <w:i/>
          <w:iCs/>
          <w:sz w:val="24"/>
          <w:szCs w:val="24"/>
          <w:lang w:eastAsia="sk-SK"/>
        </w:rPr>
      </w:pPr>
      <w:r w:rsidRPr="007C72FC">
        <w:rPr>
          <w:rFonts w:ascii="Times New Roman" w:hAnsi="Times New Roman"/>
          <w:sz w:val="24"/>
          <w:szCs w:val="24"/>
          <w:shd w:val="clear" w:color="auto" w:fill="FFFFFF"/>
          <w:lang w:eastAsia="sk-SK"/>
        </w:rPr>
        <w:t>rozhodnutie Rady z 29. júna 1998 o poradení sa s Európskou centrálnou bankou národnými orgánmi ohľadom návrhu právnych prepisov (98/415/ES) (</w:t>
      </w:r>
      <w:r w:rsidRPr="007C72FC">
        <w:rPr>
          <w:rFonts w:ascii="Times New Roman" w:hAnsi="Times New Roman"/>
          <w:sz w:val="24"/>
          <w:szCs w:val="24"/>
          <w:lang w:eastAsia="sk-SK"/>
        </w:rPr>
        <w:t xml:space="preserve">Mimoriadne vydanie Ú. v. EÚ, kap. 1/zv. 1; </w:t>
      </w:r>
      <w:r w:rsidRPr="007C72FC">
        <w:rPr>
          <w:rFonts w:ascii="Times New Roman" w:hAnsi="Times New Roman"/>
          <w:sz w:val="24"/>
          <w:szCs w:val="24"/>
          <w:shd w:val="clear" w:color="auto" w:fill="FFFFFF"/>
          <w:lang w:eastAsia="sk-SK"/>
        </w:rPr>
        <w:t xml:space="preserve">Ú. v. ES L 189, 3.7.1998) </w:t>
      </w:r>
      <w:r w:rsidRPr="007C72FC">
        <w:rPr>
          <w:rFonts w:ascii="Times New Roman" w:hAnsi="Times New Roman"/>
          <w:sz w:val="24"/>
          <w:szCs w:val="24"/>
          <w:lang w:eastAsia="sk-SK"/>
        </w:rPr>
        <w:t>v platnom znení.</w:t>
      </w:r>
    </w:p>
    <w:p w14:paraId="6CF83166" w14:textId="77777777" w:rsidR="007C72FC" w:rsidRPr="007C72FC" w:rsidRDefault="007C72FC" w:rsidP="007C72FC">
      <w:pPr>
        <w:spacing w:after="0" w:line="240" w:lineRule="auto"/>
        <w:ind w:left="720"/>
        <w:contextualSpacing/>
        <w:rPr>
          <w:rFonts w:ascii="Times New Roman" w:hAnsi="Times New Roman"/>
          <w:color w:val="000000"/>
          <w:sz w:val="24"/>
          <w:szCs w:val="24"/>
          <w:lang w:eastAsia="sk-SK"/>
        </w:rPr>
      </w:pPr>
    </w:p>
    <w:p w14:paraId="088BF943" w14:textId="77777777" w:rsidR="007C72FC" w:rsidRPr="007C72FC" w:rsidRDefault="007C72FC" w:rsidP="007C72FC">
      <w:pPr>
        <w:numPr>
          <w:ilvl w:val="0"/>
          <w:numId w:val="14"/>
        </w:numPr>
        <w:spacing w:after="0" w:line="240" w:lineRule="auto"/>
        <w:ind w:left="426"/>
        <w:jc w:val="both"/>
        <w:rPr>
          <w:rFonts w:ascii="Times New Roman" w:hAnsi="Times New Roman"/>
          <w:sz w:val="24"/>
          <w:szCs w:val="24"/>
          <w:lang w:eastAsia="sk-SK"/>
        </w:rPr>
      </w:pPr>
      <w:r w:rsidRPr="007C72FC">
        <w:rPr>
          <w:rFonts w:ascii="Times New Roman" w:hAnsi="Times New Roman"/>
          <w:sz w:val="24"/>
          <w:szCs w:val="24"/>
          <w:lang w:eastAsia="sk-SK"/>
        </w:rPr>
        <w:t xml:space="preserve">nie je upravený v judikatúre Súdneho dvora Európskej únie. </w:t>
      </w:r>
    </w:p>
    <w:p w14:paraId="7CE645B2" w14:textId="77777777" w:rsidR="007C72FC" w:rsidRPr="007C72FC" w:rsidRDefault="007C72FC" w:rsidP="007C72FC">
      <w:pPr>
        <w:spacing w:after="0" w:line="240" w:lineRule="auto"/>
        <w:ind w:left="754"/>
        <w:jc w:val="both"/>
        <w:rPr>
          <w:rFonts w:ascii="Times New Roman" w:hAnsi="Times New Roman"/>
          <w:sz w:val="24"/>
          <w:szCs w:val="24"/>
          <w:lang w:eastAsia="sk-SK"/>
        </w:rPr>
      </w:pPr>
    </w:p>
    <w:p w14:paraId="290CAD02" w14:textId="77777777" w:rsidR="007C72FC" w:rsidRPr="007C72FC" w:rsidRDefault="007C72FC" w:rsidP="007C72FC">
      <w:pPr>
        <w:spacing w:after="0" w:line="240" w:lineRule="auto"/>
        <w:ind w:left="754"/>
        <w:jc w:val="both"/>
        <w:rPr>
          <w:rFonts w:ascii="Times New Roman" w:hAnsi="Times New Roman"/>
          <w:sz w:val="24"/>
          <w:szCs w:val="24"/>
          <w:lang w:eastAsia="sk-SK"/>
        </w:rPr>
      </w:pPr>
    </w:p>
    <w:p w14:paraId="6655FC91" w14:textId="77777777" w:rsidR="007C72FC" w:rsidRPr="007C72FC" w:rsidRDefault="007C72FC" w:rsidP="007C72FC">
      <w:pPr>
        <w:numPr>
          <w:ilvl w:val="0"/>
          <w:numId w:val="15"/>
        </w:numPr>
        <w:spacing w:after="0" w:line="240" w:lineRule="auto"/>
        <w:jc w:val="both"/>
        <w:rPr>
          <w:rFonts w:ascii="Times New Roman" w:hAnsi="Times New Roman"/>
          <w:b/>
          <w:bCs/>
          <w:sz w:val="24"/>
          <w:szCs w:val="24"/>
          <w:lang w:eastAsia="sk-SK"/>
        </w:rPr>
      </w:pPr>
      <w:r w:rsidRPr="007C72FC">
        <w:rPr>
          <w:rFonts w:ascii="Times New Roman" w:hAnsi="Times New Roman"/>
          <w:b/>
          <w:bCs/>
          <w:sz w:val="24"/>
          <w:szCs w:val="24"/>
          <w:lang w:eastAsia="sk-SK"/>
        </w:rPr>
        <w:t>Záväzky Slovenskej republiky vo vzťahu k Európskej únii:</w:t>
      </w:r>
    </w:p>
    <w:p w14:paraId="0BC73486" w14:textId="77777777" w:rsidR="007C72FC" w:rsidRPr="007C72FC" w:rsidRDefault="007C72FC" w:rsidP="007C72FC">
      <w:pPr>
        <w:spacing w:after="0" w:line="240" w:lineRule="auto"/>
        <w:ind w:left="709"/>
        <w:jc w:val="both"/>
        <w:rPr>
          <w:rFonts w:ascii="Times New Roman" w:hAnsi="Times New Roman"/>
          <w:sz w:val="24"/>
          <w:szCs w:val="24"/>
          <w:lang w:eastAsia="sk-SK"/>
        </w:rPr>
      </w:pPr>
    </w:p>
    <w:p w14:paraId="7436B718" w14:textId="77777777" w:rsidR="007C72FC" w:rsidRPr="007C72FC" w:rsidRDefault="007C72FC" w:rsidP="007C72FC">
      <w:pPr>
        <w:numPr>
          <w:ilvl w:val="1"/>
          <w:numId w:val="15"/>
        </w:numPr>
        <w:spacing w:after="0" w:line="240" w:lineRule="auto"/>
        <w:ind w:left="709" w:hanging="284"/>
        <w:contextualSpacing/>
        <w:jc w:val="both"/>
        <w:rPr>
          <w:rFonts w:ascii="Times New Roman" w:hAnsi="Times New Roman"/>
          <w:sz w:val="24"/>
          <w:szCs w:val="24"/>
          <w:lang w:eastAsia="sk-SK"/>
        </w:rPr>
      </w:pPr>
      <w:r w:rsidRPr="007C72FC">
        <w:rPr>
          <w:rFonts w:ascii="Times New Roman" w:hAnsi="Times New Roman"/>
          <w:sz w:val="24"/>
          <w:szCs w:val="24"/>
          <w:lang w:eastAsia="sk-SK"/>
        </w:rPr>
        <w:t>uviesť lehotu na prebranie príslušného právneho aktu Európskej únie, príp. aj osobitnú lehotu účinnosti jeho ustanovení: bezpredmetné.</w:t>
      </w:r>
    </w:p>
    <w:p w14:paraId="721AF952" w14:textId="77777777" w:rsidR="007C72FC" w:rsidRPr="007C72FC" w:rsidRDefault="007C72FC" w:rsidP="007C72FC">
      <w:pPr>
        <w:spacing w:after="0"/>
        <w:ind w:left="709"/>
        <w:contextualSpacing/>
        <w:jc w:val="both"/>
        <w:rPr>
          <w:rFonts w:ascii="Times New Roman" w:hAnsi="Times New Roman"/>
          <w:sz w:val="24"/>
          <w:szCs w:val="24"/>
          <w:lang w:eastAsia="sk-SK"/>
        </w:rPr>
      </w:pPr>
    </w:p>
    <w:p w14:paraId="0FDBA452" w14:textId="77777777" w:rsidR="007C72FC" w:rsidRPr="007C72FC" w:rsidRDefault="007C72FC" w:rsidP="007C72FC">
      <w:pPr>
        <w:spacing w:after="0"/>
        <w:ind w:left="709" w:hanging="283"/>
        <w:jc w:val="both"/>
        <w:rPr>
          <w:rFonts w:ascii="Times New Roman" w:hAnsi="Times New Roman"/>
          <w:sz w:val="24"/>
          <w:szCs w:val="24"/>
          <w:lang w:eastAsia="sk-SK"/>
        </w:rPr>
      </w:pPr>
      <w:r w:rsidRPr="007C72FC">
        <w:rPr>
          <w:rFonts w:ascii="Times New Roman" w:hAnsi="Times New Roman"/>
          <w:sz w:val="24"/>
          <w:szCs w:val="24"/>
          <w:lang w:eastAsia="sk-SK"/>
        </w:rPr>
        <w:t xml:space="preserve">b) Proti SR nebolo začaté konanie v rámci „EÚ Pilot“, ani nebol začatý postup EK ako aj  nebolo začaté konanie Súdneho dvora EÚ proti SR podľa čl. 258 až 260 Zmluvy o fungovaní Európskej únie začaté konanie o porušení Zmluvy o fungovaní Európskej únie podľa čl. 258 až 260. </w:t>
      </w:r>
    </w:p>
    <w:p w14:paraId="783B960F" w14:textId="77777777" w:rsidR="007C72FC" w:rsidRPr="007C72FC" w:rsidRDefault="007C72FC" w:rsidP="007C72FC">
      <w:pPr>
        <w:spacing w:after="0"/>
        <w:jc w:val="both"/>
        <w:rPr>
          <w:rFonts w:ascii="Times New Roman" w:hAnsi="Times New Roman"/>
          <w:sz w:val="24"/>
          <w:szCs w:val="24"/>
          <w:lang w:eastAsia="sk-SK"/>
        </w:rPr>
      </w:pPr>
    </w:p>
    <w:p w14:paraId="20F8A71A" w14:textId="77777777" w:rsidR="007C72FC" w:rsidRPr="007C72FC" w:rsidRDefault="007C72FC" w:rsidP="007C72FC">
      <w:pPr>
        <w:spacing w:after="0" w:line="240" w:lineRule="auto"/>
        <w:ind w:left="426"/>
        <w:contextualSpacing/>
        <w:jc w:val="both"/>
        <w:rPr>
          <w:rFonts w:ascii="Times New Roman" w:hAnsi="Times New Roman"/>
          <w:sz w:val="24"/>
          <w:szCs w:val="24"/>
          <w:lang w:eastAsia="sk-SK"/>
        </w:rPr>
      </w:pPr>
      <w:r w:rsidRPr="007C72FC">
        <w:rPr>
          <w:rFonts w:ascii="Times New Roman" w:hAnsi="Times New Roman"/>
          <w:sz w:val="24"/>
          <w:szCs w:val="24"/>
          <w:lang w:eastAsia="sk-SK"/>
        </w:rPr>
        <w:t>c) Smernica (EÚ) 2017/1132 bola prebratá do:</w:t>
      </w:r>
    </w:p>
    <w:p w14:paraId="7E2F486A" w14:textId="77777777" w:rsidR="007C72FC" w:rsidRPr="007C72FC" w:rsidRDefault="007C72FC" w:rsidP="007C72FC">
      <w:pPr>
        <w:numPr>
          <w:ilvl w:val="0"/>
          <w:numId w:val="11"/>
        </w:numPr>
        <w:spacing w:after="0" w:line="240" w:lineRule="auto"/>
        <w:contextualSpacing/>
        <w:jc w:val="both"/>
        <w:rPr>
          <w:rFonts w:ascii="Times New Roman" w:hAnsi="Times New Roman"/>
          <w:sz w:val="24"/>
          <w:szCs w:val="24"/>
          <w:lang w:eastAsia="cs-CZ"/>
        </w:rPr>
      </w:pPr>
      <w:r w:rsidRPr="007C72FC">
        <w:rPr>
          <w:rFonts w:ascii="Times New Roman" w:hAnsi="Times New Roman"/>
          <w:sz w:val="24"/>
          <w:szCs w:val="24"/>
          <w:lang w:eastAsia="sk-SK"/>
        </w:rPr>
        <w:t>zákona č. 513/1991 Zb. Obchodný zákonník v znení neskorších predpisov,</w:t>
      </w:r>
    </w:p>
    <w:p w14:paraId="76F9FEA5" w14:textId="77777777" w:rsidR="007C72FC" w:rsidRPr="007C72FC" w:rsidRDefault="007C72FC" w:rsidP="007C72FC">
      <w:pPr>
        <w:numPr>
          <w:ilvl w:val="0"/>
          <w:numId w:val="11"/>
        </w:numPr>
        <w:spacing w:after="0" w:line="240" w:lineRule="auto"/>
        <w:contextualSpacing/>
        <w:jc w:val="both"/>
        <w:rPr>
          <w:rFonts w:ascii="Times New Roman" w:hAnsi="Times New Roman"/>
          <w:sz w:val="24"/>
          <w:szCs w:val="24"/>
          <w:lang w:eastAsia="cs-CZ"/>
        </w:rPr>
      </w:pPr>
      <w:r w:rsidRPr="007C72FC">
        <w:rPr>
          <w:rFonts w:ascii="Times New Roman" w:hAnsi="Times New Roman"/>
          <w:sz w:val="24"/>
          <w:szCs w:val="24"/>
          <w:lang w:eastAsia="sk-SK"/>
        </w:rPr>
        <w:t>zákona č. 40/1964 Zb. Občiansky zákonník v znení neskorších predpisov,</w:t>
      </w:r>
    </w:p>
    <w:p w14:paraId="6FAAEEC2" w14:textId="77777777" w:rsidR="007C72FC" w:rsidRPr="007C72FC" w:rsidRDefault="007C72FC" w:rsidP="007C72FC">
      <w:pPr>
        <w:numPr>
          <w:ilvl w:val="0"/>
          <w:numId w:val="11"/>
        </w:numPr>
        <w:spacing w:after="0" w:line="240" w:lineRule="auto"/>
        <w:contextualSpacing/>
        <w:jc w:val="both"/>
        <w:rPr>
          <w:rFonts w:ascii="Times New Roman" w:hAnsi="Times New Roman"/>
          <w:sz w:val="24"/>
          <w:szCs w:val="24"/>
          <w:lang w:eastAsia="cs-CZ"/>
        </w:rPr>
      </w:pPr>
      <w:r w:rsidRPr="007C72FC">
        <w:rPr>
          <w:rFonts w:ascii="Times New Roman" w:hAnsi="Times New Roman"/>
          <w:sz w:val="24"/>
          <w:szCs w:val="24"/>
          <w:lang w:eastAsia="cs-CZ"/>
        </w:rPr>
        <w:t>zákona č. 530/2003 Z. z. o obchodnom registri a o zmene a doplnení niektorých zákonov v znení neskorších predpisov,</w:t>
      </w:r>
    </w:p>
    <w:p w14:paraId="0B967B32" w14:textId="77777777" w:rsidR="007C72FC" w:rsidRPr="007C72FC" w:rsidRDefault="007C72FC" w:rsidP="007C72FC">
      <w:pPr>
        <w:numPr>
          <w:ilvl w:val="0"/>
          <w:numId w:val="11"/>
        </w:numPr>
        <w:spacing w:after="0" w:line="240" w:lineRule="auto"/>
        <w:contextualSpacing/>
        <w:jc w:val="both"/>
        <w:rPr>
          <w:rFonts w:ascii="Times New Roman" w:hAnsi="Times New Roman"/>
          <w:sz w:val="24"/>
          <w:szCs w:val="24"/>
          <w:lang w:eastAsia="cs-CZ"/>
        </w:rPr>
      </w:pPr>
      <w:r w:rsidRPr="007C72FC">
        <w:rPr>
          <w:rFonts w:ascii="Times New Roman" w:hAnsi="Times New Roman"/>
          <w:sz w:val="24"/>
          <w:szCs w:val="24"/>
          <w:lang w:eastAsia="sk-SK"/>
        </w:rPr>
        <w:t>zákona č. 431/2002 Z. z. o účtovníctve v znení neskorších predpisov,</w:t>
      </w:r>
    </w:p>
    <w:p w14:paraId="2700E43D" w14:textId="77777777" w:rsidR="007C72FC" w:rsidRPr="007C72FC" w:rsidRDefault="007C72FC" w:rsidP="007C72FC">
      <w:pPr>
        <w:numPr>
          <w:ilvl w:val="0"/>
          <w:numId w:val="11"/>
        </w:numPr>
        <w:spacing w:after="0" w:line="240" w:lineRule="auto"/>
        <w:contextualSpacing/>
        <w:jc w:val="both"/>
        <w:rPr>
          <w:rFonts w:ascii="Times New Roman" w:hAnsi="Times New Roman"/>
          <w:sz w:val="24"/>
          <w:szCs w:val="24"/>
          <w:lang w:eastAsia="cs-CZ"/>
        </w:rPr>
      </w:pPr>
      <w:r w:rsidRPr="007C72FC">
        <w:rPr>
          <w:rFonts w:ascii="Times New Roman" w:hAnsi="Times New Roman"/>
          <w:sz w:val="24"/>
          <w:szCs w:val="24"/>
          <w:lang w:eastAsia="sk-SK"/>
        </w:rPr>
        <w:t>zákona č. 95/2019 Z. z. o informačných technológiách vo verejnej správe a o zmene a doplnení niektorých zákonov v znení neskorších predpisov,</w:t>
      </w:r>
    </w:p>
    <w:p w14:paraId="6840BF0A" w14:textId="77777777" w:rsidR="007C72FC" w:rsidRPr="007C72FC" w:rsidRDefault="007C72FC" w:rsidP="007C72FC">
      <w:pPr>
        <w:numPr>
          <w:ilvl w:val="0"/>
          <w:numId w:val="11"/>
        </w:numPr>
        <w:spacing w:after="0" w:line="240" w:lineRule="auto"/>
        <w:contextualSpacing/>
        <w:jc w:val="both"/>
        <w:rPr>
          <w:rFonts w:ascii="Times New Roman" w:hAnsi="Times New Roman"/>
          <w:sz w:val="24"/>
          <w:szCs w:val="24"/>
          <w:lang w:eastAsia="cs-CZ"/>
        </w:rPr>
      </w:pPr>
      <w:r w:rsidRPr="007C72FC">
        <w:rPr>
          <w:rFonts w:ascii="Times New Roman" w:hAnsi="Times New Roman"/>
          <w:sz w:val="24"/>
          <w:szCs w:val="24"/>
          <w:lang w:eastAsia="sk-SK"/>
        </w:rPr>
        <w:t>zákona Slovenskej národnej rady č. 71/1992 Zb. o súdnych poplatkoch a poplatku za výpis z registra trestov v znení neskorších predpisov,</w:t>
      </w:r>
    </w:p>
    <w:p w14:paraId="16EDDC65" w14:textId="77777777" w:rsidR="007C72FC" w:rsidRPr="007C72FC" w:rsidRDefault="007C72FC" w:rsidP="007C72FC">
      <w:pPr>
        <w:numPr>
          <w:ilvl w:val="0"/>
          <w:numId w:val="11"/>
        </w:numPr>
        <w:spacing w:after="0" w:line="240" w:lineRule="auto"/>
        <w:contextualSpacing/>
        <w:jc w:val="both"/>
        <w:rPr>
          <w:rFonts w:ascii="Times New Roman" w:hAnsi="Times New Roman"/>
          <w:sz w:val="24"/>
          <w:szCs w:val="24"/>
          <w:lang w:eastAsia="cs-CZ"/>
        </w:rPr>
      </w:pPr>
      <w:r w:rsidRPr="007C72FC">
        <w:rPr>
          <w:rFonts w:ascii="Times New Roman" w:hAnsi="Times New Roman"/>
          <w:sz w:val="24"/>
          <w:szCs w:val="24"/>
          <w:lang w:eastAsia="sk-SK"/>
        </w:rPr>
        <w:t>zákona č. 757/2004 Z. z. o súdoch a o zmene a doplnení niektorých zákonov v znení neskorších predpisov,</w:t>
      </w:r>
    </w:p>
    <w:p w14:paraId="3E2CC889" w14:textId="77777777" w:rsidR="007C72FC" w:rsidRPr="007C72FC" w:rsidRDefault="007C72FC" w:rsidP="007C72FC">
      <w:pPr>
        <w:numPr>
          <w:ilvl w:val="0"/>
          <w:numId w:val="11"/>
        </w:numPr>
        <w:spacing w:after="0" w:line="240" w:lineRule="auto"/>
        <w:contextualSpacing/>
        <w:jc w:val="both"/>
        <w:rPr>
          <w:rFonts w:ascii="Times New Roman" w:hAnsi="Times New Roman"/>
          <w:sz w:val="24"/>
          <w:szCs w:val="24"/>
          <w:lang w:eastAsia="cs-CZ"/>
        </w:rPr>
      </w:pPr>
      <w:r w:rsidRPr="007C72FC">
        <w:rPr>
          <w:rFonts w:ascii="Times New Roman" w:hAnsi="Times New Roman"/>
          <w:sz w:val="24"/>
          <w:szCs w:val="24"/>
          <w:lang w:eastAsia="sk-SK"/>
        </w:rPr>
        <w:t>zákona č. 455/1991 Zb. o živnostenskom podnikaní (živnostenský zákon) v znení neskorších predpisov,</w:t>
      </w:r>
    </w:p>
    <w:p w14:paraId="5716124D" w14:textId="77777777" w:rsidR="007C72FC" w:rsidRPr="007C72FC" w:rsidRDefault="007C72FC" w:rsidP="007C72FC">
      <w:pPr>
        <w:numPr>
          <w:ilvl w:val="0"/>
          <w:numId w:val="11"/>
        </w:numPr>
        <w:spacing w:after="0" w:line="240" w:lineRule="auto"/>
        <w:contextualSpacing/>
        <w:jc w:val="both"/>
        <w:rPr>
          <w:rFonts w:ascii="Times New Roman" w:hAnsi="Times New Roman"/>
          <w:sz w:val="24"/>
          <w:szCs w:val="24"/>
          <w:lang w:eastAsia="cs-CZ"/>
        </w:rPr>
      </w:pPr>
      <w:r w:rsidRPr="007C72FC">
        <w:rPr>
          <w:rFonts w:ascii="Times New Roman" w:hAnsi="Times New Roman"/>
          <w:sz w:val="24"/>
          <w:szCs w:val="24"/>
          <w:lang w:eastAsia="sk-SK"/>
        </w:rPr>
        <w:t>zákona č. 305/2013 Z. z. o elektronickej podobe výkonu pôsobnosti orgánov verejnej moci a o zmene a doplnení niektorých zákonov (zákon o e-Governmente) v znení neskorších predpisov</w:t>
      </w:r>
    </w:p>
    <w:p w14:paraId="04C8E859" w14:textId="77777777" w:rsidR="007C72FC" w:rsidRPr="007C72FC" w:rsidRDefault="007C72FC" w:rsidP="007C72FC">
      <w:pPr>
        <w:numPr>
          <w:ilvl w:val="0"/>
          <w:numId w:val="11"/>
        </w:numPr>
        <w:spacing w:after="0" w:line="240" w:lineRule="auto"/>
        <w:contextualSpacing/>
        <w:jc w:val="both"/>
        <w:rPr>
          <w:rFonts w:ascii="Times New Roman" w:hAnsi="Times New Roman"/>
          <w:sz w:val="24"/>
          <w:szCs w:val="24"/>
          <w:lang w:eastAsia="cs-CZ"/>
        </w:rPr>
      </w:pPr>
      <w:r w:rsidRPr="007C72FC">
        <w:rPr>
          <w:rFonts w:ascii="Times New Roman" w:hAnsi="Times New Roman"/>
          <w:sz w:val="24"/>
          <w:szCs w:val="24"/>
          <w:lang w:eastAsia="sk-SK"/>
        </w:rPr>
        <w:t>zákona č. 18/2018 Z. z. o ochrane osobných údajov a o zmene a doplnení niektorých zákonov v znení neskorších predpisov.</w:t>
      </w:r>
    </w:p>
    <w:p w14:paraId="2A863FAD" w14:textId="77777777" w:rsidR="007C72FC" w:rsidRPr="007C72FC" w:rsidRDefault="007C72FC" w:rsidP="007C72FC">
      <w:pPr>
        <w:spacing w:after="0" w:line="240" w:lineRule="auto"/>
        <w:ind w:left="426"/>
        <w:jc w:val="both"/>
        <w:rPr>
          <w:rFonts w:ascii="Times New Roman" w:hAnsi="Times New Roman"/>
          <w:sz w:val="24"/>
          <w:szCs w:val="24"/>
          <w:lang w:eastAsia="sk-SK"/>
        </w:rPr>
      </w:pPr>
    </w:p>
    <w:p w14:paraId="7B45A32A" w14:textId="77777777" w:rsidR="007C72FC" w:rsidRPr="007C72FC" w:rsidRDefault="007C72FC" w:rsidP="007C72FC">
      <w:pPr>
        <w:spacing w:after="0" w:line="240" w:lineRule="auto"/>
        <w:ind w:left="426" w:hanging="426"/>
        <w:jc w:val="both"/>
        <w:rPr>
          <w:rFonts w:ascii="Times New Roman" w:hAnsi="Times New Roman"/>
          <w:sz w:val="24"/>
          <w:szCs w:val="24"/>
          <w:lang w:eastAsia="sk-SK"/>
        </w:rPr>
      </w:pPr>
      <w:r w:rsidRPr="007C72FC">
        <w:rPr>
          <w:rFonts w:ascii="Times New Roman" w:hAnsi="Times New Roman"/>
          <w:b/>
          <w:bCs/>
          <w:sz w:val="24"/>
          <w:szCs w:val="24"/>
          <w:lang w:eastAsia="sk-SK"/>
        </w:rPr>
        <w:t>5.     Návrh zákona je zlučiteľný s právom Európskej únie:</w:t>
      </w:r>
    </w:p>
    <w:p w14:paraId="399181DD" w14:textId="77777777" w:rsidR="007C72FC" w:rsidRPr="007C72FC" w:rsidRDefault="007C72FC" w:rsidP="007C72FC">
      <w:pPr>
        <w:numPr>
          <w:ilvl w:val="1"/>
          <w:numId w:val="15"/>
        </w:numPr>
        <w:tabs>
          <w:tab w:val="num" w:pos="709"/>
        </w:tabs>
        <w:spacing w:after="0" w:line="240" w:lineRule="auto"/>
        <w:contextualSpacing/>
        <w:jc w:val="both"/>
        <w:rPr>
          <w:rFonts w:ascii="Times New Roman" w:hAnsi="Times New Roman"/>
          <w:sz w:val="24"/>
          <w:szCs w:val="24"/>
          <w:lang w:eastAsia="sk-SK"/>
        </w:rPr>
      </w:pPr>
      <w:r w:rsidRPr="007C72FC">
        <w:rPr>
          <w:rFonts w:ascii="Times New Roman" w:hAnsi="Times New Roman"/>
          <w:sz w:val="24"/>
          <w:szCs w:val="24"/>
          <w:lang w:eastAsia="sk-SK"/>
        </w:rPr>
        <w:t>úplne.</w:t>
      </w:r>
    </w:p>
    <w:p w14:paraId="5AE1DD3C" w14:textId="77777777" w:rsidR="007C72FC" w:rsidRPr="007C72FC" w:rsidRDefault="007C72FC" w:rsidP="007C72FC">
      <w:pPr>
        <w:widowControl w:val="0"/>
        <w:autoSpaceDE w:val="0"/>
        <w:autoSpaceDN w:val="0"/>
        <w:adjustRightInd w:val="0"/>
        <w:spacing w:after="0" w:line="240" w:lineRule="auto"/>
        <w:jc w:val="both"/>
        <w:textAlignment w:val="baseline"/>
        <w:rPr>
          <w:rFonts w:ascii="Times New Roman" w:eastAsia="Calibri" w:hAnsi="Times New Roman"/>
          <w:b/>
          <w:bCs/>
          <w:color w:val="000000"/>
          <w:sz w:val="36"/>
          <w:szCs w:val="28"/>
        </w:rPr>
      </w:pPr>
    </w:p>
    <w:p w14:paraId="1770FADE" w14:textId="77777777" w:rsidR="007C72FC" w:rsidRDefault="007C72FC" w:rsidP="00BD372F">
      <w:pPr>
        <w:spacing w:after="0" w:line="240" w:lineRule="auto"/>
        <w:rPr>
          <w:rFonts w:ascii="Calibri" w:eastAsia="Calibri" w:hAnsi="Calibri"/>
          <w:color w:val="000000"/>
          <w:szCs w:val="22"/>
        </w:rPr>
      </w:pPr>
    </w:p>
    <w:p w14:paraId="2D8EA960" w14:textId="77777777" w:rsidR="007C72FC" w:rsidRDefault="007C72FC" w:rsidP="00BD372F">
      <w:pPr>
        <w:spacing w:after="0" w:line="240" w:lineRule="auto"/>
        <w:rPr>
          <w:rFonts w:ascii="Calibri" w:eastAsia="Calibri" w:hAnsi="Calibri"/>
          <w:color w:val="000000"/>
          <w:szCs w:val="22"/>
        </w:rPr>
      </w:pPr>
    </w:p>
    <w:p w14:paraId="29A66A3B" w14:textId="77777777" w:rsidR="007C72FC" w:rsidRDefault="007C72FC" w:rsidP="00BD372F">
      <w:pPr>
        <w:spacing w:after="0" w:line="240" w:lineRule="auto"/>
        <w:rPr>
          <w:rFonts w:ascii="Calibri" w:eastAsia="Calibri" w:hAnsi="Calibri"/>
          <w:color w:val="000000"/>
          <w:szCs w:val="22"/>
        </w:rPr>
      </w:pPr>
    </w:p>
    <w:p w14:paraId="4AEE525E" w14:textId="77777777" w:rsidR="007C72FC" w:rsidRDefault="007C72FC" w:rsidP="00BD372F">
      <w:pPr>
        <w:spacing w:after="0" w:line="240" w:lineRule="auto"/>
        <w:rPr>
          <w:rFonts w:ascii="Calibri" w:eastAsia="Calibri" w:hAnsi="Calibri"/>
          <w:color w:val="000000"/>
          <w:szCs w:val="22"/>
        </w:rPr>
      </w:pPr>
    </w:p>
    <w:p w14:paraId="6962ED7A" w14:textId="77777777" w:rsidR="007C72FC" w:rsidRDefault="007C72FC" w:rsidP="00BD372F">
      <w:pPr>
        <w:spacing w:after="0" w:line="240" w:lineRule="auto"/>
        <w:rPr>
          <w:rFonts w:ascii="Calibri" w:eastAsia="Calibri" w:hAnsi="Calibri"/>
          <w:color w:val="000000"/>
          <w:szCs w:val="22"/>
        </w:rPr>
      </w:pPr>
    </w:p>
    <w:p w14:paraId="316F0A69" w14:textId="77777777" w:rsidR="007C72FC" w:rsidRDefault="007C72FC" w:rsidP="00BD372F">
      <w:pPr>
        <w:spacing w:after="0" w:line="240" w:lineRule="auto"/>
        <w:rPr>
          <w:rFonts w:ascii="Calibri" w:eastAsia="Calibri" w:hAnsi="Calibri"/>
          <w:color w:val="000000"/>
          <w:szCs w:val="22"/>
        </w:rPr>
      </w:pPr>
    </w:p>
    <w:p w14:paraId="6FFC35FB" w14:textId="77777777" w:rsidR="007C72FC" w:rsidRDefault="007C72FC" w:rsidP="00BD372F">
      <w:pPr>
        <w:spacing w:after="0" w:line="240" w:lineRule="auto"/>
        <w:rPr>
          <w:rFonts w:ascii="Calibri" w:eastAsia="Calibri" w:hAnsi="Calibri"/>
          <w:color w:val="000000"/>
          <w:szCs w:val="22"/>
        </w:rPr>
      </w:pPr>
    </w:p>
    <w:p w14:paraId="2365249A" w14:textId="77777777" w:rsidR="007C72FC" w:rsidRDefault="007C72FC" w:rsidP="00BD372F">
      <w:pPr>
        <w:spacing w:after="0" w:line="240" w:lineRule="auto"/>
        <w:rPr>
          <w:rFonts w:ascii="Calibri" w:eastAsia="Calibri" w:hAnsi="Calibri"/>
          <w:color w:val="000000"/>
          <w:szCs w:val="22"/>
        </w:rPr>
      </w:pPr>
    </w:p>
    <w:p w14:paraId="1AE555EA" w14:textId="77777777" w:rsidR="007C72FC" w:rsidRDefault="007C72FC" w:rsidP="00BD372F">
      <w:pPr>
        <w:spacing w:after="0" w:line="240" w:lineRule="auto"/>
        <w:rPr>
          <w:rFonts w:ascii="Calibri" w:eastAsia="Calibri" w:hAnsi="Calibri"/>
          <w:color w:val="000000"/>
          <w:szCs w:val="22"/>
        </w:rPr>
      </w:pPr>
    </w:p>
    <w:p w14:paraId="6DACBD55" w14:textId="77777777" w:rsidR="007C72FC" w:rsidRDefault="007C72FC" w:rsidP="00BD372F">
      <w:pPr>
        <w:spacing w:after="0" w:line="240" w:lineRule="auto"/>
        <w:rPr>
          <w:rFonts w:ascii="Calibri" w:eastAsia="Calibri" w:hAnsi="Calibri"/>
          <w:color w:val="000000"/>
          <w:szCs w:val="22"/>
        </w:rPr>
      </w:pPr>
    </w:p>
    <w:p w14:paraId="6D140033" w14:textId="77777777" w:rsidR="007C72FC" w:rsidRDefault="007C72FC" w:rsidP="00BD372F">
      <w:pPr>
        <w:spacing w:after="0" w:line="240" w:lineRule="auto"/>
        <w:rPr>
          <w:rFonts w:ascii="Calibri" w:eastAsia="Calibri" w:hAnsi="Calibri"/>
          <w:color w:val="000000"/>
          <w:szCs w:val="22"/>
        </w:rPr>
      </w:pPr>
    </w:p>
    <w:p w14:paraId="54E10A1B" w14:textId="77777777" w:rsidR="007C72FC" w:rsidRDefault="007C72FC" w:rsidP="00BD372F">
      <w:pPr>
        <w:spacing w:after="0" w:line="240" w:lineRule="auto"/>
        <w:rPr>
          <w:rFonts w:ascii="Calibri" w:eastAsia="Calibri" w:hAnsi="Calibri"/>
          <w:color w:val="000000"/>
          <w:szCs w:val="22"/>
        </w:rPr>
      </w:pPr>
    </w:p>
    <w:p w14:paraId="302BEA8F" w14:textId="77777777" w:rsidR="007C72FC" w:rsidRDefault="007C72FC" w:rsidP="00BD372F">
      <w:pPr>
        <w:spacing w:after="0" w:line="240" w:lineRule="auto"/>
        <w:rPr>
          <w:rFonts w:ascii="Calibri" w:eastAsia="Calibri" w:hAnsi="Calibri"/>
          <w:color w:val="000000"/>
          <w:szCs w:val="22"/>
        </w:rPr>
      </w:pPr>
    </w:p>
    <w:p w14:paraId="5D2FAC8D" w14:textId="77777777" w:rsidR="007C72FC" w:rsidRDefault="007C72FC" w:rsidP="00BD372F">
      <w:pPr>
        <w:spacing w:after="0" w:line="240" w:lineRule="auto"/>
        <w:rPr>
          <w:rFonts w:ascii="Calibri" w:eastAsia="Calibri" w:hAnsi="Calibri"/>
          <w:color w:val="000000"/>
          <w:szCs w:val="22"/>
        </w:rPr>
      </w:pPr>
    </w:p>
    <w:p w14:paraId="33A30082" w14:textId="77777777" w:rsidR="007C72FC" w:rsidRDefault="007C72FC" w:rsidP="00BD372F">
      <w:pPr>
        <w:spacing w:after="0" w:line="240" w:lineRule="auto"/>
        <w:rPr>
          <w:rFonts w:ascii="Calibri" w:eastAsia="Calibri" w:hAnsi="Calibri"/>
          <w:color w:val="000000"/>
          <w:szCs w:val="22"/>
        </w:rPr>
      </w:pPr>
    </w:p>
    <w:p w14:paraId="24BA9B19" w14:textId="77777777" w:rsidR="007C72FC" w:rsidRDefault="007C72FC" w:rsidP="00BD372F">
      <w:pPr>
        <w:spacing w:after="0" w:line="240" w:lineRule="auto"/>
        <w:rPr>
          <w:rFonts w:ascii="Calibri" w:eastAsia="Calibri" w:hAnsi="Calibri"/>
          <w:color w:val="000000"/>
          <w:szCs w:val="22"/>
        </w:rPr>
      </w:pPr>
    </w:p>
    <w:p w14:paraId="25FF42D0" w14:textId="77777777" w:rsidR="007C72FC" w:rsidRDefault="007C72FC" w:rsidP="00BD372F">
      <w:pPr>
        <w:spacing w:after="0" w:line="240" w:lineRule="auto"/>
        <w:rPr>
          <w:rFonts w:ascii="Calibri" w:eastAsia="Calibri" w:hAnsi="Calibri"/>
          <w:color w:val="000000"/>
          <w:szCs w:val="22"/>
        </w:rPr>
      </w:pPr>
    </w:p>
    <w:p w14:paraId="09D1C609" w14:textId="77777777" w:rsidR="007C72FC" w:rsidRDefault="007C72FC" w:rsidP="00BD372F">
      <w:pPr>
        <w:spacing w:after="0" w:line="240" w:lineRule="auto"/>
        <w:rPr>
          <w:rFonts w:ascii="Calibri" w:eastAsia="Calibri" w:hAnsi="Calibri"/>
          <w:color w:val="000000"/>
          <w:szCs w:val="22"/>
        </w:rPr>
      </w:pPr>
    </w:p>
    <w:p w14:paraId="51A0FD92" w14:textId="77777777" w:rsidR="007C72FC" w:rsidRDefault="007C72FC" w:rsidP="00BD372F">
      <w:pPr>
        <w:spacing w:after="0" w:line="240" w:lineRule="auto"/>
        <w:rPr>
          <w:rFonts w:ascii="Calibri" w:eastAsia="Calibri" w:hAnsi="Calibri"/>
          <w:color w:val="000000"/>
          <w:szCs w:val="22"/>
        </w:rPr>
      </w:pPr>
    </w:p>
    <w:p w14:paraId="53A61FC3" w14:textId="77777777" w:rsidR="007C72FC" w:rsidRDefault="007C72FC" w:rsidP="00BD372F">
      <w:pPr>
        <w:spacing w:after="0" w:line="240" w:lineRule="auto"/>
        <w:rPr>
          <w:rFonts w:ascii="Calibri" w:eastAsia="Calibri" w:hAnsi="Calibri"/>
          <w:color w:val="000000"/>
          <w:szCs w:val="22"/>
        </w:rPr>
      </w:pPr>
    </w:p>
    <w:p w14:paraId="2E04C803" w14:textId="77777777" w:rsidR="007C72FC" w:rsidRDefault="007C72FC" w:rsidP="00BD372F">
      <w:pPr>
        <w:spacing w:after="0" w:line="240" w:lineRule="auto"/>
        <w:rPr>
          <w:rFonts w:ascii="Calibri" w:eastAsia="Calibri" w:hAnsi="Calibri"/>
          <w:color w:val="000000"/>
          <w:szCs w:val="22"/>
        </w:rPr>
      </w:pPr>
    </w:p>
    <w:p w14:paraId="44F636D6" w14:textId="77777777" w:rsidR="007C72FC" w:rsidRDefault="007C72FC" w:rsidP="00BD372F">
      <w:pPr>
        <w:spacing w:after="0" w:line="240" w:lineRule="auto"/>
        <w:rPr>
          <w:rFonts w:ascii="Calibri" w:eastAsia="Calibri" w:hAnsi="Calibri"/>
          <w:color w:val="000000"/>
          <w:szCs w:val="22"/>
        </w:rPr>
      </w:pPr>
    </w:p>
    <w:p w14:paraId="5CFA6E7A" w14:textId="77777777" w:rsidR="007C72FC" w:rsidRDefault="007C72FC" w:rsidP="00BD372F">
      <w:pPr>
        <w:spacing w:after="0" w:line="240" w:lineRule="auto"/>
        <w:rPr>
          <w:rFonts w:ascii="Calibri" w:eastAsia="Calibri" w:hAnsi="Calibri"/>
          <w:color w:val="000000"/>
          <w:szCs w:val="22"/>
        </w:rPr>
      </w:pPr>
    </w:p>
    <w:p w14:paraId="0CEDEFEB" w14:textId="77777777" w:rsidR="007C72FC" w:rsidRDefault="007C72FC" w:rsidP="00BD372F">
      <w:pPr>
        <w:spacing w:after="0" w:line="240" w:lineRule="auto"/>
        <w:rPr>
          <w:rFonts w:ascii="Calibri" w:eastAsia="Calibri" w:hAnsi="Calibri"/>
          <w:color w:val="000000"/>
          <w:szCs w:val="22"/>
        </w:rPr>
      </w:pPr>
    </w:p>
    <w:p w14:paraId="3C9FFC75" w14:textId="77777777" w:rsidR="007C72FC" w:rsidRDefault="007C72FC" w:rsidP="00BD372F">
      <w:pPr>
        <w:spacing w:after="0" w:line="240" w:lineRule="auto"/>
        <w:rPr>
          <w:rFonts w:ascii="Calibri" w:eastAsia="Calibri" w:hAnsi="Calibri"/>
          <w:color w:val="000000"/>
          <w:szCs w:val="22"/>
        </w:rPr>
      </w:pPr>
    </w:p>
    <w:p w14:paraId="31A35FCA" w14:textId="77777777" w:rsidR="007C72FC" w:rsidRDefault="007C72FC" w:rsidP="00BD372F">
      <w:pPr>
        <w:spacing w:after="0" w:line="240" w:lineRule="auto"/>
        <w:rPr>
          <w:rFonts w:ascii="Calibri" w:eastAsia="Calibri" w:hAnsi="Calibri"/>
          <w:color w:val="000000"/>
          <w:szCs w:val="22"/>
        </w:rPr>
      </w:pPr>
    </w:p>
    <w:p w14:paraId="565AE68B" w14:textId="77777777" w:rsidR="007C72FC" w:rsidRPr="00BD372F" w:rsidRDefault="007C72FC" w:rsidP="00BD372F">
      <w:pPr>
        <w:spacing w:after="0" w:line="240" w:lineRule="auto"/>
        <w:rPr>
          <w:rFonts w:ascii="Calibri" w:eastAsia="Calibri" w:hAnsi="Calibri"/>
          <w:color w:val="000000"/>
          <w:szCs w:val="22"/>
        </w:rPr>
      </w:pPr>
    </w:p>
    <w:p w14:paraId="375357F1" w14:textId="77777777" w:rsidR="00BD372F" w:rsidRDefault="00BD372F" w:rsidP="000A3AFC">
      <w:pPr>
        <w:pStyle w:val="Normlnywebov"/>
        <w:spacing w:before="0" w:beforeAutospacing="0" w:after="0" w:afterAutospacing="0"/>
        <w:jc w:val="both"/>
      </w:pPr>
    </w:p>
    <w:p w14:paraId="1FDEF662" w14:textId="77777777" w:rsidR="00BD372F" w:rsidRDefault="00BD372F" w:rsidP="000A3AFC">
      <w:pPr>
        <w:pStyle w:val="Normlnywebov"/>
        <w:spacing w:before="0" w:beforeAutospacing="0" w:after="0" w:afterAutospacing="0"/>
        <w:jc w:val="both"/>
      </w:pPr>
    </w:p>
    <w:p w14:paraId="32F15074" w14:textId="77777777" w:rsidR="00BD372F" w:rsidRDefault="00BD372F" w:rsidP="000A3AFC">
      <w:pPr>
        <w:pStyle w:val="Normlnywebov"/>
        <w:spacing w:before="0" w:beforeAutospacing="0" w:after="0" w:afterAutospacing="0"/>
        <w:jc w:val="both"/>
      </w:pPr>
    </w:p>
    <w:p w14:paraId="46920F39" w14:textId="77777777" w:rsidR="00BD372F" w:rsidRDefault="00BD372F" w:rsidP="000A3AFC">
      <w:pPr>
        <w:pStyle w:val="Normlnywebov"/>
        <w:spacing w:before="0" w:beforeAutospacing="0" w:after="0" w:afterAutospacing="0"/>
        <w:jc w:val="both"/>
      </w:pPr>
    </w:p>
    <w:p w14:paraId="0BCAFB31" w14:textId="77777777" w:rsidR="00BD372F" w:rsidRDefault="00BD372F" w:rsidP="000A3AFC">
      <w:pPr>
        <w:pStyle w:val="Normlnywebov"/>
        <w:spacing w:before="0" w:beforeAutospacing="0" w:after="0" w:afterAutospacing="0"/>
        <w:jc w:val="both"/>
      </w:pPr>
    </w:p>
    <w:p w14:paraId="47FC520B" w14:textId="77777777" w:rsidR="00BD372F" w:rsidRDefault="00BD372F" w:rsidP="000A3AFC">
      <w:pPr>
        <w:pStyle w:val="Normlnywebov"/>
        <w:spacing w:before="0" w:beforeAutospacing="0" w:after="0" w:afterAutospacing="0"/>
        <w:jc w:val="both"/>
      </w:pPr>
    </w:p>
    <w:p w14:paraId="058D978F" w14:textId="77777777" w:rsidR="000A6C03" w:rsidRPr="00F259B1" w:rsidRDefault="000A6C03" w:rsidP="000A6C03">
      <w:pPr>
        <w:spacing w:after="0"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B</w:t>
      </w:r>
      <w:r w:rsidRPr="00F259B1">
        <w:rPr>
          <w:rFonts w:ascii="Times New Roman" w:hAnsi="Times New Roman"/>
          <w:b/>
          <w:color w:val="000000" w:themeColor="text1"/>
          <w:sz w:val="24"/>
          <w:szCs w:val="24"/>
        </w:rPr>
        <w:t>. Osobitná časť</w:t>
      </w:r>
    </w:p>
    <w:p w14:paraId="23FBFBD4" w14:textId="77777777" w:rsidR="000A6C03" w:rsidRDefault="000A6C03" w:rsidP="000A6C03">
      <w:pPr>
        <w:spacing w:after="0" w:line="240" w:lineRule="auto"/>
        <w:jc w:val="both"/>
        <w:rPr>
          <w:rFonts w:ascii="Times New Roman" w:hAnsi="Times New Roman"/>
          <w:color w:val="000000"/>
          <w:sz w:val="24"/>
          <w:szCs w:val="24"/>
        </w:rPr>
      </w:pPr>
    </w:p>
    <w:p w14:paraId="14F8B44F" w14:textId="77777777" w:rsidR="000A6C03" w:rsidRPr="00064DD2" w:rsidRDefault="000A6C03" w:rsidP="000A6C03">
      <w:pPr>
        <w:spacing w:after="0" w:line="240" w:lineRule="auto"/>
        <w:jc w:val="both"/>
        <w:rPr>
          <w:rFonts w:ascii="Times New Roman" w:hAnsi="Times New Roman"/>
          <w:color w:val="000000"/>
          <w:sz w:val="24"/>
          <w:szCs w:val="24"/>
        </w:rPr>
      </w:pPr>
    </w:p>
    <w:p w14:paraId="2429E855" w14:textId="77777777" w:rsidR="000A6C03" w:rsidRPr="00064DD2" w:rsidRDefault="000A6C03" w:rsidP="000A6C03">
      <w:pPr>
        <w:spacing w:after="0" w:line="240" w:lineRule="auto"/>
        <w:jc w:val="both"/>
        <w:rPr>
          <w:rFonts w:ascii="Times New Roman" w:hAnsi="Times New Roman"/>
          <w:b/>
          <w:sz w:val="24"/>
          <w:szCs w:val="24"/>
        </w:rPr>
      </w:pPr>
      <w:r w:rsidRPr="00064DD2">
        <w:rPr>
          <w:rFonts w:ascii="Times New Roman" w:hAnsi="Times New Roman"/>
          <w:b/>
          <w:sz w:val="24"/>
          <w:szCs w:val="24"/>
        </w:rPr>
        <w:t>K Čl. I</w:t>
      </w:r>
      <w:r>
        <w:rPr>
          <w:rFonts w:ascii="Times New Roman" w:hAnsi="Times New Roman"/>
          <w:b/>
          <w:sz w:val="24"/>
          <w:szCs w:val="24"/>
        </w:rPr>
        <w:t xml:space="preserve"> </w:t>
      </w:r>
      <w:r w:rsidRPr="008F76DC">
        <w:rPr>
          <w:rFonts w:ascii="Times New Roman" w:hAnsi="Times New Roman"/>
          <w:bCs/>
          <w:sz w:val="24"/>
          <w:szCs w:val="24"/>
        </w:rPr>
        <w:t>(zákon SNR č. 71/1992 Zb. o súdnych poplatkoch a poplatku za výpis z registra trestov</w:t>
      </w:r>
      <w:r>
        <w:rPr>
          <w:rFonts w:ascii="Times New Roman" w:hAnsi="Times New Roman"/>
          <w:bCs/>
          <w:sz w:val="24"/>
          <w:szCs w:val="24"/>
        </w:rPr>
        <w:t>)</w:t>
      </w:r>
      <w:r w:rsidRPr="008F76DC">
        <w:rPr>
          <w:rFonts w:ascii="Times New Roman" w:hAnsi="Times New Roman"/>
          <w:bCs/>
          <w:sz w:val="24"/>
          <w:szCs w:val="24"/>
        </w:rPr>
        <w:t xml:space="preserve"> </w:t>
      </w:r>
    </w:p>
    <w:p w14:paraId="76C2D01B" w14:textId="77777777" w:rsidR="000A6C03" w:rsidRDefault="000A6C03" w:rsidP="000A6C03">
      <w:pPr>
        <w:spacing w:after="0" w:line="240" w:lineRule="auto"/>
        <w:jc w:val="both"/>
        <w:rPr>
          <w:rFonts w:ascii="Times New Roman" w:hAnsi="Times New Roman"/>
          <w:sz w:val="24"/>
          <w:szCs w:val="24"/>
          <w:u w:val="single"/>
        </w:rPr>
      </w:pPr>
    </w:p>
    <w:p w14:paraId="2AB683BC" w14:textId="77777777" w:rsidR="000A6C03" w:rsidRPr="00C0677F" w:rsidRDefault="000A6C03" w:rsidP="000A6C03">
      <w:pPr>
        <w:spacing w:after="0" w:line="240" w:lineRule="auto"/>
        <w:jc w:val="both"/>
        <w:rPr>
          <w:rFonts w:ascii="Times New Roman" w:hAnsi="Times New Roman"/>
          <w:sz w:val="24"/>
          <w:szCs w:val="24"/>
          <w:u w:val="single"/>
        </w:rPr>
      </w:pPr>
      <w:r w:rsidRPr="00C0677F">
        <w:rPr>
          <w:rFonts w:ascii="Times New Roman" w:hAnsi="Times New Roman"/>
          <w:sz w:val="24"/>
          <w:szCs w:val="24"/>
          <w:u w:val="single"/>
        </w:rPr>
        <w:t xml:space="preserve">K bodu </w:t>
      </w:r>
      <w:r>
        <w:rPr>
          <w:rFonts w:ascii="Times New Roman" w:hAnsi="Times New Roman"/>
          <w:sz w:val="24"/>
          <w:szCs w:val="24"/>
          <w:u w:val="single"/>
        </w:rPr>
        <w:t>1</w:t>
      </w:r>
      <w:r w:rsidRPr="00C0677F">
        <w:rPr>
          <w:rFonts w:ascii="Times New Roman" w:hAnsi="Times New Roman"/>
          <w:sz w:val="24"/>
          <w:szCs w:val="24"/>
          <w:u w:val="single"/>
        </w:rPr>
        <w:t xml:space="preserve"> (§</w:t>
      </w:r>
      <w:r>
        <w:rPr>
          <w:rFonts w:ascii="Times New Roman" w:hAnsi="Times New Roman"/>
          <w:sz w:val="24"/>
          <w:szCs w:val="24"/>
          <w:u w:val="single"/>
        </w:rPr>
        <w:t xml:space="preserve"> 9</w:t>
      </w:r>
      <w:r w:rsidRPr="00C0677F">
        <w:rPr>
          <w:rFonts w:ascii="Times New Roman" w:hAnsi="Times New Roman"/>
          <w:sz w:val="24"/>
          <w:szCs w:val="24"/>
          <w:u w:val="single"/>
        </w:rPr>
        <w:t>):</w:t>
      </w:r>
    </w:p>
    <w:p w14:paraId="36E89ABD" w14:textId="77777777" w:rsidR="000A6C03" w:rsidRDefault="000A6C03" w:rsidP="000A6C03">
      <w:pPr>
        <w:spacing w:after="0" w:line="240" w:lineRule="auto"/>
        <w:jc w:val="both"/>
        <w:rPr>
          <w:rFonts w:ascii="Times New Roman" w:hAnsi="Times New Roman"/>
          <w:sz w:val="24"/>
          <w:szCs w:val="24"/>
        </w:rPr>
      </w:pPr>
      <w:r>
        <w:rPr>
          <w:rFonts w:ascii="Times New Roman" w:hAnsi="Times New Roman"/>
          <w:sz w:val="24"/>
          <w:szCs w:val="24"/>
        </w:rPr>
        <w:t xml:space="preserve">Vzhľadom na nové rozdelenie súdov, orgánov štátnej správy súdov a orgánov prokuratúry (ďalej aj „orgán podľa § 3“), ktorým sa poplatky platia prostredníctvom centrálneho systému evidencie poplatkov prevádzkovateľa systému alebo prostredníctvom centrálneho systému evidencie poplatkov Štátnej pokladnice, je vhodné ustanovenie celého paragrafu do nového znenia. S implementáciou nového centrálneho systému evidencie poplatkov Štátnej pokladnice budú súvisieť určité zmeny v procesoch vyplývajúce z technického riešenia, avšak z pohľadu poplatníka možnosti voľby spôsobu úhrady rôznymi platobnými kanálmi zostávajú zachované. </w:t>
      </w:r>
    </w:p>
    <w:p w14:paraId="14851D87" w14:textId="77777777" w:rsidR="000A6C03" w:rsidRDefault="000A6C03" w:rsidP="000A6C03">
      <w:pPr>
        <w:spacing w:after="0" w:line="240" w:lineRule="auto"/>
        <w:jc w:val="both"/>
        <w:rPr>
          <w:rFonts w:ascii="Times New Roman" w:hAnsi="Times New Roman"/>
          <w:sz w:val="24"/>
          <w:szCs w:val="24"/>
        </w:rPr>
      </w:pPr>
      <w:r>
        <w:rPr>
          <w:rFonts w:ascii="Times New Roman" w:hAnsi="Times New Roman"/>
          <w:sz w:val="24"/>
          <w:szCs w:val="24"/>
        </w:rPr>
        <w:t xml:space="preserve">Navrhuje sa v zákone definovať pojem platobný predpis, ako základný prostriedok na sprostredkovanie platobnej inštrukcie medzi orgánom podľa § 3 a poplatníkom. Platobný predpis na seba viaže kompletnú sadu informácií vzťahujúcich sa k spoplatnenému úkonu alebo konaniu orgánu podľa § 3, ktorý je súčasne elektronickým záznamom v centrálnej evidencii poplatkov, avšak pre poplatníka po sprístupnení nadobúda formu listinného dokumentu alebo elektronického dokumentu. Ustanovenia o tom, ktorému súdu sa poplatok platí, ostávajú </w:t>
      </w:r>
      <w:r w:rsidRPr="00313774">
        <w:rPr>
          <w:rFonts w:ascii="Times New Roman" w:hAnsi="Times New Roman"/>
          <w:sz w:val="24"/>
          <w:szCs w:val="24"/>
        </w:rPr>
        <w:t xml:space="preserve">bez zmeny. </w:t>
      </w:r>
      <w:r>
        <w:rPr>
          <w:rFonts w:ascii="Times New Roman" w:hAnsi="Times New Roman"/>
          <w:sz w:val="24"/>
          <w:szCs w:val="24"/>
        </w:rPr>
        <w:t xml:space="preserve">Rovnako zavedením definície </w:t>
      </w:r>
      <w:r w:rsidRPr="006500F7">
        <w:rPr>
          <w:rFonts w:ascii="Times New Roman" w:hAnsi="Times New Roman"/>
          <w:sz w:val="24"/>
          <w:szCs w:val="24"/>
        </w:rPr>
        <w:t>platobného predpisu nie sú dotknuté ustanovenia § 5 o vzniku poplatkovej povinnosti. Platenie poplatkov vo veci obchodného registra zostáva bez zmeny. Zároveň sa navrhuje náhradné riešenie</w:t>
      </w:r>
      <w:r>
        <w:rPr>
          <w:rFonts w:ascii="Times New Roman" w:hAnsi="Times New Roman"/>
          <w:sz w:val="24"/>
          <w:szCs w:val="24"/>
        </w:rPr>
        <w:t xml:space="preserve"> uskutočňovania platieb za úkony a konania orgánov podľa § 3 v prípade nepredvídanej a výnimočnej nedostupnosti služieb centrálneho systému. </w:t>
      </w:r>
    </w:p>
    <w:p w14:paraId="51CA87DA" w14:textId="77777777" w:rsidR="000A6C03" w:rsidRDefault="000A6C03" w:rsidP="000A6C03">
      <w:pPr>
        <w:spacing w:after="0" w:line="240" w:lineRule="auto"/>
        <w:jc w:val="both"/>
        <w:rPr>
          <w:rFonts w:ascii="Times New Roman" w:hAnsi="Times New Roman"/>
          <w:sz w:val="24"/>
          <w:szCs w:val="24"/>
        </w:rPr>
      </w:pPr>
    </w:p>
    <w:p w14:paraId="61CA9ECB" w14:textId="77777777" w:rsidR="000A6C03" w:rsidRDefault="000A6C03" w:rsidP="000A6C03">
      <w:pPr>
        <w:spacing w:after="0" w:line="240" w:lineRule="auto"/>
        <w:jc w:val="both"/>
        <w:rPr>
          <w:rFonts w:ascii="Times New Roman" w:hAnsi="Times New Roman"/>
          <w:sz w:val="24"/>
          <w:szCs w:val="24"/>
        </w:rPr>
      </w:pPr>
      <w:r>
        <w:rPr>
          <w:rFonts w:ascii="Times New Roman" w:hAnsi="Times New Roman"/>
          <w:sz w:val="24"/>
          <w:szCs w:val="24"/>
        </w:rPr>
        <w:t>Vo vzťahu k ustanoveniu „</w:t>
      </w:r>
      <w:r w:rsidRPr="00841532">
        <w:rPr>
          <w:rFonts w:ascii="Times New Roman" w:hAnsi="Times New Roman"/>
          <w:sz w:val="24"/>
          <w:szCs w:val="24"/>
        </w:rPr>
        <w:t xml:space="preserve">Platbu v hotovosti alebo platobnou kartou na orgáne </w:t>
      </w:r>
      <w:r>
        <w:rPr>
          <w:rFonts w:ascii="Times New Roman" w:hAnsi="Times New Roman"/>
          <w:sz w:val="24"/>
          <w:szCs w:val="24"/>
        </w:rPr>
        <w:t xml:space="preserve">podľa § 3 </w:t>
      </w:r>
      <w:r w:rsidRPr="00841532">
        <w:rPr>
          <w:rFonts w:ascii="Times New Roman" w:hAnsi="Times New Roman"/>
          <w:sz w:val="24"/>
          <w:szCs w:val="24"/>
        </w:rPr>
        <w:t xml:space="preserve">možno vykonať, ak </w:t>
      </w:r>
      <w:r>
        <w:rPr>
          <w:rFonts w:ascii="Times New Roman" w:hAnsi="Times New Roman"/>
          <w:sz w:val="24"/>
          <w:szCs w:val="24"/>
        </w:rPr>
        <w:t>tento</w:t>
      </w:r>
      <w:r w:rsidRPr="00841532">
        <w:rPr>
          <w:rFonts w:ascii="Times New Roman" w:hAnsi="Times New Roman"/>
          <w:sz w:val="24"/>
          <w:szCs w:val="24"/>
        </w:rPr>
        <w:t xml:space="preserve"> orgán má na tieto spôsoby platby vytvorené technické podmienky</w:t>
      </w:r>
      <w:r>
        <w:rPr>
          <w:rFonts w:ascii="Times New Roman" w:hAnsi="Times New Roman"/>
          <w:sz w:val="24"/>
          <w:szCs w:val="24"/>
        </w:rPr>
        <w:t>.“ v odsekoch 3 a 4 je potrebné uviesť, že p</w:t>
      </w:r>
      <w:r w:rsidRPr="00841532">
        <w:rPr>
          <w:rFonts w:ascii="Times New Roman" w:hAnsi="Times New Roman"/>
          <w:sz w:val="24"/>
          <w:szCs w:val="24"/>
        </w:rPr>
        <w:t xml:space="preserve">latba hotovosťou sa </w:t>
      </w:r>
      <w:r>
        <w:rPr>
          <w:rFonts w:ascii="Times New Roman" w:hAnsi="Times New Roman"/>
          <w:sz w:val="24"/>
          <w:szCs w:val="24"/>
        </w:rPr>
        <w:t>podľa</w:t>
      </w:r>
      <w:r w:rsidRPr="00841532">
        <w:rPr>
          <w:rFonts w:ascii="Times New Roman" w:hAnsi="Times New Roman"/>
          <w:sz w:val="24"/>
          <w:szCs w:val="24"/>
        </w:rPr>
        <w:t xml:space="preserve"> Ústavy SR garantuje, </w:t>
      </w:r>
      <w:r>
        <w:rPr>
          <w:rFonts w:ascii="Times New Roman" w:hAnsi="Times New Roman"/>
          <w:sz w:val="24"/>
          <w:szCs w:val="24"/>
        </w:rPr>
        <w:t>ale l</w:t>
      </w:r>
      <w:r w:rsidRPr="00841532">
        <w:rPr>
          <w:rFonts w:ascii="Times New Roman" w:hAnsi="Times New Roman"/>
          <w:sz w:val="24"/>
          <w:szCs w:val="24"/>
        </w:rPr>
        <w:t xml:space="preserve">ogicky sa právo na hotovosť </w:t>
      </w:r>
      <w:r>
        <w:rPr>
          <w:rFonts w:ascii="Times New Roman" w:hAnsi="Times New Roman"/>
          <w:sz w:val="24"/>
          <w:szCs w:val="24"/>
        </w:rPr>
        <w:t xml:space="preserve">alebo aj právo na platbu platobnou kartou </w:t>
      </w:r>
      <w:r w:rsidRPr="00841532">
        <w:rPr>
          <w:rFonts w:ascii="Times New Roman" w:hAnsi="Times New Roman"/>
          <w:sz w:val="24"/>
          <w:szCs w:val="24"/>
        </w:rPr>
        <w:t xml:space="preserve">nedá </w:t>
      </w:r>
      <w:r>
        <w:rPr>
          <w:rFonts w:ascii="Times New Roman" w:hAnsi="Times New Roman"/>
          <w:sz w:val="24"/>
          <w:szCs w:val="24"/>
        </w:rPr>
        <w:t xml:space="preserve">na súde, orgáne štátnej správy súdov a prokuratúre </w:t>
      </w:r>
      <w:r w:rsidRPr="00841532">
        <w:rPr>
          <w:rFonts w:ascii="Times New Roman" w:hAnsi="Times New Roman"/>
          <w:sz w:val="24"/>
          <w:szCs w:val="24"/>
        </w:rPr>
        <w:t xml:space="preserve">vykonávať v režime 24/7 a nie na každom </w:t>
      </w:r>
      <w:r>
        <w:rPr>
          <w:rFonts w:ascii="Times New Roman" w:hAnsi="Times New Roman"/>
          <w:sz w:val="24"/>
          <w:szCs w:val="24"/>
        </w:rPr>
        <w:t>pracovisku (úradnej priehradke)</w:t>
      </w:r>
      <w:r w:rsidRPr="00841532">
        <w:rPr>
          <w:rFonts w:ascii="Times New Roman" w:hAnsi="Times New Roman"/>
          <w:sz w:val="24"/>
          <w:szCs w:val="24"/>
        </w:rPr>
        <w:t xml:space="preserve">, pretože je to neefektívne a nákladovo náročné. </w:t>
      </w:r>
      <w:r>
        <w:rPr>
          <w:rFonts w:ascii="Times New Roman" w:hAnsi="Times New Roman"/>
          <w:sz w:val="24"/>
          <w:szCs w:val="24"/>
        </w:rPr>
        <w:t xml:space="preserve">V súčasnosti je </w:t>
      </w:r>
      <w:r w:rsidRPr="00841532">
        <w:rPr>
          <w:rFonts w:ascii="Times New Roman" w:hAnsi="Times New Roman"/>
          <w:sz w:val="24"/>
          <w:szCs w:val="24"/>
        </w:rPr>
        <w:t xml:space="preserve">na Slovensku cca 300 </w:t>
      </w:r>
      <w:r>
        <w:rPr>
          <w:rFonts w:ascii="Times New Roman" w:hAnsi="Times New Roman"/>
          <w:sz w:val="24"/>
          <w:szCs w:val="24"/>
        </w:rPr>
        <w:t xml:space="preserve">pobočiek </w:t>
      </w:r>
      <w:r w:rsidRPr="00841532">
        <w:rPr>
          <w:rFonts w:ascii="Times New Roman" w:hAnsi="Times New Roman"/>
          <w:sz w:val="24"/>
          <w:szCs w:val="24"/>
        </w:rPr>
        <w:t>pôšt, kde sa dajú platiť poplatky</w:t>
      </w:r>
      <w:r>
        <w:rPr>
          <w:rFonts w:ascii="Times New Roman" w:hAnsi="Times New Roman"/>
          <w:sz w:val="24"/>
          <w:szCs w:val="24"/>
        </w:rPr>
        <w:t xml:space="preserve"> hotovosťou alebo platobnou kartou</w:t>
      </w:r>
      <w:r w:rsidRPr="00841532">
        <w:rPr>
          <w:rFonts w:ascii="Times New Roman" w:hAnsi="Times New Roman"/>
          <w:sz w:val="24"/>
          <w:szCs w:val="24"/>
        </w:rPr>
        <w:t xml:space="preserve"> a</w:t>
      </w:r>
      <w:r>
        <w:rPr>
          <w:rFonts w:ascii="Times New Roman" w:hAnsi="Times New Roman"/>
          <w:sz w:val="24"/>
          <w:szCs w:val="24"/>
        </w:rPr>
        <w:t> </w:t>
      </w:r>
      <w:r w:rsidRPr="00841532">
        <w:rPr>
          <w:rFonts w:ascii="Times New Roman" w:hAnsi="Times New Roman"/>
          <w:sz w:val="24"/>
          <w:szCs w:val="24"/>
        </w:rPr>
        <w:t xml:space="preserve">k tomu je 176 hotovostných kioskov priamo na úradoch. Sieť </w:t>
      </w:r>
      <w:r>
        <w:rPr>
          <w:rFonts w:ascii="Times New Roman" w:hAnsi="Times New Roman"/>
          <w:sz w:val="24"/>
          <w:szCs w:val="24"/>
        </w:rPr>
        <w:t>je možné považovať za</w:t>
      </w:r>
      <w:r w:rsidRPr="00841532">
        <w:rPr>
          <w:rFonts w:ascii="Times New Roman" w:hAnsi="Times New Roman"/>
          <w:sz w:val="24"/>
          <w:szCs w:val="24"/>
        </w:rPr>
        <w:t xml:space="preserve"> dostatočn</w:t>
      </w:r>
      <w:r>
        <w:rPr>
          <w:rFonts w:ascii="Times New Roman" w:hAnsi="Times New Roman"/>
          <w:sz w:val="24"/>
          <w:szCs w:val="24"/>
        </w:rPr>
        <w:t>ú. R</w:t>
      </w:r>
      <w:r w:rsidRPr="00841532">
        <w:rPr>
          <w:rFonts w:ascii="Times New Roman" w:hAnsi="Times New Roman"/>
          <w:sz w:val="24"/>
          <w:szCs w:val="24"/>
        </w:rPr>
        <w:t xml:space="preserve">ežim platby v hotovosti sa zachováva aj pri Štátnej pokladnici prostredníctvom obstarania hotovostného partnera (keďže samotná ŠP hotovostné operácie nevykonáva). Samotné </w:t>
      </w:r>
      <w:r>
        <w:rPr>
          <w:rFonts w:ascii="Times New Roman" w:hAnsi="Times New Roman"/>
          <w:sz w:val="24"/>
          <w:szCs w:val="24"/>
        </w:rPr>
        <w:t>orgány</w:t>
      </w:r>
      <w:r w:rsidRPr="00841532">
        <w:rPr>
          <w:rFonts w:ascii="Times New Roman" w:hAnsi="Times New Roman"/>
          <w:sz w:val="24"/>
          <w:szCs w:val="24"/>
        </w:rPr>
        <w:t xml:space="preserve"> majú možnosť preberať hotovosť</w:t>
      </w:r>
      <w:r>
        <w:rPr>
          <w:rFonts w:ascii="Times New Roman" w:hAnsi="Times New Roman"/>
          <w:sz w:val="24"/>
          <w:szCs w:val="24"/>
        </w:rPr>
        <w:t xml:space="preserve"> a realizovať platby platobnou kartou na jednotlivých pracoviskách (úradných priehradkách), ale nie je to ich povinnosť. „T</w:t>
      </w:r>
      <w:r w:rsidRPr="00ED1B9C">
        <w:rPr>
          <w:rFonts w:ascii="Times New Roman" w:hAnsi="Times New Roman"/>
          <w:sz w:val="24"/>
          <w:szCs w:val="24"/>
        </w:rPr>
        <w:t>echnické podmienky</w:t>
      </w:r>
      <w:r>
        <w:rPr>
          <w:rFonts w:ascii="Times New Roman" w:hAnsi="Times New Roman"/>
          <w:sz w:val="24"/>
          <w:szCs w:val="24"/>
        </w:rPr>
        <w:t>“</w:t>
      </w:r>
      <w:r w:rsidRPr="00ED1B9C">
        <w:rPr>
          <w:rFonts w:ascii="Times New Roman" w:hAnsi="Times New Roman"/>
          <w:sz w:val="24"/>
          <w:szCs w:val="24"/>
        </w:rPr>
        <w:t xml:space="preserve"> sú </w:t>
      </w:r>
      <w:r>
        <w:rPr>
          <w:rFonts w:ascii="Times New Roman" w:hAnsi="Times New Roman"/>
          <w:sz w:val="24"/>
          <w:szCs w:val="24"/>
        </w:rPr>
        <w:t xml:space="preserve">mix </w:t>
      </w:r>
      <w:r w:rsidRPr="00ED1B9C">
        <w:rPr>
          <w:rFonts w:ascii="Times New Roman" w:hAnsi="Times New Roman"/>
          <w:sz w:val="24"/>
          <w:szCs w:val="24"/>
        </w:rPr>
        <w:t>technick</w:t>
      </w:r>
      <w:r>
        <w:rPr>
          <w:rFonts w:ascii="Times New Roman" w:hAnsi="Times New Roman"/>
          <w:sz w:val="24"/>
          <w:szCs w:val="24"/>
        </w:rPr>
        <w:t>ých</w:t>
      </w:r>
      <w:r w:rsidRPr="00ED1B9C">
        <w:rPr>
          <w:rFonts w:ascii="Times New Roman" w:hAnsi="Times New Roman"/>
          <w:sz w:val="24"/>
          <w:szCs w:val="24"/>
        </w:rPr>
        <w:t xml:space="preserve"> prostriedk</w:t>
      </w:r>
      <w:r>
        <w:rPr>
          <w:rFonts w:ascii="Times New Roman" w:hAnsi="Times New Roman"/>
          <w:sz w:val="24"/>
          <w:szCs w:val="24"/>
        </w:rPr>
        <w:t>ov</w:t>
      </w:r>
      <w:r w:rsidRPr="00ED1B9C">
        <w:rPr>
          <w:rFonts w:ascii="Times New Roman" w:hAnsi="Times New Roman"/>
          <w:sz w:val="24"/>
          <w:szCs w:val="24"/>
        </w:rPr>
        <w:t>, ktoré umožňujú na priehradke úradu prijímať platbu platobnou kartou</w:t>
      </w:r>
      <w:r>
        <w:rPr>
          <w:rFonts w:ascii="Times New Roman" w:hAnsi="Times New Roman"/>
          <w:sz w:val="24"/>
          <w:szCs w:val="24"/>
        </w:rPr>
        <w:t xml:space="preserve"> (</w:t>
      </w:r>
      <w:r w:rsidRPr="00ED1B9C">
        <w:rPr>
          <w:rFonts w:ascii="Times New Roman" w:hAnsi="Times New Roman"/>
          <w:sz w:val="24"/>
          <w:szCs w:val="24"/>
        </w:rPr>
        <w:t>čo je najmä POS terminál) a pri platbe v hotovosti je to hotovostná pokladňa</w:t>
      </w:r>
      <w:r>
        <w:rPr>
          <w:rFonts w:ascii="Times New Roman" w:hAnsi="Times New Roman"/>
          <w:sz w:val="24"/>
          <w:szCs w:val="24"/>
        </w:rPr>
        <w:t xml:space="preserve">, ďalej je to </w:t>
      </w:r>
      <w:r w:rsidRPr="00ED1B9C">
        <w:rPr>
          <w:rFonts w:ascii="Times New Roman" w:hAnsi="Times New Roman"/>
          <w:sz w:val="24"/>
          <w:szCs w:val="24"/>
        </w:rPr>
        <w:t>organizačn</w:t>
      </w:r>
      <w:r>
        <w:rPr>
          <w:rFonts w:ascii="Times New Roman" w:hAnsi="Times New Roman"/>
          <w:sz w:val="24"/>
          <w:szCs w:val="24"/>
        </w:rPr>
        <w:t>é</w:t>
      </w:r>
      <w:r w:rsidRPr="00ED1B9C">
        <w:rPr>
          <w:rFonts w:ascii="Times New Roman" w:hAnsi="Times New Roman"/>
          <w:sz w:val="24"/>
          <w:szCs w:val="24"/>
        </w:rPr>
        <w:t xml:space="preserve"> zabezpečen</w:t>
      </w:r>
      <w:r>
        <w:rPr>
          <w:rFonts w:ascii="Times New Roman" w:hAnsi="Times New Roman"/>
          <w:sz w:val="24"/>
          <w:szCs w:val="24"/>
        </w:rPr>
        <w:t>ie (hmotná zodpovednosť zamestnancov, hotovostný manažment)</w:t>
      </w:r>
      <w:r w:rsidRPr="00ED1B9C">
        <w:rPr>
          <w:rFonts w:ascii="Times New Roman" w:hAnsi="Times New Roman"/>
          <w:sz w:val="24"/>
          <w:szCs w:val="24"/>
        </w:rPr>
        <w:t xml:space="preserve">, bezpečnostný režim </w:t>
      </w:r>
      <w:r>
        <w:rPr>
          <w:rFonts w:ascii="Times New Roman" w:hAnsi="Times New Roman"/>
          <w:sz w:val="24"/>
          <w:szCs w:val="24"/>
        </w:rPr>
        <w:t xml:space="preserve">(pokladňa, trezor, zabezpečovacie zariadenie) </w:t>
      </w:r>
      <w:r w:rsidRPr="00ED1B9C">
        <w:rPr>
          <w:rFonts w:ascii="Times New Roman" w:hAnsi="Times New Roman"/>
          <w:sz w:val="24"/>
          <w:szCs w:val="24"/>
        </w:rPr>
        <w:t>a</w:t>
      </w:r>
      <w:r>
        <w:rPr>
          <w:rFonts w:ascii="Times New Roman" w:hAnsi="Times New Roman"/>
          <w:sz w:val="24"/>
          <w:szCs w:val="24"/>
        </w:rPr>
        <w:t> </w:t>
      </w:r>
      <w:r w:rsidRPr="00ED1B9C">
        <w:rPr>
          <w:rFonts w:ascii="Times New Roman" w:hAnsi="Times New Roman"/>
          <w:sz w:val="24"/>
          <w:szCs w:val="24"/>
        </w:rPr>
        <w:t>pod.</w:t>
      </w:r>
      <w:r w:rsidRPr="000B103D">
        <w:rPr>
          <w:rFonts w:ascii="Times New Roman" w:hAnsi="Times New Roman"/>
          <w:sz w:val="24"/>
          <w:szCs w:val="24"/>
        </w:rPr>
        <w:t xml:space="preserve"> Splnenie technických podmienok je na rozhodnutí úradu po </w:t>
      </w:r>
      <w:r>
        <w:rPr>
          <w:rFonts w:ascii="Times New Roman" w:hAnsi="Times New Roman"/>
          <w:sz w:val="24"/>
          <w:szCs w:val="24"/>
        </w:rPr>
        <w:t>dohode</w:t>
      </w:r>
      <w:r w:rsidRPr="000B103D">
        <w:rPr>
          <w:rFonts w:ascii="Times New Roman" w:hAnsi="Times New Roman"/>
          <w:sz w:val="24"/>
          <w:szCs w:val="24"/>
        </w:rPr>
        <w:t xml:space="preserve"> s prevádzkovateľom systému alebo Štátnou pokladnicou.</w:t>
      </w:r>
      <w:r>
        <w:rPr>
          <w:rFonts w:ascii="Times New Roman" w:hAnsi="Times New Roman"/>
          <w:sz w:val="24"/>
          <w:szCs w:val="24"/>
        </w:rPr>
        <w:t xml:space="preserve"> Tento podmienený režim sa novelou nemení, len sa konkretizuje, čo sa rozumie technickými podmienkami. </w:t>
      </w:r>
    </w:p>
    <w:p w14:paraId="353AC177" w14:textId="77777777" w:rsidR="000A6C03" w:rsidRDefault="000A6C03" w:rsidP="000A6C03">
      <w:pPr>
        <w:spacing w:after="0" w:line="240" w:lineRule="auto"/>
        <w:jc w:val="both"/>
        <w:rPr>
          <w:rFonts w:ascii="Times New Roman" w:hAnsi="Times New Roman"/>
          <w:sz w:val="24"/>
          <w:szCs w:val="24"/>
        </w:rPr>
      </w:pPr>
    </w:p>
    <w:p w14:paraId="2A1CC567" w14:textId="77777777" w:rsidR="000A6C03" w:rsidRDefault="000A6C03" w:rsidP="000A6C03">
      <w:pPr>
        <w:spacing w:after="0" w:line="240" w:lineRule="auto"/>
        <w:jc w:val="both"/>
        <w:rPr>
          <w:rFonts w:ascii="Times New Roman" w:hAnsi="Times New Roman"/>
          <w:sz w:val="24"/>
          <w:szCs w:val="24"/>
        </w:rPr>
      </w:pPr>
      <w:r>
        <w:rPr>
          <w:rFonts w:ascii="Times New Roman" w:hAnsi="Times New Roman"/>
          <w:sz w:val="24"/>
          <w:szCs w:val="24"/>
        </w:rPr>
        <w:t xml:space="preserve">Po vnútrokomunitárnom pripomienkovom konaní, ktoré sa konalo od 1. júla 2025 do 11. augusta 2025, v rámci ktorého Európska centrálna banka vydala svoje „Stanovisko z 11.  augusta 2025 o horných hraniciach pre platby súdnych a správnych poplatkov v hotovosti a obmedzeniach týkajúcich sa ich prijímania (CON/2025/21)“, bolo upravené ustanovenie odseku 5 tak, že hranica na úhradu súdneho poplatku v hotovosti sa zvýšila z 300 eur na 500 eur. Uvedené zvýšenie reflektuje na všeobecné zvýšenie cenovej hladiny od zavedenia meny euro v Slovenskej republike (1.1.2009), ktorá kumulatívne do júna 2025 v SR bola vo výške 63,8%.  Týmto sa zabezpečí vyššie pokrytie sadzieb poplatkov určených v sadzobníku súdnych poplatkov s možnosťou úhrady poplatku v hotovosti na technickom zariadení prevádzkovateľa systému, prípadne na technickom zariadení Štátnej pokladnice priamo na orgáne podľa § 3 (ak má na tento spôsob platby vytvorené podmienky). Ďalej sa v tomto ustanovení doplnilo, že pri úhrade poplatku na technickom zariadení prevádzkovateľa systému umiestnenom na pošte alebo technickom zariadení zmluvnej strany Štátnej pokladnice (tzv. hotovostný partner) je možná úhrada v hotovosti až do sumy 15 000 eur (maximálna suma na hotovostnú platbu podľa zákona o obmedzení platieb v hotovosti). Poznámka: konkrétnejšie je obsah stanoviska ECB a odôvodnenie predkladateľa návrhu vo vzťahu k obmedzeniu základného platidla z dôvodu verejného záujmu v súlade so zásadou proporcionality uvedené vo všeobecnej časti dôvodovej správy. </w:t>
      </w:r>
    </w:p>
    <w:p w14:paraId="2CCDCBB9" w14:textId="77777777" w:rsidR="000A6C03" w:rsidRDefault="000A6C03" w:rsidP="000A6C03">
      <w:pPr>
        <w:spacing w:after="0" w:line="240" w:lineRule="auto"/>
        <w:jc w:val="both"/>
        <w:rPr>
          <w:rFonts w:ascii="Times New Roman" w:hAnsi="Times New Roman"/>
          <w:sz w:val="24"/>
          <w:szCs w:val="24"/>
        </w:rPr>
      </w:pPr>
    </w:p>
    <w:p w14:paraId="6E0D40BC" w14:textId="77777777" w:rsidR="000A6C03" w:rsidRDefault="000A6C03" w:rsidP="000A6C03">
      <w:pPr>
        <w:spacing w:after="0" w:line="240" w:lineRule="auto"/>
        <w:jc w:val="both"/>
        <w:rPr>
          <w:rFonts w:ascii="Times New Roman" w:hAnsi="Times New Roman"/>
          <w:sz w:val="24"/>
          <w:szCs w:val="24"/>
          <w:u w:val="single"/>
        </w:rPr>
      </w:pPr>
      <w:r w:rsidRPr="00E9250A">
        <w:rPr>
          <w:rFonts w:ascii="Times New Roman" w:hAnsi="Times New Roman"/>
          <w:sz w:val="24"/>
          <w:szCs w:val="24"/>
          <w:u w:val="single"/>
        </w:rPr>
        <w:t xml:space="preserve">K bodu 2 (§ 11 ods. </w:t>
      </w:r>
      <w:r>
        <w:rPr>
          <w:rFonts w:ascii="Times New Roman" w:hAnsi="Times New Roman"/>
          <w:sz w:val="24"/>
          <w:szCs w:val="24"/>
          <w:u w:val="single"/>
        </w:rPr>
        <w:t>2</w:t>
      </w:r>
      <w:r w:rsidRPr="00E9250A">
        <w:rPr>
          <w:rFonts w:ascii="Times New Roman" w:hAnsi="Times New Roman"/>
          <w:sz w:val="24"/>
          <w:szCs w:val="24"/>
          <w:u w:val="single"/>
        </w:rPr>
        <w:t>):</w:t>
      </w:r>
    </w:p>
    <w:p w14:paraId="0D7965E9" w14:textId="77777777" w:rsidR="000A6C03" w:rsidRDefault="000A6C03" w:rsidP="000A6C03">
      <w:pPr>
        <w:spacing w:after="0" w:line="240" w:lineRule="auto"/>
        <w:jc w:val="both"/>
        <w:rPr>
          <w:rFonts w:ascii="Times New Roman" w:hAnsi="Times New Roman"/>
          <w:sz w:val="24"/>
          <w:szCs w:val="24"/>
        </w:rPr>
      </w:pPr>
      <w:r>
        <w:rPr>
          <w:rFonts w:ascii="Times New Roman" w:hAnsi="Times New Roman"/>
          <w:sz w:val="24"/>
          <w:szCs w:val="24"/>
        </w:rPr>
        <w:t>Navrhuje sa upraviť suma na vrátenie poplatku alebo preplatku na poplatku z 2,50 eur na 3 eur, čím sa čiastočne zníži administratívna záťaž orgánov podľa § 3. Náklady na vrátenie poplatku alebo preplatku na poplatku</w:t>
      </w:r>
      <w:r>
        <w:rPr>
          <w:rFonts w:ascii="Times New Roman" w:hAnsi="Times New Roman"/>
          <w:color w:val="000000"/>
          <w:sz w:val="24"/>
        </w:rPr>
        <w:t xml:space="preserve"> </w:t>
      </w:r>
      <w:r w:rsidRPr="00521FC1">
        <w:rPr>
          <w:rFonts w:ascii="Times New Roman" w:hAnsi="Times New Roman"/>
          <w:color w:val="000000"/>
          <w:sz w:val="24"/>
        </w:rPr>
        <w:t>z pohľadu úkonov a</w:t>
      </w:r>
      <w:r>
        <w:rPr>
          <w:rFonts w:ascii="Times New Roman" w:hAnsi="Times New Roman"/>
          <w:color w:val="000000"/>
          <w:sz w:val="24"/>
        </w:rPr>
        <w:t xml:space="preserve"> administratívnych nákladov častokrát </w:t>
      </w:r>
      <w:r w:rsidRPr="00521FC1">
        <w:rPr>
          <w:rFonts w:ascii="Times New Roman" w:hAnsi="Times New Roman"/>
          <w:color w:val="000000"/>
          <w:sz w:val="24"/>
        </w:rPr>
        <w:t xml:space="preserve">finančne </w:t>
      </w:r>
      <w:r>
        <w:rPr>
          <w:rFonts w:ascii="Times New Roman" w:hAnsi="Times New Roman"/>
          <w:color w:val="000000"/>
          <w:sz w:val="24"/>
        </w:rPr>
        <w:t>prevyšujú</w:t>
      </w:r>
      <w:r w:rsidRPr="00521FC1">
        <w:rPr>
          <w:rFonts w:ascii="Times New Roman" w:hAnsi="Times New Roman"/>
          <w:color w:val="000000"/>
          <w:sz w:val="24"/>
        </w:rPr>
        <w:t xml:space="preserve"> samotn</w:t>
      </w:r>
      <w:r>
        <w:rPr>
          <w:rFonts w:ascii="Times New Roman" w:hAnsi="Times New Roman"/>
          <w:color w:val="000000"/>
          <w:sz w:val="24"/>
        </w:rPr>
        <w:t>ú</w:t>
      </w:r>
      <w:r w:rsidRPr="00521FC1">
        <w:rPr>
          <w:rFonts w:ascii="Times New Roman" w:hAnsi="Times New Roman"/>
          <w:color w:val="000000"/>
          <w:sz w:val="24"/>
        </w:rPr>
        <w:t xml:space="preserve"> </w:t>
      </w:r>
      <w:r>
        <w:rPr>
          <w:rFonts w:ascii="Times New Roman" w:hAnsi="Times New Roman"/>
          <w:color w:val="000000"/>
          <w:sz w:val="24"/>
        </w:rPr>
        <w:t>sumu na vrátenie.</w:t>
      </w:r>
      <w:r>
        <w:rPr>
          <w:rFonts w:ascii="Times New Roman" w:hAnsi="Times New Roman"/>
          <w:sz w:val="24"/>
          <w:szCs w:val="24"/>
        </w:rPr>
        <w:t xml:space="preserve"> </w:t>
      </w:r>
    </w:p>
    <w:p w14:paraId="054747A2" w14:textId="77777777" w:rsidR="000A6C03" w:rsidRDefault="000A6C03" w:rsidP="000A6C03">
      <w:pPr>
        <w:spacing w:after="0" w:line="240" w:lineRule="auto"/>
        <w:jc w:val="both"/>
        <w:rPr>
          <w:rFonts w:ascii="Times New Roman" w:hAnsi="Times New Roman"/>
          <w:sz w:val="24"/>
          <w:szCs w:val="24"/>
        </w:rPr>
      </w:pPr>
    </w:p>
    <w:p w14:paraId="1A93B6DE" w14:textId="77777777" w:rsidR="000A6C03" w:rsidRPr="00E9250A" w:rsidRDefault="000A6C03" w:rsidP="000A6C03">
      <w:pPr>
        <w:spacing w:after="0" w:line="240" w:lineRule="auto"/>
        <w:jc w:val="both"/>
        <w:rPr>
          <w:rFonts w:ascii="Times New Roman" w:hAnsi="Times New Roman"/>
          <w:sz w:val="24"/>
          <w:szCs w:val="24"/>
          <w:u w:val="single"/>
        </w:rPr>
      </w:pPr>
      <w:r w:rsidRPr="00E9250A">
        <w:rPr>
          <w:rFonts w:ascii="Times New Roman" w:hAnsi="Times New Roman"/>
          <w:sz w:val="24"/>
          <w:szCs w:val="24"/>
          <w:u w:val="single"/>
        </w:rPr>
        <w:t xml:space="preserve">K bodu </w:t>
      </w:r>
      <w:r>
        <w:rPr>
          <w:rFonts w:ascii="Times New Roman" w:hAnsi="Times New Roman"/>
          <w:sz w:val="24"/>
          <w:szCs w:val="24"/>
          <w:u w:val="single"/>
        </w:rPr>
        <w:t>3</w:t>
      </w:r>
      <w:r w:rsidRPr="00E9250A">
        <w:rPr>
          <w:rFonts w:ascii="Times New Roman" w:hAnsi="Times New Roman"/>
          <w:sz w:val="24"/>
          <w:szCs w:val="24"/>
          <w:u w:val="single"/>
        </w:rPr>
        <w:t xml:space="preserve"> (§ 11 ods. 6):</w:t>
      </w:r>
    </w:p>
    <w:p w14:paraId="2FDB3226" w14:textId="77777777" w:rsidR="000A6C03" w:rsidRDefault="000A6C03" w:rsidP="000A6C03">
      <w:pPr>
        <w:spacing w:after="0" w:line="240" w:lineRule="auto"/>
        <w:jc w:val="both"/>
        <w:rPr>
          <w:rFonts w:ascii="Times New Roman" w:hAnsi="Times New Roman"/>
          <w:sz w:val="24"/>
          <w:szCs w:val="24"/>
        </w:rPr>
      </w:pPr>
      <w:r>
        <w:rPr>
          <w:rFonts w:ascii="Times New Roman" w:hAnsi="Times New Roman"/>
          <w:sz w:val="24"/>
          <w:szCs w:val="24"/>
        </w:rPr>
        <w:t xml:space="preserve">Navrhuje sa nanovo definovať orgán, ktorý je zodpovedný za vrátenie poplatku alebo preplatku s tým, že pri centrálnom systéme evidencie poplatkov Štátnej pokladnice sa nekopíruje analógia nastavená pri centrálnom systéme evidencie poplatkov prevádzkovateľa systému (právoplatné rozhodnutie + odpis rozhodnutia alebo písomné upovedomenie o spôsobe vybavenia sťažnosti podľa osobitného predpisu), ale ponecháva sa kompetencia na vrátenie poplatku alebo preplatku orgánu podľa § 3. V tomto procese orgán podľa § 3 sám vykoná evidenčný úkon so zadaním platobného príkazu na vrátenie na vrub účtu vedeného v Štátnej pokladnici, čím sa vykoná bezhotovostný prevod na účet poplatníka alebo sa zadá príkaz na vrátenie sumy poplatku alebo preplatku poštovým poukazom na adresu poplatníka. </w:t>
      </w:r>
    </w:p>
    <w:p w14:paraId="071FAAEF" w14:textId="77777777" w:rsidR="000A6C03" w:rsidRDefault="000A6C03" w:rsidP="000A6C03">
      <w:pPr>
        <w:spacing w:after="0" w:line="240" w:lineRule="auto"/>
        <w:jc w:val="both"/>
        <w:rPr>
          <w:rFonts w:ascii="Times New Roman" w:hAnsi="Times New Roman"/>
          <w:sz w:val="24"/>
          <w:szCs w:val="24"/>
        </w:rPr>
      </w:pPr>
    </w:p>
    <w:p w14:paraId="64ED3F1B" w14:textId="77777777" w:rsidR="000A6C03" w:rsidRPr="009E7DD0" w:rsidRDefault="000A6C03" w:rsidP="000A6C03">
      <w:pPr>
        <w:spacing w:after="0" w:line="240" w:lineRule="auto"/>
        <w:jc w:val="both"/>
        <w:rPr>
          <w:rFonts w:ascii="Times New Roman" w:hAnsi="Times New Roman"/>
          <w:sz w:val="24"/>
          <w:szCs w:val="24"/>
          <w:u w:val="single"/>
        </w:rPr>
      </w:pPr>
      <w:r w:rsidRPr="009E7DD0">
        <w:rPr>
          <w:rFonts w:ascii="Times New Roman" w:hAnsi="Times New Roman"/>
          <w:sz w:val="24"/>
          <w:szCs w:val="24"/>
          <w:u w:val="single"/>
        </w:rPr>
        <w:t xml:space="preserve">K bodom </w:t>
      </w:r>
      <w:r>
        <w:rPr>
          <w:rFonts w:ascii="Times New Roman" w:hAnsi="Times New Roman"/>
          <w:sz w:val="24"/>
          <w:szCs w:val="24"/>
          <w:u w:val="single"/>
        </w:rPr>
        <w:t>4</w:t>
      </w:r>
      <w:r w:rsidRPr="009E7DD0">
        <w:rPr>
          <w:rFonts w:ascii="Times New Roman" w:hAnsi="Times New Roman"/>
          <w:sz w:val="24"/>
          <w:szCs w:val="24"/>
          <w:u w:val="single"/>
        </w:rPr>
        <w:t xml:space="preserve"> a </w:t>
      </w:r>
      <w:r>
        <w:rPr>
          <w:rFonts w:ascii="Times New Roman" w:hAnsi="Times New Roman"/>
          <w:sz w:val="24"/>
          <w:szCs w:val="24"/>
          <w:u w:val="single"/>
        </w:rPr>
        <w:t>5</w:t>
      </w:r>
      <w:r w:rsidRPr="009E7DD0">
        <w:rPr>
          <w:rFonts w:ascii="Times New Roman" w:hAnsi="Times New Roman"/>
          <w:sz w:val="24"/>
          <w:szCs w:val="24"/>
          <w:u w:val="single"/>
        </w:rPr>
        <w:t xml:space="preserve"> (§ 11 ods. 12 a 13):</w:t>
      </w:r>
    </w:p>
    <w:p w14:paraId="7C9AD60E" w14:textId="77777777" w:rsidR="000A6C03" w:rsidRDefault="000A6C03" w:rsidP="000A6C03">
      <w:pPr>
        <w:spacing w:after="0" w:line="240" w:lineRule="auto"/>
        <w:jc w:val="both"/>
        <w:rPr>
          <w:rFonts w:ascii="Times New Roman" w:hAnsi="Times New Roman"/>
          <w:sz w:val="24"/>
          <w:szCs w:val="24"/>
        </w:rPr>
      </w:pPr>
      <w:r>
        <w:rPr>
          <w:rFonts w:ascii="Times New Roman" w:hAnsi="Times New Roman"/>
          <w:sz w:val="24"/>
          <w:szCs w:val="24"/>
        </w:rPr>
        <w:t xml:space="preserve">Legislatívno-technická úprava v nadväznosti na úpravu § 11 ods. 6. Zároveň sa stanovuje, že v prípade oneskoreného vrátenia poplatku alebo preplatku orgánom podľa § 3, ktorý je zapojený do centrálneho systému evidencie poplatkov Štátnej pokladnice sa úrok z omeškania vrátenia poplatku alebo preplatku vráti, len ak suma úroku v úhrne za celú dobu omeškania presiahne sumu 2,50 eura, čím sa zamedzuje vzniku situácie, že administratívne náklady prevyšujú vecnú sumu úroku. </w:t>
      </w:r>
    </w:p>
    <w:p w14:paraId="5B12E2D3" w14:textId="77777777" w:rsidR="000A6C03" w:rsidRDefault="000A6C03" w:rsidP="000A6C03">
      <w:pPr>
        <w:spacing w:after="0" w:line="240" w:lineRule="auto"/>
        <w:jc w:val="both"/>
        <w:rPr>
          <w:rFonts w:ascii="Times New Roman" w:hAnsi="Times New Roman"/>
          <w:sz w:val="24"/>
          <w:szCs w:val="24"/>
        </w:rPr>
      </w:pPr>
    </w:p>
    <w:p w14:paraId="7E94AFB6" w14:textId="77777777" w:rsidR="000A6C03" w:rsidRPr="00016962" w:rsidRDefault="000A6C03" w:rsidP="000A6C03">
      <w:pPr>
        <w:spacing w:after="0" w:line="240" w:lineRule="auto"/>
        <w:jc w:val="both"/>
        <w:rPr>
          <w:rFonts w:ascii="Times New Roman" w:hAnsi="Times New Roman"/>
          <w:sz w:val="24"/>
          <w:szCs w:val="24"/>
          <w:u w:val="single"/>
        </w:rPr>
      </w:pPr>
      <w:r w:rsidRPr="00016962">
        <w:rPr>
          <w:rFonts w:ascii="Times New Roman" w:hAnsi="Times New Roman"/>
          <w:sz w:val="24"/>
          <w:szCs w:val="24"/>
          <w:u w:val="single"/>
        </w:rPr>
        <w:t>K bod</w:t>
      </w:r>
      <w:r>
        <w:rPr>
          <w:rFonts w:ascii="Times New Roman" w:hAnsi="Times New Roman"/>
          <w:sz w:val="24"/>
          <w:szCs w:val="24"/>
          <w:u w:val="single"/>
        </w:rPr>
        <w:t>om</w:t>
      </w:r>
      <w:r w:rsidRPr="00016962">
        <w:rPr>
          <w:rFonts w:ascii="Times New Roman" w:hAnsi="Times New Roman"/>
          <w:sz w:val="24"/>
          <w:szCs w:val="24"/>
          <w:u w:val="single"/>
        </w:rPr>
        <w:t xml:space="preserve"> 6</w:t>
      </w:r>
      <w:r>
        <w:rPr>
          <w:rFonts w:ascii="Times New Roman" w:hAnsi="Times New Roman"/>
          <w:sz w:val="24"/>
          <w:szCs w:val="24"/>
          <w:u w:val="single"/>
        </w:rPr>
        <w:t xml:space="preserve"> a 7</w:t>
      </w:r>
      <w:r w:rsidRPr="00016962">
        <w:rPr>
          <w:rFonts w:ascii="Times New Roman" w:hAnsi="Times New Roman"/>
          <w:sz w:val="24"/>
          <w:szCs w:val="24"/>
          <w:u w:val="single"/>
        </w:rPr>
        <w:t xml:space="preserve"> (§ 1</w:t>
      </w:r>
      <w:r>
        <w:rPr>
          <w:rFonts w:ascii="Times New Roman" w:hAnsi="Times New Roman"/>
          <w:sz w:val="24"/>
          <w:szCs w:val="24"/>
          <w:u w:val="single"/>
        </w:rPr>
        <w:t>1a v súvislosti s článkom II.</w:t>
      </w:r>
      <w:r w:rsidRPr="00016962">
        <w:rPr>
          <w:rFonts w:ascii="Times New Roman" w:hAnsi="Times New Roman"/>
          <w:sz w:val="24"/>
          <w:szCs w:val="24"/>
          <w:u w:val="single"/>
        </w:rPr>
        <w:t>):</w:t>
      </w:r>
    </w:p>
    <w:p w14:paraId="2925CB03" w14:textId="77777777" w:rsidR="000A6C03" w:rsidRPr="00016962" w:rsidRDefault="000A6C03" w:rsidP="000A6C03">
      <w:pPr>
        <w:pStyle w:val="Odsekzoznamu"/>
        <w:spacing w:after="0" w:line="240" w:lineRule="auto"/>
        <w:ind w:left="0"/>
        <w:jc w:val="both"/>
        <w:rPr>
          <w:rFonts w:ascii="Times New Roman" w:hAnsi="Times New Roman"/>
          <w:sz w:val="24"/>
          <w:szCs w:val="24"/>
        </w:rPr>
      </w:pPr>
      <w:r>
        <w:rPr>
          <w:rFonts w:ascii="Times New Roman" w:hAnsi="Times New Roman"/>
          <w:sz w:val="24"/>
          <w:szCs w:val="24"/>
        </w:rPr>
        <w:t>N</w:t>
      </w:r>
      <w:r w:rsidRPr="00016962">
        <w:rPr>
          <w:rFonts w:ascii="Times New Roman" w:hAnsi="Times New Roman"/>
          <w:sz w:val="24"/>
          <w:szCs w:val="24"/>
        </w:rPr>
        <w:t>avrhuje</w:t>
      </w:r>
      <w:r>
        <w:rPr>
          <w:rFonts w:ascii="Times New Roman" w:hAnsi="Times New Roman"/>
          <w:sz w:val="24"/>
          <w:szCs w:val="24"/>
        </w:rPr>
        <w:t xml:space="preserve"> sa</w:t>
      </w:r>
      <w:r w:rsidRPr="00016962">
        <w:rPr>
          <w:rFonts w:ascii="Times New Roman" w:hAnsi="Times New Roman"/>
          <w:sz w:val="24"/>
          <w:szCs w:val="24"/>
        </w:rPr>
        <w:t xml:space="preserve">, </w:t>
      </w:r>
      <w:r>
        <w:rPr>
          <w:rFonts w:ascii="Times New Roman" w:hAnsi="Times New Roman"/>
          <w:sz w:val="24"/>
          <w:szCs w:val="24"/>
        </w:rPr>
        <w:t xml:space="preserve">aby </w:t>
      </w:r>
      <w:r w:rsidRPr="00016962">
        <w:rPr>
          <w:rFonts w:ascii="Times New Roman" w:hAnsi="Times New Roman"/>
          <w:sz w:val="24"/>
          <w:szCs w:val="24"/>
        </w:rPr>
        <w:t>v prípadoch, kedy nedôjde na podklade predchádzajúcej žiadosti navrhovateľa k</w:t>
      </w:r>
      <w:r>
        <w:rPr>
          <w:rFonts w:ascii="Times New Roman" w:hAnsi="Times New Roman"/>
          <w:sz w:val="24"/>
          <w:szCs w:val="24"/>
        </w:rPr>
        <w:t> </w:t>
      </w:r>
      <w:r w:rsidRPr="00016962">
        <w:rPr>
          <w:rFonts w:ascii="Times New Roman" w:hAnsi="Times New Roman"/>
          <w:sz w:val="24"/>
          <w:szCs w:val="24"/>
        </w:rPr>
        <w:t>zaslaniu</w:t>
      </w:r>
      <w:r>
        <w:rPr>
          <w:rFonts w:ascii="Times New Roman" w:hAnsi="Times New Roman"/>
          <w:sz w:val="24"/>
          <w:szCs w:val="24"/>
        </w:rPr>
        <w:t xml:space="preserve"> </w:t>
      </w:r>
      <w:r w:rsidRPr="00016962">
        <w:rPr>
          <w:rFonts w:ascii="Times New Roman" w:hAnsi="Times New Roman"/>
          <w:sz w:val="24"/>
          <w:szCs w:val="24"/>
        </w:rPr>
        <w:t xml:space="preserve">návrhu na zápis údajov do obchodného registra, prípadne návrhu na zápis zmien zapísaných údajov, jednotným kontaktným miestom podľa § 66ba ods. 6 a 8 živnostenského zákona, aby došlo k vráteniu súdneho poplatku zaplateného prostredníctvom jednotného kontaktného miesta. Prevádzkovateľ systému vykoná vrátenie poplatku na podklade </w:t>
      </w:r>
      <w:r>
        <w:rPr>
          <w:rFonts w:ascii="Times New Roman" w:hAnsi="Times New Roman"/>
          <w:sz w:val="24"/>
          <w:szCs w:val="24"/>
        </w:rPr>
        <w:t xml:space="preserve">doručeného </w:t>
      </w:r>
      <w:r w:rsidRPr="00016962">
        <w:rPr>
          <w:rFonts w:ascii="Times New Roman" w:hAnsi="Times New Roman"/>
          <w:sz w:val="24"/>
          <w:szCs w:val="24"/>
        </w:rPr>
        <w:t>písomného úradného záznamu jednotného kontaktného miesta v štandardnej lehote 30 dní od doručenia.</w:t>
      </w:r>
      <w:r>
        <w:rPr>
          <w:rFonts w:ascii="Times New Roman" w:hAnsi="Times New Roman"/>
          <w:sz w:val="24"/>
          <w:szCs w:val="24"/>
        </w:rPr>
        <w:t xml:space="preserve"> Štátna pokladnica vykoná vrátenie poplatku na podklade príkazu na vrátenie vystaveného jednotným kontaktným miestom v centrálnom systéme evidencie poplatkov Štátnej pokladnice.</w:t>
      </w:r>
    </w:p>
    <w:p w14:paraId="29E9E92A" w14:textId="77777777" w:rsidR="000A6C03" w:rsidRDefault="000A6C03" w:rsidP="000A6C03">
      <w:pPr>
        <w:spacing w:after="0" w:line="240" w:lineRule="auto"/>
        <w:jc w:val="both"/>
        <w:rPr>
          <w:rFonts w:ascii="Times New Roman" w:hAnsi="Times New Roman"/>
          <w:sz w:val="24"/>
          <w:szCs w:val="24"/>
          <w:u w:val="single"/>
        </w:rPr>
      </w:pPr>
    </w:p>
    <w:p w14:paraId="0DA2B725" w14:textId="77777777" w:rsidR="000A6C03" w:rsidRPr="00C66681" w:rsidRDefault="000A6C03" w:rsidP="000A6C03">
      <w:pPr>
        <w:spacing w:after="0" w:line="240" w:lineRule="auto"/>
        <w:jc w:val="both"/>
        <w:rPr>
          <w:rFonts w:ascii="Times New Roman" w:hAnsi="Times New Roman"/>
          <w:sz w:val="24"/>
          <w:szCs w:val="24"/>
          <w:u w:val="single"/>
        </w:rPr>
      </w:pPr>
      <w:r>
        <w:rPr>
          <w:rFonts w:ascii="Times New Roman" w:hAnsi="Times New Roman"/>
          <w:sz w:val="24"/>
          <w:szCs w:val="24"/>
          <w:u w:val="single"/>
        </w:rPr>
        <w:t>K bodu 8 (</w:t>
      </w:r>
      <w:r w:rsidRPr="00C66681">
        <w:rPr>
          <w:rFonts w:ascii="Times New Roman" w:hAnsi="Times New Roman"/>
          <w:sz w:val="24"/>
          <w:szCs w:val="24"/>
          <w:u w:val="single"/>
        </w:rPr>
        <w:t>§ 11c ods. 2</w:t>
      </w:r>
      <w:r>
        <w:rPr>
          <w:rFonts w:ascii="Times New Roman" w:hAnsi="Times New Roman"/>
          <w:sz w:val="24"/>
          <w:szCs w:val="24"/>
          <w:u w:val="single"/>
        </w:rPr>
        <w:t xml:space="preserve"> a</w:t>
      </w:r>
      <w:r w:rsidRPr="00C66681">
        <w:rPr>
          <w:rFonts w:ascii="Times New Roman" w:hAnsi="Times New Roman"/>
          <w:sz w:val="24"/>
          <w:szCs w:val="24"/>
          <w:u w:val="single"/>
        </w:rPr>
        <w:t xml:space="preserve"> § 11d ods. 1)</w:t>
      </w:r>
      <w:r>
        <w:rPr>
          <w:rFonts w:ascii="Times New Roman" w:hAnsi="Times New Roman"/>
          <w:sz w:val="24"/>
          <w:szCs w:val="24"/>
          <w:u w:val="single"/>
        </w:rPr>
        <w:t>:</w:t>
      </w:r>
    </w:p>
    <w:p w14:paraId="3658B379" w14:textId="77777777" w:rsidR="000A6C03" w:rsidRPr="00C66681" w:rsidRDefault="000A6C03" w:rsidP="000A6C03">
      <w:pPr>
        <w:pStyle w:val="Odsekzoznamu"/>
        <w:spacing w:after="0" w:line="240" w:lineRule="auto"/>
        <w:ind w:left="0"/>
        <w:jc w:val="both"/>
        <w:rPr>
          <w:rFonts w:ascii="Times New Roman" w:hAnsi="Times New Roman"/>
          <w:sz w:val="24"/>
          <w:szCs w:val="24"/>
        </w:rPr>
      </w:pPr>
      <w:r w:rsidRPr="00C66681">
        <w:rPr>
          <w:rFonts w:ascii="Times New Roman" w:hAnsi="Times New Roman"/>
          <w:sz w:val="24"/>
          <w:szCs w:val="24"/>
        </w:rPr>
        <w:t xml:space="preserve">Legislatívno-technická úprava v nadväznosti na zmenu pojmu. </w:t>
      </w:r>
    </w:p>
    <w:p w14:paraId="03EA092B" w14:textId="77777777" w:rsidR="000A6C03" w:rsidRDefault="000A6C03" w:rsidP="000A6C03">
      <w:pPr>
        <w:spacing w:after="0" w:line="240" w:lineRule="auto"/>
        <w:jc w:val="both"/>
        <w:rPr>
          <w:rFonts w:ascii="Times New Roman" w:hAnsi="Times New Roman"/>
          <w:sz w:val="24"/>
          <w:szCs w:val="24"/>
          <w:u w:val="single"/>
        </w:rPr>
      </w:pPr>
    </w:p>
    <w:p w14:paraId="446E72CA" w14:textId="77777777" w:rsidR="000A6C03" w:rsidRPr="009E7DD0" w:rsidRDefault="000A6C03" w:rsidP="000A6C03">
      <w:pPr>
        <w:spacing w:after="0" w:line="240" w:lineRule="auto"/>
        <w:jc w:val="both"/>
        <w:rPr>
          <w:rFonts w:ascii="Times New Roman" w:hAnsi="Times New Roman"/>
          <w:sz w:val="24"/>
          <w:szCs w:val="24"/>
          <w:u w:val="single"/>
        </w:rPr>
      </w:pPr>
      <w:r w:rsidRPr="009E7DD0">
        <w:rPr>
          <w:rFonts w:ascii="Times New Roman" w:hAnsi="Times New Roman"/>
          <w:sz w:val="24"/>
          <w:szCs w:val="24"/>
          <w:u w:val="single"/>
        </w:rPr>
        <w:t xml:space="preserve">K bodu </w:t>
      </w:r>
      <w:r>
        <w:rPr>
          <w:rFonts w:ascii="Times New Roman" w:hAnsi="Times New Roman"/>
          <w:sz w:val="24"/>
          <w:szCs w:val="24"/>
          <w:u w:val="single"/>
        </w:rPr>
        <w:t>9</w:t>
      </w:r>
      <w:r w:rsidRPr="009E7DD0">
        <w:rPr>
          <w:rFonts w:ascii="Times New Roman" w:hAnsi="Times New Roman"/>
          <w:sz w:val="24"/>
          <w:szCs w:val="24"/>
          <w:u w:val="single"/>
        </w:rPr>
        <w:t xml:space="preserve"> (§ 15):</w:t>
      </w:r>
    </w:p>
    <w:p w14:paraId="5C3683C0" w14:textId="77777777" w:rsidR="000A6C03" w:rsidRDefault="000A6C03" w:rsidP="000A6C03">
      <w:pPr>
        <w:spacing w:after="0" w:line="240" w:lineRule="auto"/>
        <w:jc w:val="both"/>
        <w:rPr>
          <w:rFonts w:ascii="Times New Roman" w:hAnsi="Times New Roman"/>
          <w:sz w:val="24"/>
          <w:szCs w:val="24"/>
        </w:rPr>
      </w:pPr>
      <w:r>
        <w:rPr>
          <w:rFonts w:ascii="Times New Roman" w:hAnsi="Times New Roman"/>
          <w:sz w:val="24"/>
          <w:szCs w:val="24"/>
        </w:rPr>
        <w:t>Navrhuje sa spresnenie obsahu výkonu kontroly orgánov podľa § 3 vo veci správnosti a </w:t>
      </w:r>
      <w:r w:rsidRPr="00A71CBB">
        <w:rPr>
          <w:rFonts w:ascii="Times New Roman" w:hAnsi="Times New Roman"/>
          <w:sz w:val="24"/>
          <w:szCs w:val="24"/>
        </w:rPr>
        <w:t xml:space="preserve">včasnosti vyberania poplatkov, </w:t>
      </w:r>
      <w:r w:rsidRPr="008806F7">
        <w:rPr>
          <w:rFonts w:ascii="Times New Roman" w:hAnsi="Times New Roman"/>
          <w:sz w:val="24"/>
          <w:szCs w:val="24"/>
        </w:rPr>
        <w:t>správnosti a včasnosti vrátenia poplatkov</w:t>
      </w:r>
      <w:r>
        <w:rPr>
          <w:rFonts w:ascii="Times New Roman" w:hAnsi="Times New Roman"/>
          <w:sz w:val="24"/>
          <w:szCs w:val="24"/>
        </w:rPr>
        <w:t>,</w:t>
      </w:r>
      <w:r w:rsidRPr="008806F7">
        <w:rPr>
          <w:rFonts w:ascii="Times New Roman" w:hAnsi="Times New Roman"/>
          <w:sz w:val="24"/>
          <w:szCs w:val="24"/>
        </w:rPr>
        <w:t xml:space="preserve"> </w:t>
      </w:r>
      <w:r>
        <w:rPr>
          <w:rFonts w:ascii="Times New Roman" w:hAnsi="Times New Roman"/>
          <w:sz w:val="24"/>
          <w:szCs w:val="24"/>
        </w:rPr>
        <w:t>správnosti formy a </w:t>
      </w:r>
      <w:r w:rsidRPr="00A71CBB">
        <w:rPr>
          <w:rFonts w:ascii="Times New Roman" w:hAnsi="Times New Roman"/>
          <w:sz w:val="24"/>
          <w:szCs w:val="24"/>
        </w:rPr>
        <w:t>spôsobu pl</w:t>
      </w:r>
      <w:r>
        <w:rPr>
          <w:rFonts w:ascii="Times New Roman" w:hAnsi="Times New Roman"/>
          <w:sz w:val="24"/>
          <w:szCs w:val="24"/>
        </w:rPr>
        <w:t>atenia poplatkov a správnosti a </w:t>
      </w:r>
      <w:r w:rsidRPr="00A71CBB">
        <w:rPr>
          <w:rFonts w:ascii="Times New Roman" w:hAnsi="Times New Roman"/>
          <w:sz w:val="24"/>
          <w:szCs w:val="24"/>
        </w:rPr>
        <w:t>úplnosti evidovania poplatkov</w:t>
      </w:r>
      <w:r>
        <w:rPr>
          <w:rFonts w:ascii="Times New Roman" w:hAnsi="Times New Roman"/>
          <w:sz w:val="24"/>
          <w:szCs w:val="24"/>
        </w:rPr>
        <w:t xml:space="preserve">, pričom dochádza ku kompetenčnému zjednoteniu výkonu kontroly Úradom vládneho auditu v rovnakom znení aj v prípade správnych orgánov podľa zákona o správnych poplatkoch. Zároveň sa ustanovuje, že Úrad vládneho auditu má tiež vykonávať </w:t>
      </w:r>
      <w:r w:rsidRPr="00A71CBB">
        <w:rPr>
          <w:rFonts w:ascii="Times New Roman" w:hAnsi="Times New Roman"/>
          <w:sz w:val="24"/>
          <w:szCs w:val="24"/>
        </w:rPr>
        <w:t>audit evidencie, zúčtovania a vrátenia poplatkov uhradených prostredníctvom centrálneho systému evidencie poplatkov</w:t>
      </w:r>
      <w:r>
        <w:rPr>
          <w:rFonts w:ascii="Times New Roman" w:hAnsi="Times New Roman"/>
          <w:sz w:val="24"/>
          <w:szCs w:val="24"/>
        </w:rPr>
        <w:t xml:space="preserve"> prevádzkovateľa systému aj </w:t>
      </w:r>
      <w:r w:rsidRPr="00A71CBB">
        <w:rPr>
          <w:rFonts w:ascii="Times New Roman" w:hAnsi="Times New Roman"/>
          <w:sz w:val="24"/>
          <w:szCs w:val="24"/>
        </w:rPr>
        <w:t>prostredníctvom centrálneho systému evidencie poplatkov</w:t>
      </w:r>
      <w:r>
        <w:rPr>
          <w:rFonts w:ascii="Times New Roman" w:hAnsi="Times New Roman"/>
          <w:sz w:val="24"/>
          <w:szCs w:val="24"/>
        </w:rPr>
        <w:t xml:space="preserve"> Štátnej pokladnice.</w:t>
      </w:r>
    </w:p>
    <w:p w14:paraId="32694AD2" w14:textId="77777777" w:rsidR="000A6C03" w:rsidRDefault="000A6C03" w:rsidP="000A6C03">
      <w:pPr>
        <w:spacing w:after="0" w:line="240" w:lineRule="auto"/>
        <w:jc w:val="both"/>
        <w:rPr>
          <w:rFonts w:ascii="Times New Roman" w:hAnsi="Times New Roman"/>
          <w:sz w:val="24"/>
          <w:szCs w:val="24"/>
        </w:rPr>
      </w:pPr>
    </w:p>
    <w:p w14:paraId="0C682D9D" w14:textId="77777777" w:rsidR="000A6C03" w:rsidRPr="003F25D8" w:rsidRDefault="000A6C03" w:rsidP="000A6C03">
      <w:pPr>
        <w:spacing w:after="0" w:line="240" w:lineRule="auto"/>
        <w:jc w:val="both"/>
        <w:rPr>
          <w:rFonts w:ascii="Times New Roman" w:hAnsi="Times New Roman"/>
          <w:sz w:val="24"/>
          <w:szCs w:val="24"/>
          <w:u w:val="single"/>
        </w:rPr>
      </w:pPr>
      <w:r>
        <w:rPr>
          <w:rFonts w:ascii="Times New Roman" w:hAnsi="Times New Roman"/>
          <w:sz w:val="24"/>
          <w:szCs w:val="24"/>
          <w:u w:val="single"/>
        </w:rPr>
        <w:t>K bodom 10 až 12</w:t>
      </w:r>
      <w:r w:rsidRPr="003F25D8">
        <w:rPr>
          <w:rFonts w:ascii="Times New Roman" w:hAnsi="Times New Roman"/>
          <w:sz w:val="24"/>
          <w:szCs w:val="24"/>
          <w:u w:val="single"/>
        </w:rPr>
        <w:t xml:space="preserve"> (§ 15a ods. 1 a</w:t>
      </w:r>
      <w:r>
        <w:rPr>
          <w:rFonts w:ascii="Times New Roman" w:hAnsi="Times New Roman"/>
          <w:sz w:val="24"/>
          <w:szCs w:val="24"/>
          <w:u w:val="single"/>
        </w:rPr>
        <w:t>ž 3</w:t>
      </w:r>
      <w:r w:rsidRPr="003F25D8">
        <w:rPr>
          <w:rFonts w:ascii="Times New Roman" w:hAnsi="Times New Roman"/>
          <w:sz w:val="24"/>
          <w:szCs w:val="24"/>
          <w:u w:val="single"/>
        </w:rPr>
        <w:t>):</w:t>
      </w:r>
    </w:p>
    <w:p w14:paraId="13AA92EA" w14:textId="77777777" w:rsidR="000A6C03" w:rsidRDefault="000A6C03" w:rsidP="000A6C03">
      <w:pPr>
        <w:spacing w:after="0" w:line="240" w:lineRule="auto"/>
        <w:jc w:val="both"/>
        <w:rPr>
          <w:rFonts w:ascii="Times New Roman" w:hAnsi="Times New Roman"/>
          <w:sz w:val="24"/>
          <w:szCs w:val="24"/>
        </w:rPr>
      </w:pPr>
      <w:r>
        <w:rPr>
          <w:rFonts w:ascii="Times New Roman" w:hAnsi="Times New Roman"/>
          <w:sz w:val="24"/>
          <w:szCs w:val="24"/>
        </w:rPr>
        <w:t>Legislatívno-technické úpravy v nadväznosti na úpravy v § 9, 11 a 16b. Ustanovenie § 15a ods. 2 je navrhnuté tak, aby zabezpečilo potrebu archivácie potvrdení v situáciách, že listinné podania spravované v agendových informačných systémoch nemajú prenesenú informáciu o čísle podania/konania/spisu/záznamu v centrálnom systéme evidencie poplatkov. V prípade, že predpis a platba je párovaná automaticky v systéme, čo je možné dohľadať napr. cez reporty v centrálnom systéme, na strane orgánu podľa § 3 nie je potrebné riešiť fyzickú archiváciu potvrdení o úhrade poplatku.</w:t>
      </w:r>
    </w:p>
    <w:p w14:paraId="11D2DB4D" w14:textId="77777777" w:rsidR="000A6C03" w:rsidRPr="00A14880" w:rsidRDefault="000A6C03" w:rsidP="000A6C03">
      <w:pPr>
        <w:spacing w:after="0" w:line="240" w:lineRule="auto"/>
        <w:jc w:val="both"/>
        <w:rPr>
          <w:rFonts w:ascii="Times New Roman" w:hAnsi="Times New Roman"/>
          <w:sz w:val="24"/>
          <w:szCs w:val="24"/>
          <w:u w:val="single"/>
        </w:rPr>
      </w:pPr>
      <w:r w:rsidRPr="00A14880">
        <w:rPr>
          <w:rFonts w:ascii="Times New Roman" w:hAnsi="Times New Roman"/>
          <w:sz w:val="24"/>
          <w:szCs w:val="24"/>
          <w:u w:val="single"/>
        </w:rPr>
        <w:t>K bodu 13 (§ 15a ods. 3 a § 16a ods. 2 prvá veta)</w:t>
      </w:r>
      <w:r>
        <w:rPr>
          <w:rFonts w:ascii="Times New Roman" w:hAnsi="Times New Roman"/>
          <w:sz w:val="24"/>
          <w:szCs w:val="24"/>
          <w:u w:val="single"/>
        </w:rPr>
        <w:t>:</w:t>
      </w:r>
    </w:p>
    <w:p w14:paraId="6133C69A" w14:textId="77777777" w:rsidR="000A6C03" w:rsidRDefault="000A6C03" w:rsidP="000A6C03">
      <w:pPr>
        <w:spacing w:after="0" w:line="240" w:lineRule="auto"/>
        <w:jc w:val="both"/>
        <w:rPr>
          <w:rFonts w:ascii="Times New Roman" w:hAnsi="Times New Roman"/>
          <w:sz w:val="24"/>
          <w:szCs w:val="24"/>
        </w:rPr>
      </w:pPr>
      <w:r>
        <w:rPr>
          <w:rFonts w:ascii="Times New Roman" w:hAnsi="Times New Roman"/>
          <w:sz w:val="24"/>
          <w:szCs w:val="24"/>
        </w:rPr>
        <w:t>Legislatívno-technická úprava v nadväznosti na zavedenú legislatívnu skratku.</w:t>
      </w:r>
    </w:p>
    <w:p w14:paraId="1A56F38A" w14:textId="77777777" w:rsidR="000A6C03" w:rsidRDefault="000A6C03" w:rsidP="000A6C03">
      <w:pPr>
        <w:spacing w:after="0" w:line="240" w:lineRule="auto"/>
        <w:jc w:val="both"/>
        <w:rPr>
          <w:rFonts w:ascii="Times New Roman" w:hAnsi="Times New Roman"/>
          <w:sz w:val="24"/>
          <w:szCs w:val="24"/>
        </w:rPr>
      </w:pPr>
    </w:p>
    <w:p w14:paraId="14C9B6B3" w14:textId="77777777" w:rsidR="000A6C03" w:rsidRPr="005F31DE" w:rsidRDefault="000A6C03" w:rsidP="000A6C03">
      <w:pPr>
        <w:spacing w:after="0" w:line="240" w:lineRule="auto"/>
        <w:jc w:val="both"/>
        <w:rPr>
          <w:rFonts w:ascii="Times New Roman" w:hAnsi="Times New Roman"/>
          <w:sz w:val="24"/>
          <w:szCs w:val="24"/>
          <w:u w:val="single"/>
        </w:rPr>
      </w:pPr>
      <w:r>
        <w:rPr>
          <w:rFonts w:ascii="Times New Roman" w:hAnsi="Times New Roman"/>
          <w:sz w:val="24"/>
          <w:szCs w:val="24"/>
          <w:u w:val="single"/>
        </w:rPr>
        <w:t>K bodu 14 (§ 15a ods. 4 a 5</w:t>
      </w:r>
      <w:r w:rsidRPr="005F31DE">
        <w:rPr>
          <w:rFonts w:ascii="Times New Roman" w:hAnsi="Times New Roman"/>
          <w:sz w:val="24"/>
          <w:szCs w:val="24"/>
          <w:u w:val="single"/>
        </w:rPr>
        <w:t>):</w:t>
      </w:r>
    </w:p>
    <w:p w14:paraId="1972A208" w14:textId="77777777" w:rsidR="000A6C03" w:rsidRDefault="000A6C03" w:rsidP="000A6C03">
      <w:pPr>
        <w:spacing w:after="0" w:line="240" w:lineRule="auto"/>
        <w:jc w:val="both"/>
        <w:rPr>
          <w:rFonts w:ascii="Times New Roman" w:hAnsi="Times New Roman"/>
          <w:sz w:val="24"/>
          <w:szCs w:val="24"/>
        </w:rPr>
      </w:pPr>
      <w:r>
        <w:rPr>
          <w:rFonts w:ascii="Times New Roman" w:hAnsi="Times New Roman"/>
          <w:sz w:val="24"/>
          <w:szCs w:val="24"/>
        </w:rPr>
        <w:t>Legislatívno-technická úprava v nadväznosti na úpravu § 9 (premiestnenie textu z § 9 ods. 2 písm. b) do vecne príslušného paragrafu). Navrhuje sa tiež definovať dôvod, rozsah a účel spracovávaných osobných údajov fyzickej osoby – poplatníka podľa tohto právneho predpisu v centrálnom systéme evidencie poplatkov prevádzkovateľa systému a v centrálnom systéme evidencie poplatkov Štátnej pokladnice. Rozsah spracovaných osobných údajov je definovaný v zákone, pričom pod slovami „iné údaje“ sa rozumejú údaje súvisiace s platobným úkonom a úkonom alebo konaním orgánu podľa § 3 (t. z., napr. banka odosielateľa, číslo účtu, spôsob a čas vykonanej platby, forma vykonanej platby, identifikácia platobného zariadenia, variabilný symbol, referencia platiteľa, prepojenie na číslo podania/konania/spisu/záznamu).</w:t>
      </w:r>
    </w:p>
    <w:p w14:paraId="5DBEDECD" w14:textId="77777777" w:rsidR="000A6C03" w:rsidRDefault="000A6C03" w:rsidP="000A6C03">
      <w:pPr>
        <w:spacing w:after="0" w:line="240" w:lineRule="auto"/>
        <w:jc w:val="both"/>
        <w:rPr>
          <w:rFonts w:ascii="Times New Roman" w:hAnsi="Times New Roman"/>
          <w:sz w:val="24"/>
          <w:szCs w:val="24"/>
        </w:rPr>
      </w:pPr>
    </w:p>
    <w:p w14:paraId="7E764CC3" w14:textId="77777777" w:rsidR="000A6C03" w:rsidRPr="00CB2E0D" w:rsidRDefault="000A6C03" w:rsidP="000A6C03">
      <w:pPr>
        <w:spacing w:after="0" w:line="240" w:lineRule="auto"/>
        <w:jc w:val="both"/>
        <w:rPr>
          <w:rFonts w:ascii="Times New Roman" w:hAnsi="Times New Roman"/>
          <w:sz w:val="24"/>
          <w:szCs w:val="24"/>
          <w:u w:val="single"/>
        </w:rPr>
      </w:pPr>
      <w:r w:rsidRPr="00CB2E0D">
        <w:rPr>
          <w:rFonts w:ascii="Times New Roman" w:hAnsi="Times New Roman"/>
          <w:sz w:val="24"/>
          <w:szCs w:val="24"/>
          <w:u w:val="single"/>
        </w:rPr>
        <w:t xml:space="preserve">K bodu </w:t>
      </w:r>
      <w:r>
        <w:rPr>
          <w:rFonts w:ascii="Times New Roman" w:hAnsi="Times New Roman"/>
          <w:sz w:val="24"/>
          <w:szCs w:val="24"/>
          <w:u w:val="single"/>
        </w:rPr>
        <w:t>15</w:t>
      </w:r>
      <w:r w:rsidRPr="00CB2E0D">
        <w:rPr>
          <w:rFonts w:ascii="Times New Roman" w:hAnsi="Times New Roman"/>
          <w:sz w:val="24"/>
          <w:szCs w:val="24"/>
          <w:u w:val="single"/>
        </w:rPr>
        <w:t xml:space="preserve"> (§ </w:t>
      </w:r>
      <w:r>
        <w:rPr>
          <w:rFonts w:ascii="Times New Roman" w:hAnsi="Times New Roman"/>
          <w:sz w:val="24"/>
          <w:szCs w:val="24"/>
          <w:u w:val="single"/>
        </w:rPr>
        <w:t>15b</w:t>
      </w:r>
      <w:r w:rsidRPr="00CB2E0D">
        <w:rPr>
          <w:rFonts w:ascii="Times New Roman" w:hAnsi="Times New Roman"/>
          <w:sz w:val="24"/>
          <w:szCs w:val="24"/>
          <w:u w:val="single"/>
        </w:rPr>
        <w:t>):</w:t>
      </w:r>
    </w:p>
    <w:p w14:paraId="1B6BE36E" w14:textId="77777777" w:rsidR="000A6C03" w:rsidRDefault="000A6C03" w:rsidP="000A6C03">
      <w:pPr>
        <w:spacing w:after="0" w:line="240" w:lineRule="auto"/>
        <w:jc w:val="both"/>
        <w:rPr>
          <w:rFonts w:ascii="Times New Roman" w:hAnsi="Times New Roman"/>
          <w:sz w:val="24"/>
          <w:szCs w:val="24"/>
        </w:rPr>
      </w:pPr>
      <w:r>
        <w:rPr>
          <w:rFonts w:ascii="Times New Roman" w:hAnsi="Times New Roman"/>
          <w:sz w:val="24"/>
          <w:szCs w:val="24"/>
        </w:rPr>
        <w:t>Zosúladenie v nadväznosti na zmenu v § 15 a zároveň zosúladenie s § 16 zákona o správnych poplatkoch. O</w:t>
      </w:r>
      <w:r w:rsidRPr="00602C4E">
        <w:rPr>
          <w:rFonts w:ascii="Times New Roman" w:hAnsi="Times New Roman"/>
          <w:sz w:val="24"/>
          <w:szCs w:val="24"/>
        </w:rPr>
        <w:t xml:space="preserve">rgány podľa § 3 zákona o súdnych poplatkoch sú </w:t>
      </w:r>
      <w:r>
        <w:rPr>
          <w:rFonts w:ascii="Times New Roman" w:hAnsi="Times New Roman"/>
          <w:sz w:val="24"/>
          <w:szCs w:val="24"/>
        </w:rPr>
        <w:t xml:space="preserve">tiež </w:t>
      </w:r>
      <w:r w:rsidRPr="00602C4E">
        <w:rPr>
          <w:rFonts w:ascii="Times New Roman" w:hAnsi="Times New Roman"/>
          <w:sz w:val="24"/>
          <w:szCs w:val="24"/>
        </w:rPr>
        <w:t>viazané dodržiavaním všeobecne platných právnych predpisov, pričom ich porušením má byť zabezpečená náprava a</w:t>
      </w:r>
      <w:r>
        <w:rPr>
          <w:rFonts w:ascii="Times New Roman" w:hAnsi="Times New Roman"/>
          <w:sz w:val="24"/>
          <w:szCs w:val="24"/>
        </w:rPr>
        <w:t> </w:t>
      </w:r>
      <w:r w:rsidRPr="00602C4E">
        <w:rPr>
          <w:rFonts w:ascii="Times New Roman" w:hAnsi="Times New Roman"/>
          <w:sz w:val="24"/>
          <w:szCs w:val="24"/>
        </w:rPr>
        <w:t xml:space="preserve">zároveň má </w:t>
      </w:r>
      <w:r>
        <w:rPr>
          <w:rFonts w:ascii="Times New Roman" w:hAnsi="Times New Roman"/>
          <w:sz w:val="24"/>
          <w:szCs w:val="24"/>
        </w:rPr>
        <w:t xml:space="preserve">prípadné uloženie sankcie </w:t>
      </w:r>
      <w:r w:rsidRPr="00602C4E">
        <w:rPr>
          <w:rFonts w:ascii="Times New Roman" w:hAnsi="Times New Roman"/>
          <w:sz w:val="24"/>
          <w:szCs w:val="24"/>
        </w:rPr>
        <w:t>pôsobiť pre orgán preventívne</w:t>
      </w:r>
      <w:r>
        <w:rPr>
          <w:rFonts w:ascii="Times New Roman" w:hAnsi="Times New Roman"/>
          <w:sz w:val="24"/>
          <w:szCs w:val="24"/>
        </w:rPr>
        <w:t>.</w:t>
      </w:r>
      <w:r w:rsidRPr="00602C4E">
        <w:rPr>
          <w:rFonts w:ascii="Times New Roman" w:hAnsi="Times New Roman"/>
          <w:sz w:val="24"/>
          <w:szCs w:val="24"/>
        </w:rPr>
        <w:t xml:space="preserve"> Uvedené doplnenie vzniklo na základe historicky vykonaných vládnych auditov na orgánoch podľa § 3, pričom vládny audit konštatoval absenciu správnej sankcie za zistené porušenia právneho predpisu.</w:t>
      </w:r>
      <w:r>
        <w:rPr>
          <w:rFonts w:ascii="Times New Roman" w:hAnsi="Times New Roman"/>
          <w:sz w:val="24"/>
          <w:szCs w:val="24"/>
        </w:rPr>
        <w:t xml:space="preserve"> Legislatívnym návrhom sa sprievodne zabezpečuje primeraná kapacita na vykonanie vládnych auditov po účinnosti zákona, nakoľko existujú poznatky z aplikačnej praxe, že pri niektorých správnych orgánoch, ale aj súdoch nie sú dodržiavané všeobecné zásady a postupy pri spracovaní „eKolkov“ a </w:t>
      </w:r>
      <w:r w:rsidRPr="00602C4E">
        <w:rPr>
          <w:rFonts w:ascii="Times New Roman" w:hAnsi="Times New Roman"/>
          <w:sz w:val="24"/>
          <w:szCs w:val="24"/>
          <w:shd w:val="clear" w:color="auto" w:fill="FFFFFF" w:themeFill="background1"/>
        </w:rPr>
        <w:t xml:space="preserve">došlých úhrad poplatkov k vytvoreným platobným predpisom. Navrhuje sa tiež jednotná suma maximálnej pokuty pre orgány podľa § 3 zhodne so správnymi orgánmi. </w:t>
      </w:r>
      <w:r w:rsidRPr="00602C4E">
        <w:rPr>
          <w:rFonts w:ascii="Times New Roman" w:hAnsi="Times New Roman"/>
          <w:color w:val="000000"/>
          <w:sz w:val="24"/>
          <w:shd w:val="clear" w:color="auto" w:fill="FFFFFF" w:themeFill="background1"/>
        </w:rPr>
        <w:t>Suma sankcie vo výške 250 eur</w:t>
      </w:r>
      <w:r>
        <w:rPr>
          <w:rFonts w:ascii="Times New Roman" w:hAnsi="Times New Roman"/>
          <w:color w:val="000000"/>
          <w:sz w:val="24"/>
        </w:rPr>
        <w:t xml:space="preserve"> je maximálna suma za jeden vykonaný audit bez ohľadu na počet zistených nedostatkov. Zároveň sa navrhuje doplniť osobitná lehota pre uloženie pokuty podľa tohto paragrafu.</w:t>
      </w:r>
    </w:p>
    <w:p w14:paraId="1500BFEA" w14:textId="77777777" w:rsidR="000A6C03" w:rsidRDefault="000A6C03" w:rsidP="000A6C03">
      <w:pPr>
        <w:spacing w:after="0" w:line="240" w:lineRule="auto"/>
        <w:jc w:val="both"/>
        <w:rPr>
          <w:rFonts w:ascii="Times New Roman" w:hAnsi="Times New Roman"/>
          <w:sz w:val="24"/>
          <w:szCs w:val="24"/>
        </w:rPr>
      </w:pPr>
    </w:p>
    <w:p w14:paraId="58CF3C63" w14:textId="77777777" w:rsidR="000A6C03" w:rsidRPr="00CB2E0D" w:rsidRDefault="000A6C03" w:rsidP="000A6C03">
      <w:pPr>
        <w:spacing w:after="0" w:line="240" w:lineRule="auto"/>
        <w:jc w:val="both"/>
        <w:rPr>
          <w:rFonts w:ascii="Times New Roman" w:hAnsi="Times New Roman"/>
          <w:sz w:val="24"/>
          <w:szCs w:val="24"/>
          <w:u w:val="single"/>
        </w:rPr>
      </w:pPr>
      <w:r w:rsidRPr="00CB2E0D">
        <w:rPr>
          <w:rFonts w:ascii="Times New Roman" w:hAnsi="Times New Roman"/>
          <w:sz w:val="24"/>
          <w:szCs w:val="24"/>
          <w:u w:val="single"/>
        </w:rPr>
        <w:t xml:space="preserve">K bodu </w:t>
      </w:r>
      <w:r>
        <w:rPr>
          <w:rFonts w:ascii="Times New Roman" w:hAnsi="Times New Roman"/>
          <w:sz w:val="24"/>
          <w:szCs w:val="24"/>
          <w:u w:val="single"/>
        </w:rPr>
        <w:t>16</w:t>
      </w:r>
      <w:r w:rsidRPr="00CB2E0D">
        <w:rPr>
          <w:rFonts w:ascii="Times New Roman" w:hAnsi="Times New Roman"/>
          <w:sz w:val="24"/>
          <w:szCs w:val="24"/>
          <w:u w:val="single"/>
        </w:rPr>
        <w:t xml:space="preserve"> (§ 16 ods. 2 až 4):</w:t>
      </w:r>
    </w:p>
    <w:p w14:paraId="214C8DA4" w14:textId="77777777" w:rsidR="000A6C03" w:rsidRDefault="000A6C03" w:rsidP="000A6C03">
      <w:pPr>
        <w:spacing w:after="0" w:line="240" w:lineRule="auto"/>
        <w:jc w:val="both"/>
        <w:rPr>
          <w:rFonts w:ascii="Times New Roman" w:hAnsi="Times New Roman"/>
          <w:sz w:val="24"/>
          <w:szCs w:val="24"/>
        </w:rPr>
      </w:pPr>
      <w:r>
        <w:rPr>
          <w:rFonts w:ascii="Times New Roman" w:hAnsi="Times New Roman"/>
          <w:sz w:val="24"/>
          <w:szCs w:val="24"/>
        </w:rPr>
        <w:t>Legislatívno-technická úprava v nadväznosti na zmenu v § 9, 11, 15a a 16b.</w:t>
      </w:r>
    </w:p>
    <w:p w14:paraId="10E280BB" w14:textId="77777777" w:rsidR="000A6C03" w:rsidRDefault="000A6C03" w:rsidP="000A6C03">
      <w:pPr>
        <w:spacing w:after="0" w:line="240" w:lineRule="auto"/>
        <w:jc w:val="both"/>
        <w:rPr>
          <w:rFonts w:ascii="Times New Roman" w:hAnsi="Times New Roman"/>
          <w:sz w:val="24"/>
          <w:szCs w:val="24"/>
        </w:rPr>
      </w:pPr>
    </w:p>
    <w:p w14:paraId="5C714998" w14:textId="77777777" w:rsidR="000A6C03" w:rsidRPr="00A14880" w:rsidRDefault="000A6C03" w:rsidP="000A6C03">
      <w:pPr>
        <w:spacing w:after="0" w:line="240" w:lineRule="auto"/>
        <w:jc w:val="both"/>
        <w:rPr>
          <w:rFonts w:ascii="Times New Roman" w:hAnsi="Times New Roman"/>
          <w:sz w:val="24"/>
          <w:szCs w:val="24"/>
          <w:u w:val="single"/>
        </w:rPr>
      </w:pPr>
      <w:r w:rsidRPr="00A14880">
        <w:rPr>
          <w:rFonts w:ascii="Times New Roman" w:hAnsi="Times New Roman"/>
          <w:sz w:val="24"/>
          <w:szCs w:val="24"/>
          <w:u w:val="single"/>
        </w:rPr>
        <w:t>K bodu 1</w:t>
      </w:r>
      <w:r>
        <w:rPr>
          <w:rFonts w:ascii="Times New Roman" w:hAnsi="Times New Roman"/>
          <w:sz w:val="24"/>
          <w:szCs w:val="24"/>
          <w:u w:val="single"/>
        </w:rPr>
        <w:t>7</w:t>
      </w:r>
      <w:r w:rsidRPr="00A14880">
        <w:rPr>
          <w:rFonts w:ascii="Times New Roman" w:hAnsi="Times New Roman"/>
          <w:sz w:val="24"/>
          <w:szCs w:val="24"/>
          <w:u w:val="single"/>
        </w:rPr>
        <w:t xml:space="preserve"> (§ 1</w:t>
      </w:r>
      <w:r>
        <w:rPr>
          <w:rFonts w:ascii="Times New Roman" w:hAnsi="Times New Roman"/>
          <w:sz w:val="24"/>
          <w:szCs w:val="24"/>
          <w:u w:val="single"/>
        </w:rPr>
        <w:t>6</w:t>
      </w:r>
      <w:r w:rsidRPr="00A14880">
        <w:rPr>
          <w:rFonts w:ascii="Times New Roman" w:hAnsi="Times New Roman"/>
          <w:sz w:val="24"/>
          <w:szCs w:val="24"/>
          <w:u w:val="single"/>
        </w:rPr>
        <w:t xml:space="preserve">a ods. </w:t>
      </w:r>
      <w:r>
        <w:rPr>
          <w:rFonts w:ascii="Times New Roman" w:hAnsi="Times New Roman"/>
          <w:sz w:val="24"/>
          <w:szCs w:val="24"/>
          <w:u w:val="single"/>
        </w:rPr>
        <w:t>1 písm. f)</w:t>
      </w:r>
      <w:r w:rsidRPr="00A14880">
        <w:rPr>
          <w:rFonts w:ascii="Times New Roman" w:hAnsi="Times New Roman"/>
          <w:sz w:val="24"/>
          <w:szCs w:val="24"/>
          <w:u w:val="single"/>
        </w:rPr>
        <w:t>)</w:t>
      </w:r>
      <w:r>
        <w:rPr>
          <w:rFonts w:ascii="Times New Roman" w:hAnsi="Times New Roman"/>
          <w:sz w:val="24"/>
          <w:szCs w:val="24"/>
          <w:u w:val="single"/>
        </w:rPr>
        <w:t>:</w:t>
      </w:r>
    </w:p>
    <w:p w14:paraId="012126E3" w14:textId="77777777" w:rsidR="000A6C03" w:rsidRDefault="000A6C03" w:rsidP="000A6C03">
      <w:pPr>
        <w:spacing w:after="0" w:line="240" w:lineRule="auto"/>
        <w:jc w:val="both"/>
        <w:rPr>
          <w:rFonts w:ascii="Times New Roman" w:hAnsi="Times New Roman"/>
          <w:sz w:val="24"/>
          <w:szCs w:val="24"/>
        </w:rPr>
      </w:pPr>
      <w:r>
        <w:rPr>
          <w:rFonts w:ascii="Times New Roman" w:hAnsi="Times New Roman"/>
          <w:sz w:val="24"/>
          <w:szCs w:val="24"/>
        </w:rPr>
        <w:t>Legislatívno-technická úprava v nadväznosti na zmenu pojmu.</w:t>
      </w:r>
    </w:p>
    <w:p w14:paraId="6FDD7DB2" w14:textId="77777777" w:rsidR="000A6C03" w:rsidRDefault="000A6C03" w:rsidP="000A6C03">
      <w:pPr>
        <w:spacing w:after="0" w:line="240" w:lineRule="auto"/>
        <w:jc w:val="both"/>
        <w:rPr>
          <w:rFonts w:ascii="Times New Roman" w:hAnsi="Times New Roman"/>
          <w:sz w:val="24"/>
          <w:szCs w:val="24"/>
          <w:u w:val="single"/>
        </w:rPr>
      </w:pPr>
    </w:p>
    <w:p w14:paraId="1F2C0E74" w14:textId="77777777" w:rsidR="000A6C03" w:rsidRPr="00A14880" w:rsidRDefault="000A6C03" w:rsidP="000A6C03">
      <w:pPr>
        <w:spacing w:after="0" w:line="240" w:lineRule="auto"/>
        <w:jc w:val="both"/>
        <w:rPr>
          <w:rFonts w:ascii="Times New Roman" w:hAnsi="Times New Roman"/>
          <w:sz w:val="24"/>
          <w:szCs w:val="24"/>
          <w:u w:val="single"/>
        </w:rPr>
      </w:pPr>
      <w:r w:rsidRPr="00A14880">
        <w:rPr>
          <w:rFonts w:ascii="Times New Roman" w:hAnsi="Times New Roman"/>
          <w:sz w:val="24"/>
          <w:szCs w:val="24"/>
          <w:u w:val="single"/>
        </w:rPr>
        <w:t>K bodu 1</w:t>
      </w:r>
      <w:r>
        <w:rPr>
          <w:rFonts w:ascii="Times New Roman" w:hAnsi="Times New Roman"/>
          <w:sz w:val="24"/>
          <w:szCs w:val="24"/>
          <w:u w:val="single"/>
        </w:rPr>
        <w:t>8</w:t>
      </w:r>
      <w:r w:rsidRPr="00A14880">
        <w:rPr>
          <w:rFonts w:ascii="Times New Roman" w:hAnsi="Times New Roman"/>
          <w:sz w:val="24"/>
          <w:szCs w:val="24"/>
          <w:u w:val="single"/>
        </w:rPr>
        <w:t xml:space="preserve"> (§ 1</w:t>
      </w:r>
      <w:r>
        <w:rPr>
          <w:rFonts w:ascii="Times New Roman" w:hAnsi="Times New Roman"/>
          <w:sz w:val="24"/>
          <w:szCs w:val="24"/>
          <w:u w:val="single"/>
        </w:rPr>
        <w:t>6</w:t>
      </w:r>
      <w:r w:rsidRPr="00A14880">
        <w:rPr>
          <w:rFonts w:ascii="Times New Roman" w:hAnsi="Times New Roman"/>
          <w:sz w:val="24"/>
          <w:szCs w:val="24"/>
          <w:u w:val="single"/>
        </w:rPr>
        <w:t xml:space="preserve">a ods. </w:t>
      </w:r>
      <w:r>
        <w:rPr>
          <w:rFonts w:ascii="Times New Roman" w:hAnsi="Times New Roman"/>
          <w:sz w:val="24"/>
          <w:szCs w:val="24"/>
          <w:u w:val="single"/>
        </w:rPr>
        <w:t>2 tretia veta</w:t>
      </w:r>
      <w:r w:rsidRPr="00A14880">
        <w:rPr>
          <w:rFonts w:ascii="Times New Roman" w:hAnsi="Times New Roman"/>
          <w:sz w:val="24"/>
          <w:szCs w:val="24"/>
          <w:u w:val="single"/>
        </w:rPr>
        <w:t>)</w:t>
      </w:r>
      <w:r>
        <w:rPr>
          <w:rFonts w:ascii="Times New Roman" w:hAnsi="Times New Roman"/>
          <w:sz w:val="24"/>
          <w:szCs w:val="24"/>
          <w:u w:val="single"/>
        </w:rPr>
        <w:t>:</w:t>
      </w:r>
    </w:p>
    <w:p w14:paraId="78332FA9" w14:textId="77777777" w:rsidR="000A6C03" w:rsidRDefault="000A6C03" w:rsidP="000A6C03">
      <w:pPr>
        <w:spacing w:after="0" w:line="240" w:lineRule="auto"/>
        <w:jc w:val="both"/>
        <w:rPr>
          <w:rFonts w:ascii="Times New Roman" w:hAnsi="Times New Roman"/>
          <w:sz w:val="24"/>
          <w:szCs w:val="24"/>
        </w:rPr>
      </w:pPr>
      <w:r>
        <w:rPr>
          <w:rFonts w:ascii="Times New Roman" w:hAnsi="Times New Roman"/>
          <w:sz w:val="24"/>
          <w:szCs w:val="24"/>
        </w:rPr>
        <w:t>Legislatívno-technická úprava v nadväznosti na zavedenú legislatívnu skratku.</w:t>
      </w:r>
    </w:p>
    <w:p w14:paraId="5EB85716" w14:textId="77777777" w:rsidR="000A6C03" w:rsidRDefault="000A6C03" w:rsidP="000A6C03">
      <w:pPr>
        <w:spacing w:after="0" w:line="240" w:lineRule="auto"/>
        <w:jc w:val="both"/>
        <w:rPr>
          <w:rFonts w:ascii="Times New Roman" w:hAnsi="Times New Roman"/>
          <w:sz w:val="24"/>
          <w:szCs w:val="24"/>
        </w:rPr>
      </w:pPr>
    </w:p>
    <w:p w14:paraId="60F1C806" w14:textId="77777777" w:rsidR="000A6C03" w:rsidRDefault="000A6C03" w:rsidP="000A6C03">
      <w:pPr>
        <w:spacing w:after="0" w:line="240" w:lineRule="auto"/>
        <w:jc w:val="both"/>
        <w:rPr>
          <w:rFonts w:ascii="Times New Roman" w:hAnsi="Times New Roman"/>
          <w:sz w:val="24"/>
          <w:szCs w:val="24"/>
          <w:u w:val="single"/>
        </w:rPr>
      </w:pPr>
      <w:r w:rsidRPr="001B180F">
        <w:rPr>
          <w:rFonts w:ascii="Times New Roman" w:hAnsi="Times New Roman"/>
          <w:sz w:val="24"/>
          <w:szCs w:val="24"/>
          <w:u w:val="single"/>
        </w:rPr>
        <w:t xml:space="preserve">K bodu </w:t>
      </w:r>
      <w:r>
        <w:rPr>
          <w:rFonts w:ascii="Times New Roman" w:hAnsi="Times New Roman"/>
          <w:sz w:val="24"/>
          <w:szCs w:val="24"/>
          <w:u w:val="single"/>
        </w:rPr>
        <w:t>19 (§ 16a ods. 3):</w:t>
      </w:r>
    </w:p>
    <w:p w14:paraId="369370A3" w14:textId="77777777" w:rsidR="000A6C03" w:rsidRDefault="000A6C03" w:rsidP="000A6C03">
      <w:pPr>
        <w:spacing w:after="0" w:line="240" w:lineRule="auto"/>
        <w:jc w:val="both"/>
        <w:rPr>
          <w:rFonts w:ascii="Times New Roman" w:hAnsi="Times New Roman"/>
          <w:sz w:val="24"/>
          <w:szCs w:val="24"/>
        </w:rPr>
      </w:pPr>
      <w:r>
        <w:rPr>
          <w:rFonts w:ascii="Times New Roman" w:hAnsi="Times New Roman"/>
          <w:sz w:val="24"/>
          <w:szCs w:val="24"/>
        </w:rPr>
        <w:t>Legislatívno-technická úprava v nadväznosti na úpravu § 9 (premiestnenie textu z § 9 ods. 3 do vecne príslušného paragrafu).</w:t>
      </w:r>
    </w:p>
    <w:p w14:paraId="5154EA9D" w14:textId="77777777" w:rsidR="000A6C03" w:rsidRDefault="000A6C03" w:rsidP="000A6C03">
      <w:pPr>
        <w:spacing w:after="0" w:line="240" w:lineRule="auto"/>
        <w:jc w:val="both"/>
        <w:rPr>
          <w:rFonts w:ascii="Times New Roman" w:hAnsi="Times New Roman"/>
          <w:sz w:val="24"/>
          <w:szCs w:val="24"/>
        </w:rPr>
      </w:pPr>
    </w:p>
    <w:p w14:paraId="41B97B3A" w14:textId="77777777" w:rsidR="000A6C03" w:rsidRDefault="000A6C03" w:rsidP="000A6C03">
      <w:pPr>
        <w:spacing w:after="0" w:line="240" w:lineRule="auto"/>
        <w:jc w:val="both"/>
        <w:rPr>
          <w:rFonts w:ascii="Times New Roman" w:hAnsi="Times New Roman"/>
          <w:sz w:val="24"/>
          <w:szCs w:val="24"/>
          <w:u w:val="single"/>
        </w:rPr>
      </w:pPr>
      <w:r>
        <w:rPr>
          <w:rFonts w:ascii="Times New Roman" w:hAnsi="Times New Roman"/>
          <w:sz w:val="24"/>
          <w:szCs w:val="24"/>
          <w:u w:val="single"/>
        </w:rPr>
        <w:t>K bodu 20 (§ 16b):</w:t>
      </w:r>
    </w:p>
    <w:p w14:paraId="03B93305" w14:textId="77777777" w:rsidR="000A6C03" w:rsidRDefault="000A6C03" w:rsidP="000A6C03">
      <w:pPr>
        <w:spacing w:after="0" w:line="240" w:lineRule="auto"/>
        <w:jc w:val="both"/>
        <w:rPr>
          <w:rFonts w:ascii="Times New Roman" w:hAnsi="Times New Roman"/>
          <w:sz w:val="24"/>
          <w:szCs w:val="24"/>
        </w:rPr>
      </w:pPr>
      <w:r w:rsidRPr="00C73F2F">
        <w:rPr>
          <w:rFonts w:ascii="Times New Roman" w:hAnsi="Times New Roman"/>
          <w:sz w:val="24"/>
          <w:szCs w:val="24"/>
        </w:rPr>
        <w:t>Navrhuje sa prepojenie tohto právneho predpisu s osobitným právnym predpisom (zákon č.</w:t>
      </w:r>
      <w:r>
        <w:rPr>
          <w:rFonts w:ascii="Times New Roman" w:hAnsi="Times New Roman"/>
          <w:sz w:val="24"/>
          <w:szCs w:val="24"/>
        </w:rPr>
        <w:t> </w:t>
      </w:r>
      <w:r w:rsidRPr="00C73F2F">
        <w:rPr>
          <w:rFonts w:ascii="Times New Roman" w:hAnsi="Times New Roman"/>
          <w:sz w:val="24"/>
          <w:szCs w:val="24"/>
        </w:rPr>
        <w:t xml:space="preserve">291/2002 Z. z. o Štátnej pokladnici v znení neskorších predpisov), tak aby sa kompetenčne </w:t>
      </w:r>
      <w:r>
        <w:rPr>
          <w:rFonts w:ascii="Times New Roman" w:hAnsi="Times New Roman"/>
          <w:sz w:val="24"/>
          <w:szCs w:val="24"/>
        </w:rPr>
        <w:t>rozšírila pôsobnosť Štátnej pokladnice</w:t>
      </w:r>
      <w:r w:rsidRPr="00C73F2F">
        <w:rPr>
          <w:rFonts w:ascii="Times New Roman" w:hAnsi="Times New Roman"/>
          <w:sz w:val="24"/>
          <w:szCs w:val="24"/>
        </w:rPr>
        <w:t xml:space="preserve"> novými úlohami a činnosťami, ktoré má zabezpečovať vo vzťahu k</w:t>
      </w:r>
      <w:r>
        <w:rPr>
          <w:rFonts w:ascii="Times New Roman" w:hAnsi="Times New Roman"/>
          <w:sz w:val="24"/>
          <w:szCs w:val="24"/>
        </w:rPr>
        <w:t> </w:t>
      </w:r>
      <w:r w:rsidRPr="00C73F2F">
        <w:rPr>
          <w:rFonts w:ascii="Times New Roman" w:hAnsi="Times New Roman"/>
          <w:sz w:val="24"/>
          <w:szCs w:val="24"/>
        </w:rPr>
        <w:t>cen</w:t>
      </w:r>
      <w:r>
        <w:rPr>
          <w:rFonts w:ascii="Times New Roman" w:hAnsi="Times New Roman"/>
          <w:sz w:val="24"/>
          <w:szCs w:val="24"/>
        </w:rPr>
        <w:t>trálnej evidencii poplatkov.</w:t>
      </w:r>
    </w:p>
    <w:p w14:paraId="72E6FD36" w14:textId="77777777" w:rsidR="000A6C03" w:rsidRDefault="000A6C03" w:rsidP="000A6C03">
      <w:pPr>
        <w:spacing w:after="0" w:line="240" w:lineRule="auto"/>
        <w:jc w:val="both"/>
        <w:rPr>
          <w:rFonts w:ascii="Times New Roman" w:hAnsi="Times New Roman"/>
          <w:sz w:val="24"/>
          <w:szCs w:val="24"/>
        </w:rPr>
      </w:pPr>
    </w:p>
    <w:p w14:paraId="228CFBE0" w14:textId="77777777" w:rsidR="000A6C03" w:rsidRPr="00800D4B" w:rsidRDefault="000A6C03" w:rsidP="000A6C03">
      <w:pPr>
        <w:spacing w:after="0" w:line="240" w:lineRule="auto"/>
        <w:jc w:val="both"/>
        <w:rPr>
          <w:rFonts w:ascii="Times New Roman" w:hAnsi="Times New Roman"/>
          <w:sz w:val="24"/>
          <w:szCs w:val="24"/>
          <w:u w:val="single"/>
        </w:rPr>
      </w:pPr>
      <w:r w:rsidRPr="00800D4B">
        <w:rPr>
          <w:rFonts w:ascii="Times New Roman" w:hAnsi="Times New Roman"/>
          <w:sz w:val="24"/>
          <w:szCs w:val="24"/>
          <w:u w:val="single"/>
        </w:rPr>
        <w:t xml:space="preserve">K bodu </w:t>
      </w:r>
      <w:r>
        <w:rPr>
          <w:rFonts w:ascii="Times New Roman" w:hAnsi="Times New Roman"/>
          <w:sz w:val="24"/>
          <w:szCs w:val="24"/>
          <w:u w:val="single"/>
        </w:rPr>
        <w:t>21</w:t>
      </w:r>
      <w:r w:rsidRPr="00800D4B">
        <w:rPr>
          <w:rFonts w:ascii="Times New Roman" w:hAnsi="Times New Roman"/>
          <w:sz w:val="24"/>
          <w:szCs w:val="24"/>
          <w:u w:val="single"/>
        </w:rPr>
        <w:t xml:space="preserve"> (§ 18mb):</w:t>
      </w:r>
    </w:p>
    <w:p w14:paraId="15A79293" w14:textId="77777777" w:rsidR="000A6C03" w:rsidRDefault="000A6C03" w:rsidP="000A6C03">
      <w:pPr>
        <w:spacing w:after="0" w:line="240" w:lineRule="auto"/>
        <w:jc w:val="both"/>
        <w:rPr>
          <w:rFonts w:ascii="Times New Roman" w:hAnsi="Times New Roman"/>
          <w:sz w:val="24"/>
          <w:szCs w:val="24"/>
        </w:rPr>
      </w:pPr>
      <w:r>
        <w:rPr>
          <w:rFonts w:ascii="Times New Roman" w:hAnsi="Times New Roman"/>
          <w:sz w:val="24"/>
          <w:szCs w:val="24"/>
        </w:rPr>
        <w:t>Navrhuje sa definovať prechodné ustanovenie, ktoré vyjadruje, že úkony súvisiace s platením poplatkov sa pri zmene centrálneho systému evidencie poplatkov (z prevádzkovateľa systému do Štátnej pokladnice) dokončia v centrálnom systéme evidencie poplatkov prevádzkovateľa systému, aj keď už správny orgán bude „nové“ spoplatnené úkony a konania evidovať v centrálnom systéme evidencie poplatkov Štátnej pokladnice.</w:t>
      </w:r>
    </w:p>
    <w:p w14:paraId="58AECED8" w14:textId="77777777" w:rsidR="000A6C03" w:rsidRDefault="000A6C03" w:rsidP="000A6C03">
      <w:pPr>
        <w:spacing w:after="0" w:line="240" w:lineRule="auto"/>
        <w:jc w:val="both"/>
        <w:rPr>
          <w:rFonts w:ascii="Times New Roman" w:hAnsi="Times New Roman"/>
          <w:sz w:val="24"/>
          <w:szCs w:val="24"/>
        </w:rPr>
      </w:pPr>
    </w:p>
    <w:p w14:paraId="45420C36" w14:textId="77777777" w:rsidR="000A6C03" w:rsidRDefault="000A6C03" w:rsidP="000A6C03">
      <w:pPr>
        <w:spacing w:after="0" w:line="240" w:lineRule="auto"/>
        <w:jc w:val="both"/>
        <w:rPr>
          <w:rFonts w:ascii="Times New Roman" w:hAnsi="Times New Roman"/>
          <w:sz w:val="24"/>
          <w:szCs w:val="24"/>
          <w:u w:val="single"/>
        </w:rPr>
      </w:pPr>
      <w:r w:rsidRPr="00557E0E">
        <w:rPr>
          <w:rFonts w:ascii="Times New Roman" w:hAnsi="Times New Roman"/>
          <w:sz w:val="24"/>
          <w:szCs w:val="24"/>
          <w:u w:val="single"/>
        </w:rPr>
        <w:t xml:space="preserve">K bodu </w:t>
      </w:r>
      <w:r>
        <w:rPr>
          <w:rFonts w:ascii="Times New Roman" w:hAnsi="Times New Roman"/>
          <w:sz w:val="24"/>
          <w:szCs w:val="24"/>
          <w:u w:val="single"/>
        </w:rPr>
        <w:t>22 (transpozičné ustanovenie):</w:t>
      </w:r>
      <w:r w:rsidRPr="00557E0E">
        <w:rPr>
          <w:rFonts w:ascii="Times New Roman" w:hAnsi="Times New Roman"/>
          <w:sz w:val="24"/>
          <w:szCs w:val="24"/>
          <w:u w:val="single"/>
        </w:rPr>
        <w:t xml:space="preserve"> </w:t>
      </w:r>
    </w:p>
    <w:p w14:paraId="11DB41FF" w14:textId="77777777" w:rsidR="000A6C03" w:rsidRPr="001D4130" w:rsidRDefault="000A6C03" w:rsidP="000A6C03">
      <w:pPr>
        <w:spacing w:after="0" w:line="240" w:lineRule="auto"/>
        <w:jc w:val="both"/>
        <w:rPr>
          <w:rFonts w:ascii="Times New Roman" w:hAnsi="Times New Roman"/>
          <w:sz w:val="24"/>
          <w:szCs w:val="24"/>
        </w:rPr>
      </w:pPr>
      <w:r w:rsidRPr="001D4130">
        <w:rPr>
          <w:rFonts w:ascii="Times New Roman" w:hAnsi="Times New Roman"/>
          <w:sz w:val="24"/>
          <w:szCs w:val="24"/>
        </w:rPr>
        <w:t>V rámci záverečných ustanovení sa uvádza, že návrhom zákona sa preber</w:t>
      </w:r>
      <w:r>
        <w:rPr>
          <w:rFonts w:ascii="Times New Roman" w:hAnsi="Times New Roman"/>
          <w:sz w:val="24"/>
          <w:szCs w:val="24"/>
        </w:rPr>
        <w:t>ajú</w:t>
      </w:r>
      <w:r w:rsidRPr="001D4130">
        <w:rPr>
          <w:rFonts w:ascii="Times New Roman" w:hAnsi="Times New Roman"/>
          <w:sz w:val="24"/>
          <w:szCs w:val="24"/>
        </w:rPr>
        <w:t xml:space="preserve"> právne záväzné akty Európskej únie uvedené v prílohe, čím je myslená smernica (EÚ) </w:t>
      </w:r>
      <w:r>
        <w:rPr>
          <w:rFonts w:ascii="Times New Roman" w:hAnsi="Times New Roman"/>
          <w:sz w:val="24"/>
          <w:szCs w:val="24"/>
        </w:rPr>
        <w:t>2017/1132 v platnom znení</w:t>
      </w:r>
      <w:r w:rsidRPr="001D4130">
        <w:rPr>
          <w:rFonts w:ascii="Times New Roman" w:hAnsi="Times New Roman"/>
          <w:sz w:val="24"/>
          <w:szCs w:val="24"/>
        </w:rPr>
        <w:t>.</w:t>
      </w:r>
    </w:p>
    <w:p w14:paraId="237F86F7" w14:textId="77777777" w:rsidR="000A6C03" w:rsidRDefault="000A6C03" w:rsidP="000A6C03">
      <w:pPr>
        <w:spacing w:after="0" w:line="240" w:lineRule="auto"/>
        <w:jc w:val="both"/>
        <w:rPr>
          <w:rFonts w:ascii="Times New Roman" w:hAnsi="Times New Roman"/>
          <w:sz w:val="24"/>
          <w:szCs w:val="24"/>
        </w:rPr>
      </w:pPr>
    </w:p>
    <w:p w14:paraId="6E697577" w14:textId="77777777" w:rsidR="000A6C03" w:rsidRDefault="000A6C03" w:rsidP="000A6C03">
      <w:pPr>
        <w:spacing w:after="0" w:line="240" w:lineRule="auto"/>
        <w:jc w:val="both"/>
        <w:rPr>
          <w:rFonts w:ascii="Times New Roman" w:hAnsi="Times New Roman"/>
          <w:bCs/>
          <w:sz w:val="24"/>
          <w:szCs w:val="24"/>
        </w:rPr>
      </w:pPr>
      <w:r w:rsidRPr="00E85EF3">
        <w:rPr>
          <w:rFonts w:ascii="Times New Roman" w:hAnsi="Times New Roman"/>
          <w:b/>
          <w:sz w:val="24"/>
          <w:szCs w:val="24"/>
        </w:rPr>
        <w:t>K </w:t>
      </w:r>
      <w:r>
        <w:rPr>
          <w:rFonts w:ascii="Times New Roman" w:hAnsi="Times New Roman"/>
          <w:b/>
          <w:sz w:val="24"/>
          <w:szCs w:val="24"/>
        </w:rPr>
        <w:t>Č</w:t>
      </w:r>
      <w:r w:rsidRPr="00E85EF3">
        <w:rPr>
          <w:rFonts w:ascii="Times New Roman" w:hAnsi="Times New Roman"/>
          <w:b/>
          <w:sz w:val="24"/>
          <w:szCs w:val="24"/>
        </w:rPr>
        <w:t>l. II</w:t>
      </w:r>
      <w:r>
        <w:rPr>
          <w:rFonts w:ascii="Times New Roman" w:hAnsi="Times New Roman"/>
          <w:b/>
          <w:sz w:val="24"/>
          <w:szCs w:val="24"/>
        </w:rPr>
        <w:t xml:space="preserve"> </w:t>
      </w:r>
      <w:r w:rsidRPr="008F76DC">
        <w:rPr>
          <w:rFonts w:ascii="Times New Roman" w:hAnsi="Times New Roman"/>
          <w:bCs/>
          <w:sz w:val="24"/>
          <w:szCs w:val="24"/>
        </w:rPr>
        <w:t>(zákon č. 4</w:t>
      </w:r>
      <w:r>
        <w:rPr>
          <w:rFonts w:ascii="Times New Roman" w:hAnsi="Times New Roman"/>
          <w:bCs/>
          <w:sz w:val="24"/>
          <w:szCs w:val="24"/>
        </w:rPr>
        <w:t>5</w:t>
      </w:r>
      <w:r w:rsidRPr="008F76DC">
        <w:rPr>
          <w:rFonts w:ascii="Times New Roman" w:hAnsi="Times New Roman"/>
          <w:bCs/>
          <w:sz w:val="24"/>
          <w:szCs w:val="24"/>
        </w:rPr>
        <w:t>5/199</w:t>
      </w:r>
      <w:r>
        <w:rPr>
          <w:rFonts w:ascii="Times New Roman" w:hAnsi="Times New Roman"/>
          <w:bCs/>
          <w:sz w:val="24"/>
          <w:szCs w:val="24"/>
        </w:rPr>
        <w:t>1</w:t>
      </w:r>
      <w:r w:rsidRPr="008F76DC">
        <w:rPr>
          <w:rFonts w:ascii="Times New Roman" w:hAnsi="Times New Roman"/>
          <w:bCs/>
          <w:sz w:val="24"/>
          <w:szCs w:val="24"/>
        </w:rPr>
        <w:t xml:space="preserve"> Z</w:t>
      </w:r>
      <w:r>
        <w:rPr>
          <w:rFonts w:ascii="Times New Roman" w:hAnsi="Times New Roman"/>
          <w:bCs/>
          <w:sz w:val="24"/>
          <w:szCs w:val="24"/>
        </w:rPr>
        <w:t>b</w:t>
      </w:r>
      <w:r w:rsidRPr="008F76DC">
        <w:rPr>
          <w:rFonts w:ascii="Times New Roman" w:hAnsi="Times New Roman"/>
          <w:bCs/>
          <w:sz w:val="24"/>
          <w:szCs w:val="24"/>
        </w:rPr>
        <w:t xml:space="preserve">. o </w:t>
      </w:r>
      <w:r w:rsidRPr="00734259">
        <w:rPr>
          <w:rFonts w:ascii="Times New Roman" w:hAnsi="Times New Roman"/>
          <w:bCs/>
          <w:sz w:val="24"/>
          <w:szCs w:val="24"/>
        </w:rPr>
        <w:t>živnostenskom podnikaní</w:t>
      </w:r>
      <w:r w:rsidRPr="008F76DC">
        <w:rPr>
          <w:rFonts w:ascii="Times New Roman" w:hAnsi="Times New Roman"/>
          <w:bCs/>
          <w:sz w:val="24"/>
          <w:szCs w:val="24"/>
        </w:rPr>
        <w:t>)</w:t>
      </w:r>
    </w:p>
    <w:p w14:paraId="5ECC37DC" w14:textId="77777777" w:rsidR="000A6C03" w:rsidRDefault="000A6C03" w:rsidP="000A6C03">
      <w:pPr>
        <w:spacing w:after="0" w:line="240" w:lineRule="auto"/>
        <w:jc w:val="both"/>
        <w:rPr>
          <w:rFonts w:ascii="Times New Roman" w:hAnsi="Times New Roman"/>
          <w:bCs/>
          <w:sz w:val="24"/>
          <w:szCs w:val="24"/>
        </w:rPr>
      </w:pPr>
    </w:p>
    <w:p w14:paraId="5B87E6D6" w14:textId="77777777" w:rsidR="000A6C03" w:rsidRDefault="000A6C03" w:rsidP="000A6C03">
      <w:pPr>
        <w:spacing w:after="0" w:line="240" w:lineRule="auto"/>
        <w:jc w:val="both"/>
        <w:rPr>
          <w:rFonts w:ascii="Times New Roman" w:hAnsi="Times New Roman"/>
          <w:bCs/>
          <w:sz w:val="24"/>
          <w:szCs w:val="24"/>
          <w:u w:val="single"/>
        </w:rPr>
      </w:pPr>
      <w:r w:rsidRPr="00734259">
        <w:rPr>
          <w:rFonts w:ascii="Times New Roman" w:hAnsi="Times New Roman"/>
          <w:bCs/>
          <w:sz w:val="24"/>
          <w:szCs w:val="24"/>
          <w:u w:val="single"/>
        </w:rPr>
        <w:t xml:space="preserve">K bodom </w:t>
      </w:r>
      <w:r>
        <w:rPr>
          <w:rFonts w:ascii="Times New Roman" w:hAnsi="Times New Roman"/>
          <w:bCs/>
          <w:sz w:val="24"/>
          <w:szCs w:val="24"/>
          <w:u w:val="single"/>
        </w:rPr>
        <w:t xml:space="preserve">1 až 3 </w:t>
      </w:r>
      <w:r w:rsidRPr="00734259">
        <w:rPr>
          <w:rFonts w:ascii="Times New Roman" w:hAnsi="Times New Roman"/>
          <w:bCs/>
          <w:sz w:val="24"/>
          <w:szCs w:val="24"/>
          <w:u w:val="single"/>
        </w:rPr>
        <w:t>(§</w:t>
      </w:r>
      <w:r>
        <w:rPr>
          <w:rFonts w:ascii="Times New Roman" w:hAnsi="Times New Roman"/>
          <w:bCs/>
          <w:sz w:val="24"/>
          <w:szCs w:val="24"/>
          <w:u w:val="single"/>
        </w:rPr>
        <w:t xml:space="preserve"> </w:t>
      </w:r>
      <w:r w:rsidRPr="00734259">
        <w:rPr>
          <w:rFonts w:ascii="Times New Roman" w:hAnsi="Times New Roman"/>
          <w:bCs/>
          <w:sz w:val="24"/>
          <w:szCs w:val="24"/>
          <w:u w:val="single"/>
        </w:rPr>
        <w:t xml:space="preserve">66ba ods. </w:t>
      </w:r>
      <w:r>
        <w:rPr>
          <w:rFonts w:ascii="Times New Roman" w:hAnsi="Times New Roman"/>
          <w:bCs/>
          <w:sz w:val="24"/>
          <w:szCs w:val="24"/>
          <w:u w:val="single"/>
        </w:rPr>
        <w:t>7, 8 a 12</w:t>
      </w:r>
      <w:r w:rsidRPr="00734259">
        <w:rPr>
          <w:rFonts w:ascii="Times New Roman" w:hAnsi="Times New Roman"/>
          <w:bCs/>
          <w:sz w:val="24"/>
          <w:szCs w:val="24"/>
          <w:u w:val="single"/>
        </w:rPr>
        <w:t>)</w:t>
      </w:r>
    </w:p>
    <w:p w14:paraId="07AF7983" w14:textId="77777777" w:rsidR="000A6C03" w:rsidRPr="00457151" w:rsidRDefault="000A6C03" w:rsidP="000A6C03">
      <w:pPr>
        <w:spacing w:after="0" w:line="240" w:lineRule="auto"/>
        <w:jc w:val="both"/>
        <w:rPr>
          <w:rFonts w:ascii="Times New Roman" w:hAnsi="Times New Roman"/>
          <w:bCs/>
          <w:sz w:val="24"/>
          <w:szCs w:val="24"/>
        </w:rPr>
      </w:pPr>
      <w:r w:rsidRPr="00457151">
        <w:rPr>
          <w:rFonts w:ascii="Times New Roman" w:hAnsi="Times New Roman"/>
          <w:bCs/>
          <w:sz w:val="24"/>
          <w:szCs w:val="24"/>
        </w:rPr>
        <w:t>V súvislosti so zmenami navrhovanými pri osobitnej právnej úprave platenia, splatnosti a</w:t>
      </w:r>
      <w:r>
        <w:rPr>
          <w:rFonts w:ascii="Times New Roman" w:hAnsi="Times New Roman"/>
          <w:bCs/>
          <w:sz w:val="24"/>
          <w:szCs w:val="24"/>
        </w:rPr>
        <w:t> </w:t>
      </w:r>
      <w:r w:rsidRPr="00457151">
        <w:rPr>
          <w:rFonts w:ascii="Times New Roman" w:hAnsi="Times New Roman"/>
          <w:bCs/>
          <w:sz w:val="24"/>
          <w:szCs w:val="24"/>
        </w:rPr>
        <w:t>vracania</w:t>
      </w:r>
      <w:r>
        <w:rPr>
          <w:rFonts w:ascii="Times New Roman" w:hAnsi="Times New Roman"/>
          <w:bCs/>
          <w:sz w:val="24"/>
          <w:szCs w:val="24"/>
        </w:rPr>
        <w:t xml:space="preserve"> </w:t>
      </w:r>
      <w:r w:rsidRPr="00457151">
        <w:rPr>
          <w:rFonts w:ascii="Times New Roman" w:hAnsi="Times New Roman"/>
          <w:bCs/>
          <w:sz w:val="24"/>
          <w:szCs w:val="24"/>
        </w:rPr>
        <w:t>súdnych poplatkov prostredníctvom jednotného kontaktného miesta v čl. I návrhu zákona je potrebné osobitne upraviť postup jednotného kontaktného miesta v prípadoch, kedy po prijatí údajov a dokladov vrátane súdnych poplatkov (vyžadovaných podľa zákona č.</w:t>
      </w:r>
      <w:r>
        <w:rPr>
          <w:rFonts w:ascii="Times New Roman" w:hAnsi="Times New Roman"/>
          <w:bCs/>
          <w:sz w:val="24"/>
          <w:szCs w:val="24"/>
        </w:rPr>
        <w:t> </w:t>
      </w:r>
      <w:r w:rsidRPr="00457151">
        <w:rPr>
          <w:rFonts w:ascii="Times New Roman" w:hAnsi="Times New Roman"/>
          <w:bCs/>
          <w:sz w:val="24"/>
          <w:szCs w:val="24"/>
        </w:rPr>
        <w:t>530/2003 Z. z.</w:t>
      </w:r>
      <w:r>
        <w:rPr>
          <w:rFonts w:ascii="Times New Roman" w:hAnsi="Times New Roman"/>
          <w:bCs/>
          <w:sz w:val="24"/>
          <w:szCs w:val="24"/>
        </w:rPr>
        <w:t xml:space="preserve"> o </w:t>
      </w:r>
      <w:r w:rsidRPr="00457151">
        <w:rPr>
          <w:rFonts w:ascii="Times New Roman" w:hAnsi="Times New Roman"/>
          <w:bCs/>
          <w:sz w:val="24"/>
          <w:szCs w:val="24"/>
        </w:rPr>
        <w:t xml:space="preserve">obchodnom registri a o zmene a doplnení niektorých zákonov) na účely zápisu údajov do obchodného registra alebo zápisu zmeny zapísaných údajov v obchodnom registri podľa § 66ba ods. 3 písm. e) živnostenského zákona, nedôjde k ich podaniu príslušnému registrovému súdu tak, ako to doposiaľ predpokladalo znenie § 66ba ods. 6 až 8. </w:t>
      </w:r>
    </w:p>
    <w:p w14:paraId="71D53AED" w14:textId="77777777" w:rsidR="000A6C03" w:rsidRDefault="000A6C03" w:rsidP="000A6C03">
      <w:pPr>
        <w:spacing w:after="0" w:line="240" w:lineRule="auto"/>
        <w:jc w:val="both"/>
        <w:rPr>
          <w:rFonts w:ascii="Times New Roman" w:hAnsi="Times New Roman"/>
          <w:bCs/>
          <w:sz w:val="24"/>
          <w:szCs w:val="24"/>
        </w:rPr>
      </w:pPr>
    </w:p>
    <w:p w14:paraId="1C4299F9" w14:textId="77777777" w:rsidR="000A6C03" w:rsidRPr="00457151" w:rsidRDefault="000A6C03" w:rsidP="000A6C03">
      <w:pPr>
        <w:spacing w:after="0" w:line="240" w:lineRule="auto"/>
        <w:jc w:val="both"/>
        <w:rPr>
          <w:rFonts w:ascii="Times New Roman" w:hAnsi="Times New Roman"/>
          <w:b/>
          <w:sz w:val="24"/>
          <w:szCs w:val="24"/>
        </w:rPr>
      </w:pPr>
      <w:r w:rsidRPr="00457151">
        <w:rPr>
          <w:rFonts w:ascii="Times New Roman" w:hAnsi="Times New Roman"/>
          <w:bCs/>
          <w:sz w:val="24"/>
          <w:szCs w:val="24"/>
        </w:rPr>
        <w:t xml:space="preserve">Doterajšie ustanovenie § 66ba ods. 7 živnostenského zákona vychádzalo z premisy zodpovednosti navrhovateľa za obsah podania do obchodného registra vykonaného prostredníctvom jednotného kontaktného miesta. Aplikačná prax však ukázala (najmä po poslednom rozšírení služieb JKM vo vzťahu k obchodnému registru novelou vykonanou zákonom č. 390/2019 Z. z.), že existujú odôvodnené prípady, kedy môže bez zavinenia na strane navrhovateľa dôjsť k takým nedostatkom návrhu, ktoré na podklade výzvy JKM navrhovateľ nevie odstrániť. Súčasná právna úprava však nepredpokladá možnosť „späťvzatia“ návrhu, ktorý má byť podaný prostredníctvom JKM (pozná len možnosť odstránenia nedostatkov po predchádzajúcej výzve JKM), čím núti JKM (po márnom uplynutí lehoty určenej vo výzve na odstránenie nedostatkov) k podaniu „nedokonalého“ návrhu, pri ktorom, už v čase jeho podania registrovému súdu je známe, že nespĺňa podmienky pre vykonanie zápisu v obchodnom registri. Predložený návrh tým, že poskytne podnikateľovi možnosť požiadať JKM o nepodanie prijatých údajov a dokladov podľa § 66ba ods. 3 písm. e) živnostenského zákona a vrátenie zaplateného súdneho poplatku, poskytne JKM možnosť flexibilne reagovať na rôzne životné situácie podnikateľov, a tým poskytnúť kvalitnejšie služby podnikateľskej verejnosti a vytvorí predpoklad pre úsporu nákladov. </w:t>
      </w:r>
    </w:p>
    <w:p w14:paraId="4219B34F" w14:textId="77777777" w:rsidR="000A6C03" w:rsidRDefault="000A6C03" w:rsidP="000A6C03">
      <w:pPr>
        <w:spacing w:after="0" w:line="240" w:lineRule="auto"/>
        <w:jc w:val="both"/>
        <w:rPr>
          <w:rFonts w:ascii="Times New Roman" w:hAnsi="Times New Roman"/>
          <w:sz w:val="24"/>
          <w:szCs w:val="24"/>
        </w:rPr>
      </w:pPr>
    </w:p>
    <w:p w14:paraId="6F00ACF9" w14:textId="77777777" w:rsidR="000A6C03" w:rsidRPr="00E85EF3" w:rsidRDefault="000A6C03" w:rsidP="000A6C03">
      <w:pPr>
        <w:spacing w:after="0" w:line="240" w:lineRule="auto"/>
        <w:jc w:val="both"/>
        <w:rPr>
          <w:rFonts w:ascii="Times New Roman" w:hAnsi="Times New Roman"/>
          <w:b/>
          <w:sz w:val="24"/>
          <w:szCs w:val="24"/>
        </w:rPr>
      </w:pPr>
      <w:r w:rsidRPr="00E85EF3">
        <w:rPr>
          <w:rFonts w:ascii="Times New Roman" w:hAnsi="Times New Roman"/>
          <w:b/>
          <w:sz w:val="24"/>
          <w:szCs w:val="24"/>
        </w:rPr>
        <w:t>K </w:t>
      </w:r>
      <w:r>
        <w:rPr>
          <w:rFonts w:ascii="Times New Roman" w:hAnsi="Times New Roman"/>
          <w:b/>
          <w:sz w:val="24"/>
          <w:szCs w:val="24"/>
        </w:rPr>
        <w:t>Č</w:t>
      </w:r>
      <w:r w:rsidRPr="00E85EF3">
        <w:rPr>
          <w:rFonts w:ascii="Times New Roman" w:hAnsi="Times New Roman"/>
          <w:b/>
          <w:sz w:val="24"/>
          <w:szCs w:val="24"/>
        </w:rPr>
        <w:t>l. I</w:t>
      </w:r>
      <w:r>
        <w:rPr>
          <w:rFonts w:ascii="Times New Roman" w:hAnsi="Times New Roman"/>
          <w:b/>
          <w:sz w:val="24"/>
          <w:szCs w:val="24"/>
        </w:rPr>
        <w:t>I</w:t>
      </w:r>
      <w:r w:rsidRPr="00E85EF3">
        <w:rPr>
          <w:rFonts w:ascii="Times New Roman" w:hAnsi="Times New Roman"/>
          <w:b/>
          <w:sz w:val="24"/>
          <w:szCs w:val="24"/>
        </w:rPr>
        <w:t>I</w:t>
      </w:r>
      <w:r>
        <w:rPr>
          <w:rFonts w:ascii="Times New Roman" w:hAnsi="Times New Roman"/>
          <w:b/>
          <w:sz w:val="24"/>
          <w:szCs w:val="24"/>
        </w:rPr>
        <w:t xml:space="preserve"> </w:t>
      </w:r>
      <w:r w:rsidRPr="008F76DC">
        <w:rPr>
          <w:rFonts w:ascii="Times New Roman" w:hAnsi="Times New Roman"/>
          <w:bCs/>
          <w:sz w:val="24"/>
          <w:szCs w:val="24"/>
        </w:rPr>
        <w:t>(zákon NR SR č. 145/1995 Z. z. o správnych poplatkoch)</w:t>
      </w:r>
    </w:p>
    <w:p w14:paraId="07F8AD0B" w14:textId="77777777" w:rsidR="000A6C03" w:rsidRDefault="000A6C03" w:rsidP="000A6C03">
      <w:pPr>
        <w:spacing w:after="0" w:line="240" w:lineRule="auto"/>
        <w:jc w:val="both"/>
        <w:rPr>
          <w:rFonts w:ascii="Times New Roman" w:hAnsi="Times New Roman"/>
          <w:sz w:val="24"/>
          <w:szCs w:val="24"/>
          <w:u w:val="single"/>
        </w:rPr>
      </w:pPr>
    </w:p>
    <w:p w14:paraId="6A1337B7" w14:textId="77777777" w:rsidR="000A6C03" w:rsidRDefault="000A6C03" w:rsidP="000A6C03">
      <w:pPr>
        <w:spacing w:after="0" w:line="240" w:lineRule="auto"/>
        <w:jc w:val="both"/>
        <w:rPr>
          <w:rFonts w:ascii="Times New Roman" w:hAnsi="Times New Roman"/>
          <w:sz w:val="24"/>
          <w:szCs w:val="24"/>
          <w:u w:val="single"/>
        </w:rPr>
      </w:pPr>
      <w:r w:rsidRPr="001B180F">
        <w:rPr>
          <w:rFonts w:ascii="Times New Roman" w:hAnsi="Times New Roman"/>
          <w:sz w:val="24"/>
          <w:szCs w:val="24"/>
          <w:u w:val="single"/>
        </w:rPr>
        <w:t>K</w:t>
      </w:r>
      <w:r>
        <w:rPr>
          <w:rFonts w:ascii="Times New Roman" w:hAnsi="Times New Roman"/>
          <w:sz w:val="24"/>
          <w:szCs w:val="24"/>
          <w:u w:val="single"/>
        </w:rPr>
        <w:t> </w:t>
      </w:r>
      <w:r w:rsidRPr="001B180F">
        <w:rPr>
          <w:rFonts w:ascii="Times New Roman" w:hAnsi="Times New Roman"/>
          <w:sz w:val="24"/>
          <w:szCs w:val="24"/>
          <w:u w:val="single"/>
        </w:rPr>
        <w:t>bod</w:t>
      </w:r>
      <w:r>
        <w:rPr>
          <w:rFonts w:ascii="Times New Roman" w:hAnsi="Times New Roman"/>
          <w:sz w:val="24"/>
          <w:szCs w:val="24"/>
          <w:u w:val="single"/>
        </w:rPr>
        <w:t>u 1 (§ 6a):</w:t>
      </w:r>
    </w:p>
    <w:p w14:paraId="7E4D5493" w14:textId="77777777" w:rsidR="000A6C03" w:rsidRDefault="000A6C03" w:rsidP="000A6C03">
      <w:pPr>
        <w:spacing w:after="0" w:line="240" w:lineRule="auto"/>
        <w:jc w:val="both"/>
        <w:rPr>
          <w:rFonts w:ascii="Times New Roman" w:hAnsi="Times New Roman"/>
          <w:sz w:val="24"/>
          <w:szCs w:val="24"/>
        </w:rPr>
      </w:pPr>
      <w:r w:rsidRPr="002064C7">
        <w:rPr>
          <w:rFonts w:ascii="Times New Roman" w:hAnsi="Times New Roman"/>
          <w:sz w:val="24"/>
          <w:szCs w:val="24"/>
        </w:rPr>
        <w:t>Legislatívn</w:t>
      </w:r>
      <w:r>
        <w:rPr>
          <w:rFonts w:ascii="Times New Roman" w:hAnsi="Times New Roman"/>
          <w:sz w:val="24"/>
          <w:szCs w:val="24"/>
        </w:rPr>
        <w:t>o</w:t>
      </w:r>
      <w:r w:rsidRPr="002064C7">
        <w:rPr>
          <w:rFonts w:ascii="Times New Roman" w:hAnsi="Times New Roman"/>
          <w:sz w:val="24"/>
          <w:szCs w:val="24"/>
        </w:rPr>
        <w:t xml:space="preserve">-technická úprava v nadväznosti na </w:t>
      </w:r>
      <w:r>
        <w:rPr>
          <w:rFonts w:ascii="Times New Roman" w:hAnsi="Times New Roman"/>
          <w:sz w:val="24"/>
          <w:szCs w:val="24"/>
        </w:rPr>
        <w:t>úpravu § 7.</w:t>
      </w:r>
    </w:p>
    <w:p w14:paraId="77B27739" w14:textId="77777777" w:rsidR="000A6C03" w:rsidRDefault="000A6C03" w:rsidP="000A6C03">
      <w:pPr>
        <w:spacing w:after="0" w:line="240" w:lineRule="auto"/>
        <w:jc w:val="both"/>
        <w:rPr>
          <w:rFonts w:ascii="Times New Roman" w:hAnsi="Times New Roman"/>
          <w:sz w:val="24"/>
          <w:szCs w:val="24"/>
        </w:rPr>
      </w:pPr>
    </w:p>
    <w:p w14:paraId="1494AE3C" w14:textId="77777777" w:rsidR="000A6C03" w:rsidRPr="00C0677F" w:rsidRDefault="000A6C03" w:rsidP="000A6C03">
      <w:pPr>
        <w:spacing w:after="0" w:line="240" w:lineRule="auto"/>
        <w:jc w:val="both"/>
        <w:rPr>
          <w:rFonts w:ascii="Times New Roman" w:hAnsi="Times New Roman"/>
          <w:sz w:val="24"/>
          <w:szCs w:val="24"/>
          <w:u w:val="single"/>
        </w:rPr>
      </w:pPr>
      <w:r w:rsidRPr="00C0677F">
        <w:rPr>
          <w:rFonts w:ascii="Times New Roman" w:hAnsi="Times New Roman"/>
          <w:sz w:val="24"/>
          <w:szCs w:val="24"/>
          <w:u w:val="single"/>
        </w:rPr>
        <w:t>K bodu 2 (§</w:t>
      </w:r>
      <w:r>
        <w:rPr>
          <w:rFonts w:ascii="Times New Roman" w:hAnsi="Times New Roman"/>
          <w:sz w:val="24"/>
          <w:szCs w:val="24"/>
          <w:u w:val="single"/>
        </w:rPr>
        <w:t xml:space="preserve"> </w:t>
      </w:r>
      <w:r w:rsidRPr="00C0677F">
        <w:rPr>
          <w:rFonts w:ascii="Times New Roman" w:hAnsi="Times New Roman"/>
          <w:sz w:val="24"/>
          <w:szCs w:val="24"/>
          <w:u w:val="single"/>
        </w:rPr>
        <w:t>7):</w:t>
      </w:r>
    </w:p>
    <w:p w14:paraId="26ECF643" w14:textId="77777777" w:rsidR="000A6C03" w:rsidRDefault="000A6C03" w:rsidP="000A6C03">
      <w:pPr>
        <w:spacing w:after="0" w:line="240" w:lineRule="auto"/>
        <w:jc w:val="both"/>
        <w:rPr>
          <w:rFonts w:ascii="Times New Roman" w:hAnsi="Times New Roman"/>
          <w:sz w:val="24"/>
          <w:szCs w:val="24"/>
        </w:rPr>
      </w:pPr>
      <w:r>
        <w:rPr>
          <w:rFonts w:ascii="Times New Roman" w:hAnsi="Times New Roman"/>
          <w:sz w:val="24"/>
          <w:szCs w:val="24"/>
        </w:rPr>
        <w:t xml:space="preserve">Vzhľadom na rozdelenie správnych orgánov, ktorým sa poplatky platia prostredníctvom centrálneho systému evidencie poplatkov prevádzkovateľa systému, prostredníctvom centrálneho systému evidencie poplatkov Štátnej pokladnice alebo mimo jedného z týchto dvoch centrálnych systémov, je vhodné ustanovenie celého paragrafu do nového znenia. S implementáciou nového centrálneho systému evidencie poplatkov Štátnej pokladnice budú súvisieť určité zmeny v procesoch vyplývajúce z technického riešenia, avšak z pohľadu poplatníka možnosti voľby spôsobu úhrady rôznymi platobnými kanálmi zostávajú zachované. Osobitné ustanovenia vo vzťahu k obciam, VÚC a zahraničným zastupiteľstvám sa primerane ponechávajú bez zmeny. Navrhuje sa v zákone definovať pojem platobný predpis, ako základný prostriedok na sprostredkovanie platobnej inštrukcie medzi správnym orgánom a poplatníkom. Platobný predpis na seba viaže kompletnú sadu informácií vzťahujúcich sa k spoplatnenému úkonu alebo konaniu správneho orgánu, ktorý je súčasne elektronickým záznamom v centrálnej evidencii poplatkov, avšak pre poplatníka po jeho sprístupnení nadobúda formu listinného dokumentu alebo elektronického dokumentu. Zavedením definície platobného predpisu nie sú dotknuté ustanovenia § 8 o vzniku poplatkovej povinnosti. Zároveň sa navrhuje náhradné riešenie uskutočňovania platieb za úkony a konania správnych orgánov v prípade výnimočnej a nepredvídanej nedostupnosti služieb centrálneho systému. </w:t>
      </w:r>
    </w:p>
    <w:p w14:paraId="6BB0203C" w14:textId="77777777" w:rsidR="000A6C03" w:rsidRDefault="000A6C03" w:rsidP="000A6C03">
      <w:pPr>
        <w:spacing w:after="0" w:line="240" w:lineRule="auto"/>
        <w:jc w:val="both"/>
        <w:rPr>
          <w:rFonts w:ascii="Times New Roman" w:hAnsi="Times New Roman"/>
          <w:sz w:val="24"/>
          <w:szCs w:val="24"/>
        </w:rPr>
      </w:pPr>
    </w:p>
    <w:p w14:paraId="5ED18AF7" w14:textId="77777777" w:rsidR="000A6C03" w:rsidRDefault="000A6C03" w:rsidP="000A6C03">
      <w:pPr>
        <w:spacing w:after="0" w:line="240" w:lineRule="auto"/>
        <w:jc w:val="both"/>
        <w:rPr>
          <w:rFonts w:ascii="Times New Roman" w:hAnsi="Times New Roman"/>
          <w:sz w:val="24"/>
          <w:szCs w:val="24"/>
        </w:rPr>
      </w:pPr>
      <w:r>
        <w:rPr>
          <w:rFonts w:ascii="Times New Roman" w:hAnsi="Times New Roman"/>
          <w:sz w:val="24"/>
          <w:szCs w:val="24"/>
        </w:rPr>
        <w:t>Vo vzťahu k ustanoveniu „</w:t>
      </w:r>
      <w:r w:rsidRPr="00841532">
        <w:rPr>
          <w:rFonts w:ascii="Times New Roman" w:hAnsi="Times New Roman"/>
          <w:sz w:val="24"/>
          <w:szCs w:val="24"/>
        </w:rPr>
        <w:t xml:space="preserve">Platbu v hotovosti alebo platobnou kartou na </w:t>
      </w:r>
      <w:r>
        <w:rPr>
          <w:rFonts w:ascii="Times New Roman" w:hAnsi="Times New Roman"/>
          <w:sz w:val="24"/>
          <w:szCs w:val="24"/>
        </w:rPr>
        <w:t xml:space="preserve">správnom </w:t>
      </w:r>
      <w:r w:rsidRPr="00841532">
        <w:rPr>
          <w:rFonts w:ascii="Times New Roman" w:hAnsi="Times New Roman"/>
          <w:sz w:val="24"/>
          <w:szCs w:val="24"/>
        </w:rPr>
        <w:t xml:space="preserve">orgáne možno vykonať, ak </w:t>
      </w:r>
      <w:r>
        <w:rPr>
          <w:rFonts w:ascii="Times New Roman" w:hAnsi="Times New Roman"/>
          <w:sz w:val="24"/>
          <w:szCs w:val="24"/>
        </w:rPr>
        <w:t>tento</w:t>
      </w:r>
      <w:r w:rsidRPr="00841532">
        <w:rPr>
          <w:rFonts w:ascii="Times New Roman" w:hAnsi="Times New Roman"/>
          <w:sz w:val="24"/>
          <w:szCs w:val="24"/>
        </w:rPr>
        <w:t xml:space="preserve"> orgán má na tieto spôsoby platby vytvorené technické podmienky</w:t>
      </w:r>
      <w:r>
        <w:rPr>
          <w:rFonts w:ascii="Times New Roman" w:hAnsi="Times New Roman"/>
          <w:sz w:val="24"/>
          <w:szCs w:val="24"/>
        </w:rPr>
        <w:t>.“ v odsekoch 3 a 4 je potrebné uviesť, že p</w:t>
      </w:r>
      <w:r w:rsidRPr="00841532">
        <w:rPr>
          <w:rFonts w:ascii="Times New Roman" w:hAnsi="Times New Roman"/>
          <w:sz w:val="24"/>
          <w:szCs w:val="24"/>
        </w:rPr>
        <w:t xml:space="preserve">latba hotovosťou sa </w:t>
      </w:r>
      <w:r>
        <w:rPr>
          <w:rFonts w:ascii="Times New Roman" w:hAnsi="Times New Roman"/>
          <w:sz w:val="24"/>
          <w:szCs w:val="24"/>
        </w:rPr>
        <w:t>podľa</w:t>
      </w:r>
      <w:r w:rsidRPr="00841532">
        <w:rPr>
          <w:rFonts w:ascii="Times New Roman" w:hAnsi="Times New Roman"/>
          <w:sz w:val="24"/>
          <w:szCs w:val="24"/>
        </w:rPr>
        <w:t xml:space="preserve"> Ústavy SR garantuje, </w:t>
      </w:r>
      <w:r>
        <w:rPr>
          <w:rFonts w:ascii="Times New Roman" w:hAnsi="Times New Roman"/>
          <w:sz w:val="24"/>
          <w:szCs w:val="24"/>
        </w:rPr>
        <w:t>ale l</w:t>
      </w:r>
      <w:r w:rsidRPr="00841532">
        <w:rPr>
          <w:rFonts w:ascii="Times New Roman" w:hAnsi="Times New Roman"/>
          <w:sz w:val="24"/>
          <w:szCs w:val="24"/>
        </w:rPr>
        <w:t xml:space="preserve">ogicky sa právo na hotovosť </w:t>
      </w:r>
      <w:r>
        <w:rPr>
          <w:rFonts w:ascii="Times New Roman" w:hAnsi="Times New Roman"/>
          <w:sz w:val="24"/>
          <w:szCs w:val="24"/>
        </w:rPr>
        <w:t xml:space="preserve">alebo aj právo na platbu platobnou kartou </w:t>
      </w:r>
      <w:r w:rsidRPr="00841532">
        <w:rPr>
          <w:rFonts w:ascii="Times New Roman" w:hAnsi="Times New Roman"/>
          <w:sz w:val="24"/>
          <w:szCs w:val="24"/>
        </w:rPr>
        <w:t xml:space="preserve">nedá </w:t>
      </w:r>
      <w:r>
        <w:rPr>
          <w:rFonts w:ascii="Times New Roman" w:hAnsi="Times New Roman"/>
          <w:sz w:val="24"/>
          <w:szCs w:val="24"/>
        </w:rPr>
        <w:t xml:space="preserve">na správnom orgáne </w:t>
      </w:r>
      <w:r w:rsidRPr="00841532">
        <w:rPr>
          <w:rFonts w:ascii="Times New Roman" w:hAnsi="Times New Roman"/>
          <w:sz w:val="24"/>
          <w:szCs w:val="24"/>
        </w:rPr>
        <w:t xml:space="preserve">vykonávať v režime 24/7 a nie na každom </w:t>
      </w:r>
      <w:r>
        <w:rPr>
          <w:rFonts w:ascii="Times New Roman" w:hAnsi="Times New Roman"/>
          <w:sz w:val="24"/>
          <w:szCs w:val="24"/>
        </w:rPr>
        <w:t>pracovisku (úradnej priehradke)</w:t>
      </w:r>
      <w:r w:rsidRPr="00841532">
        <w:rPr>
          <w:rFonts w:ascii="Times New Roman" w:hAnsi="Times New Roman"/>
          <w:sz w:val="24"/>
          <w:szCs w:val="24"/>
        </w:rPr>
        <w:t xml:space="preserve">, pretože je to neefektívne a nákladovo náročné. </w:t>
      </w:r>
      <w:r>
        <w:rPr>
          <w:rFonts w:ascii="Times New Roman" w:hAnsi="Times New Roman"/>
          <w:sz w:val="24"/>
          <w:szCs w:val="24"/>
        </w:rPr>
        <w:t xml:space="preserve">V súčasnosti je </w:t>
      </w:r>
      <w:r w:rsidRPr="00841532">
        <w:rPr>
          <w:rFonts w:ascii="Times New Roman" w:hAnsi="Times New Roman"/>
          <w:sz w:val="24"/>
          <w:szCs w:val="24"/>
        </w:rPr>
        <w:t xml:space="preserve">na Slovensku cca 300 </w:t>
      </w:r>
      <w:r>
        <w:rPr>
          <w:rFonts w:ascii="Times New Roman" w:hAnsi="Times New Roman"/>
          <w:sz w:val="24"/>
          <w:szCs w:val="24"/>
        </w:rPr>
        <w:t xml:space="preserve">pobočiek </w:t>
      </w:r>
      <w:r w:rsidRPr="00841532">
        <w:rPr>
          <w:rFonts w:ascii="Times New Roman" w:hAnsi="Times New Roman"/>
          <w:sz w:val="24"/>
          <w:szCs w:val="24"/>
        </w:rPr>
        <w:t>pôšt, kde sa dajú platiť poplatky</w:t>
      </w:r>
      <w:r>
        <w:rPr>
          <w:rFonts w:ascii="Times New Roman" w:hAnsi="Times New Roman"/>
          <w:sz w:val="24"/>
          <w:szCs w:val="24"/>
        </w:rPr>
        <w:t xml:space="preserve"> hotovosťou a platobnou kartou</w:t>
      </w:r>
      <w:r w:rsidRPr="00841532">
        <w:rPr>
          <w:rFonts w:ascii="Times New Roman" w:hAnsi="Times New Roman"/>
          <w:sz w:val="24"/>
          <w:szCs w:val="24"/>
        </w:rPr>
        <w:t xml:space="preserve"> a</w:t>
      </w:r>
      <w:r>
        <w:rPr>
          <w:rFonts w:ascii="Times New Roman" w:hAnsi="Times New Roman"/>
          <w:sz w:val="24"/>
          <w:szCs w:val="24"/>
        </w:rPr>
        <w:t> </w:t>
      </w:r>
      <w:r w:rsidRPr="00841532">
        <w:rPr>
          <w:rFonts w:ascii="Times New Roman" w:hAnsi="Times New Roman"/>
          <w:sz w:val="24"/>
          <w:szCs w:val="24"/>
        </w:rPr>
        <w:t xml:space="preserve">k tomu je 176 hotovostných kioskov priamo na úradoch. Sieť je určite dostatočná a režim platby v hotovosti sa zachováva aj pri Štátnej pokladnici prostredníctvom obstarania hotovostného partnera (keďže samotná ŠP hotovostné operácie nevykonáva). </w:t>
      </w:r>
      <w:r>
        <w:rPr>
          <w:rFonts w:ascii="Times New Roman" w:hAnsi="Times New Roman"/>
          <w:sz w:val="24"/>
          <w:szCs w:val="24"/>
        </w:rPr>
        <w:t>Správne</w:t>
      </w:r>
      <w:r w:rsidRPr="00841532">
        <w:rPr>
          <w:rFonts w:ascii="Times New Roman" w:hAnsi="Times New Roman"/>
          <w:sz w:val="24"/>
          <w:szCs w:val="24"/>
        </w:rPr>
        <w:t xml:space="preserve"> </w:t>
      </w:r>
      <w:r>
        <w:rPr>
          <w:rFonts w:ascii="Times New Roman" w:hAnsi="Times New Roman"/>
          <w:sz w:val="24"/>
          <w:szCs w:val="24"/>
        </w:rPr>
        <w:t>orgány</w:t>
      </w:r>
      <w:r w:rsidRPr="00841532">
        <w:rPr>
          <w:rFonts w:ascii="Times New Roman" w:hAnsi="Times New Roman"/>
          <w:sz w:val="24"/>
          <w:szCs w:val="24"/>
        </w:rPr>
        <w:t xml:space="preserve"> majú možnosť preberať hotovosť</w:t>
      </w:r>
      <w:r>
        <w:rPr>
          <w:rFonts w:ascii="Times New Roman" w:hAnsi="Times New Roman"/>
          <w:sz w:val="24"/>
          <w:szCs w:val="24"/>
        </w:rPr>
        <w:t xml:space="preserve"> a realizovať platby platobnou kartou na jednotlivých pracoviskách (úradných priehradkách), ale nie je to ich povinnosť. „T</w:t>
      </w:r>
      <w:r w:rsidRPr="00ED1B9C">
        <w:rPr>
          <w:rFonts w:ascii="Times New Roman" w:hAnsi="Times New Roman"/>
          <w:sz w:val="24"/>
          <w:szCs w:val="24"/>
        </w:rPr>
        <w:t>echnické podmienky</w:t>
      </w:r>
      <w:r>
        <w:rPr>
          <w:rFonts w:ascii="Times New Roman" w:hAnsi="Times New Roman"/>
          <w:sz w:val="24"/>
          <w:szCs w:val="24"/>
        </w:rPr>
        <w:t>“</w:t>
      </w:r>
      <w:r w:rsidRPr="00ED1B9C">
        <w:rPr>
          <w:rFonts w:ascii="Times New Roman" w:hAnsi="Times New Roman"/>
          <w:sz w:val="24"/>
          <w:szCs w:val="24"/>
        </w:rPr>
        <w:t xml:space="preserve"> sú </w:t>
      </w:r>
      <w:r>
        <w:rPr>
          <w:rFonts w:ascii="Times New Roman" w:hAnsi="Times New Roman"/>
          <w:sz w:val="24"/>
          <w:szCs w:val="24"/>
        </w:rPr>
        <w:t xml:space="preserve">mix </w:t>
      </w:r>
      <w:r w:rsidRPr="00ED1B9C">
        <w:rPr>
          <w:rFonts w:ascii="Times New Roman" w:hAnsi="Times New Roman"/>
          <w:sz w:val="24"/>
          <w:szCs w:val="24"/>
        </w:rPr>
        <w:t>technick</w:t>
      </w:r>
      <w:r>
        <w:rPr>
          <w:rFonts w:ascii="Times New Roman" w:hAnsi="Times New Roman"/>
          <w:sz w:val="24"/>
          <w:szCs w:val="24"/>
        </w:rPr>
        <w:t>ých</w:t>
      </w:r>
      <w:r w:rsidRPr="00ED1B9C">
        <w:rPr>
          <w:rFonts w:ascii="Times New Roman" w:hAnsi="Times New Roman"/>
          <w:sz w:val="24"/>
          <w:szCs w:val="24"/>
        </w:rPr>
        <w:t xml:space="preserve"> prostriedk</w:t>
      </w:r>
      <w:r>
        <w:rPr>
          <w:rFonts w:ascii="Times New Roman" w:hAnsi="Times New Roman"/>
          <w:sz w:val="24"/>
          <w:szCs w:val="24"/>
        </w:rPr>
        <w:t>ov</w:t>
      </w:r>
      <w:r w:rsidRPr="00ED1B9C">
        <w:rPr>
          <w:rFonts w:ascii="Times New Roman" w:hAnsi="Times New Roman"/>
          <w:sz w:val="24"/>
          <w:szCs w:val="24"/>
        </w:rPr>
        <w:t>, ktoré umožňujú na priehradke úradu prijímať platbu platobnou kartou</w:t>
      </w:r>
      <w:r>
        <w:rPr>
          <w:rFonts w:ascii="Times New Roman" w:hAnsi="Times New Roman"/>
          <w:sz w:val="24"/>
          <w:szCs w:val="24"/>
        </w:rPr>
        <w:t xml:space="preserve"> (</w:t>
      </w:r>
      <w:r w:rsidRPr="00ED1B9C">
        <w:rPr>
          <w:rFonts w:ascii="Times New Roman" w:hAnsi="Times New Roman"/>
          <w:sz w:val="24"/>
          <w:szCs w:val="24"/>
        </w:rPr>
        <w:t>čo je najmä POS terminál) a</w:t>
      </w:r>
      <w:r>
        <w:rPr>
          <w:rFonts w:ascii="Times New Roman" w:hAnsi="Times New Roman"/>
          <w:sz w:val="24"/>
          <w:szCs w:val="24"/>
        </w:rPr>
        <w:t> </w:t>
      </w:r>
      <w:r w:rsidRPr="00ED1B9C">
        <w:rPr>
          <w:rFonts w:ascii="Times New Roman" w:hAnsi="Times New Roman"/>
          <w:sz w:val="24"/>
          <w:szCs w:val="24"/>
        </w:rPr>
        <w:t>pri platbe v hotovosti je to hotovostná pokladňa</w:t>
      </w:r>
      <w:r>
        <w:rPr>
          <w:rFonts w:ascii="Times New Roman" w:hAnsi="Times New Roman"/>
          <w:sz w:val="24"/>
          <w:szCs w:val="24"/>
        </w:rPr>
        <w:t xml:space="preserve">, ďalej je to </w:t>
      </w:r>
      <w:r w:rsidRPr="00ED1B9C">
        <w:rPr>
          <w:rFonts w:ascii="Times New Roman" w:hAnsi="Times New Roman"/>
          <w:sz w:val="24"/>
          <w:szCs w:val="24"/>
        </w:rPr>
        <w:t>organizačn</w:t>
      </w:r>
      <w:r>
        <w:rPr>
          <w:rFonts w:ascii="Times New Roman" w:hAnsi="Times New Roman"/>
          <w:sz w:val="24"/>
          <w:szCs w:val="24"/>
        </w:rPr>
        <w:t>é</w:t>
      </w:r>
      <w:r w:rsidRPr="00ED1B9C">
        <w:rPr>
          <w:rFonts w:ascii="Times New Roman" w:hAnsi="Times New Roman"/>
          <w:sz w:val="24"/>
          <w:szCs w:val="24"/>
        </w:rPr>
        <w:t xml:space="preserve"> zabezpečen</w:t>
      </w:r>
      <w:r>
        <w:rPr>
          <w:rFonts w:ascii="Times New Roman" w:hAnsi="Times New Roman"/>
          <w:sz w:val="24"/>
          <w:szCs w:val="24"/>
        </w:rPr>
        <w:t>ie (hmotná zodpovednosť zamestnancov, hotovostný manažment)</w:t>
      </w:r>
      <w:r w:rsidRPr="00ED1B9C">
        <w:rPr>
          <w:rFonts w:ascii="Times New Roman" w:hAnsi="Times New Roman"/>
          <w:sz w:val="24"/>
          <w:szCs w:val="24"/>
        </w:rPr>
        <w:t xml:space="preserve">, bezpečnostný režim </w:t>
      </w:r>
      <w:r>
        <w:rPr>
          <w:rFonts w:ascii="Times New Roman" w:hAnsi="Times New Roman"/>
          <w:sz w:val="24"/>
          <w:szCs w:val="24"/>
        </w:rPr>
        <w:t xml:space="preserve">(pokladňa, trezor, zabezpečovacie zariadenie) </w:t>
      </w:r>
      <w:r w:rsidRPr="00ED1B9C">
        <w:rPr>
          <w:rFonts w:ascii="Times New Roman" w:hAnsi="Times New Roman"/>
          <w:sz w:val="24"/>
          <w:szCs w:val="24"/>
        </w:rPr>
        <w:t>a pod.</w:t>
      </w:r>
      <w:r w:rsidRPr="000B103D">
        <w:rPr>
          <w:rFonts w:ascii="Times New Roman" w:hAnsi="Times New Roman"/>
          <w:sz w:val="24"/>
          <w:szCs w:val="24"/>
        </w:rPr>
        <w:t xml:space="preserve"> Splnenie technických podmienok je na rozhodnutí úradu po </w:t>
      </w:r>
      <w:r>
        <w:rPr>
          <w:rFonts w:ascii="Times New Roman" w:hAnsi="Times New Roman"/>
          <w:sz w:val="24"/>
          <w:szCs w:val="24"/>
        </w:rPr>
        <w:t>dohode</w:t>
      </w:r>
      <w:r w:rsidRPr="000B103D">
        <w:rPr>
          <w:rFonts w:ascii="Times New Roman" w:hAnsi="Times New Roman"/>
          <w:sz w:val="24"/>
          <w:szCs w:val="24"/>
        </w:rPr>
        <w:t xml:space="preserve"> s prevádzkovateľom systému alebo Štátnou pokladnicou.</w:t>
      </w:r>
      <w:r>
        <w:rPr>
          <w:rFonts w:ascii="Times New Roman" w:hAnsi="Times New Roman"/>
          <w:sz w:val="24"/>
          <w:szCs w:val="24"/>
        </w:rPr>
        <w:t xml:space="preserve"> Tento podmienený režim sa novelou nemení, len sa konkretizuje, čo sa rozumie technickými podmienkami. </w:t>
      </w:r>
    </w:p>
    <w:p w14:paraId="27CD1899" w14:textId="77777777" w:rsidR="000A6C03" w:rsidRDefault="000A6C03" w:rsidP="000A6C03">
      <w:pPr>
        <w:spacing w:after="0" w:line="240" w:lineRule="auto"/>
        <w:jc w:val="both"/>
        <w:rPr>
          <w:rFonts w:ascii="Times New Roman" w:hAnsi="Times New Roman"/>
          <w:sz w:val="24"/>
          <w:szCs w:val="24"/>
        </w:rPr>
      </w:pPr>
    </w:p>
    <w:p w14:paraId="02356A85" w14:textId="77777777" w:rsidR="000A6C03" w:rsidRDefault="000A6C03" w:rsidP="000A6C03">
      <w:pPr>
        <w:spacing w:after="0" w:line="240" w:lineRule="auto"/>
        <w:jc w:val="both"/>
        <w:rPr>
          <w:rFonts w:ascii="Times New Roman" w:hAnsi="Times New Roman"/>
          <w:sz w:val="24"/>
          <w:szCs w:val="24"/>
        </w:rPr>
      </w:pPr>
      <w:r>
        <w:rPr>
          <w:rFonts w:ascii="Times New Roman" w:hAnsi="Times New Roman"/>
          <w:sz w:val="24"/>
          <w:szCs w:val="24"/>
        </w:rPr>
        <w:t xml:space="preserve">Po vnútrokomunitárnom pripomienkovom konaní, ktoré sa konalo od 1. júla 2025 do 11. augusta 2025, v rámci ktorého Európska centrálna banka vydala svoje „Stanovisko z 11.  augusta 2025 o horných hraniciach pre platby súdnych a správnych poplatkov v hotovosti a obmedzeniach týkajúcich sa ich prijímania (CON/2025/21)“, bolo upravené ustanovenie odseku 7 tak, že hranica na úhradu správneho poplatku v hotovosti sa zvýšila z 300 eur na 500 eur. Uvedené zvýšenie reflektuje na všeobecné zvýšenie cenovej hladiny od zavedenia meny euro v Slovenskej republike (1.1.2009), ktorá kumulatívne do júna 2025 v SR bola vo výške 63,8%.  Týmto sa zabezpečí vyššie pokrytie sadzieb poplatkov určených v sadzobníku správnych poplatkov s možnosťou úhrady poplatku v hotovosti na technickom zariadení prevádzkovateľa systému, prípadne na technickom zariadení Štátnej pokladnice priamo na správnom orgáne (ak má na tento spôsob platby vytvorené podmienky). Ďalej sa v tomto ustanovení doplnilo, že pri úhrade poplatku na technickom zariadení prevádzkovateľa systému umiestnenom na pošte alebo technickom zariadení zmluvnej strany Štátnej pokladnice (tzv. hotovostný partner) je možná úhrada v hotovosti až do sumy 15 000 eur (maximálna suma na hotovostnú platbu podľa zákona o obmedzení platieb v hotovosti). Poznámka: konkrétnejšie je obsah stanoviska ECB a odôvodnenie predkladateľa návrhu vo vzťahu k obmedzeniu základného platidla z dôvodu verejného záujmu v súlade so zásadou proporcionality uvedené vo všeobecnej časti dôvodovej správy. </w:t>
      </w:r>
    </w:p>
    <w:p w14:paraId="564427FD" w14:textId="77777777" w:rsidR="000A6C03" w:rsidRDefault="000A6C03" w:rsidP="000A6C03">
      <w:pPr>
        <w:spacing w:after="0" w:line="240" w:lineRule="auto"/>
        <w:jc w:val="both"/>
        <w:rPr>
          <w:rFonts w:ascii="Times New Roman" w:hAnsi="Times New Roman"/>
          <w:sz w:val="24"/>
          <w:szCs w:val="24"/>
        </w:rPr>
      </w:pPr>
    </w:p>
    <w:p w14:paraId="0FBEED2E" w14:textId="77777777" w:rsidR="000A6C03" w:rsidRDefault="000A6C03" w:rsidP="000A6C03">
      <w:pPr>
        <w:spacing w:after="0" w:line="240" w:lineRule="auto"/>
        <w:jc w:val="both"/>
        <w:rPr>
          <w:rFonts w:ascii="Times New Roman" w:hAnsi="Times New Roman"/>
          <w:sz w:val="24"/>
          <w:szCs w:val="24"/>
        </w:rPr>
      </w:pPr>
      <w:r>
        <w:rPr>
          <w:rFonts w:ascii="Times New Roman" w:hAnsi="Times New Roman"/>
          <w:sz w:val="24"/>
          <w:szCs w:val="24"/>
        </w:rPr>
        <w:t>Vo vzťahu k procesom vyberania poplatkov zastupiteľskými úradmi mimo oficiálneho úradného pracoviska je potrebné zaviesť špeciálny režim, kedy sa poplatková povinnosť eviduje v centrálnom systéme evidencie poplatkov dodatočne spolu s účtovnými záznamami a to vystavením hromadného platobného predpisu, ktorý môže obsahovať viacero poplatkových úkonov od viacerých poplatníkov. Ak je zastupiteľský úrad zapojený do centrálneho systému evidencie poplatkov Štátnej pokladnice, za prevod</w:t>
      </w:r>
      <w:r w:rsidRPr="0088056E">
        <w:rPr>
          <w:rFonts w:ascii="Times New Roman" w:hAnsi="Times New Roman"/>
          <w:sz w:val="24"/>
          <w:szCs w:val="24"/>
        </w:rPr>
        <w:t xml:space="preserve"> z účtu v banke alebo v pobočke zahraničnej banky</w:t>
      </w:r>
      <w:r>
        <w:rPr>
          <w:rFonts w:ascii="Times New Roman" w:hAnsi="Times New Roman"/>
          <w:sz w:val="24"/>
          <w:szCs w:val="24"/>
        </w:rPr>
        <w:t xml:space="preserve"> sa považuje aj osobitné technické riešenie úhrady realizovateľné pre danú krajinu (napr. úhrada šekom, lokálne dostupná bezhotovostná úhrada osobitným technickým riešením, ak zastupiteľský úrad má vytvorené technické podmienky na prijatie tejto platby). </w:t>
      </w:r>
    </w:p>
    <w:p w14:paraId="2A9DC724" w14:textId="77777777" w:rsidR="000A6C03" w:rsidRDefault="000A6C03" w:rsidP="000A6C03">
      <w:pPr>
        <w:spacing w:after="0" w:line="240" w:lineRule="auto"/>
        <w:jc w:val="both"/>
        <w:rPr>
          <w:rFonts w:ascii="Times New Roman" w:hAnsi="Times New Roman"/>
          <w:sz w:val="24"/>
          <w:szCs w:val="24"/>
        </w:rPr>
      </w:pPr>
    </w:p>
    <w:p w14:paraId="01ED8A39" w14:textId="77777777" w:rsidR="000A6C03" w:rsidRDefault="000A6C03" w:rsidP="000A6C03">
      <w:pPr>
        <w:spacing w:after="0" w:line="240" w:lineRule="auto"/>
        <w:jc w:val="both"/>
        <w:rPr>
          <w:rFonts w:ascii="Times New Roman" w:hAnsi="Times New Roman"/>
          <w:sz w:val="24"/>
          <w:szCs w:val="24"/>
        </w:rPr>
      </w:pPr>
      <w:r w:rsidRPr="00521FC1">
        <w:rPr>
          <w:rFonts w:ascii="Times New Roman" w:hAnsi="Times New Roman"/>
          <w:color w:val="000000"/>
          <w:sz w:val="24"/>
        </w:rPr>
        <w:t>Navrhuje</w:t>
      </w:r>
      <w:r>
        <w:rPr>
          <w:rFonts w:ascii="Times New Roman" w:hAnsi="Times New Roman"/>
          <w:color w:val="000000"/>
          <w:sz w:val="24"/>
        </w:rPr>
        <w:t xml:space="preserve"> sa</w:t>
      </w:r>
      <w:r w:rsidRPr="00521FC1">
        <w:rPr>
          <w:rFonts w:ascii="Times New Roman" w:hAnsi="Times New Roman"/>
          <w:color w:val="000000"/>
          <w:sz w:val="24"/>
        </w:rPr>
        <w:t xml:space="preserve">, aby zastupiteľské úrady v zahraničí mohli prijať platbu v hotovosti aj v sume prevyšujúcej </w:t>
      </w:r>
      <w:r>
        <w:rPr>
          <w:rFonts w:ascii="Times New Roman" w:hAnsi="Times New Roman"/>
          <w:color w:val="000000"/>
          <w:sz w:val="24"/>
        </w:rPr>
        <w:t>5</w:t>
      </w:r>
      <w:r w:rsidRPr="00521FC1">
        <w:rPr>
          <w:rFonts w:ascii="Times New Roman" w:hAnsi="Times New Roman"/>
          <w:color w:val="000000"/>
          <w:sz w:val="24"/>
        </w:rPr>
        <w:t>00 eur z dôvodu, že zastupiteľské úrady sa nachádzajú aj v štátoch, v ktorých môže byť trvalo alebo dočasne nemožné uhradiť správne poplatky bezhotovostne, a teda  vylúčenie hotovosti by znamenalo faktickú nemožnosť vykonať konzulárny úkon.</w:t>
      </w:r>
    </w:p>
    <w:p w14:paraId="10DC4D87" w14:textId="77777777" w:rsidR="000A6C03" w:rsidRDefault="000A6C03" w:rsidP="000A6C03">
      <w:pPr>
        <w:spacing w:after="0" w:line="240" w:lineRule="auto"/>
        <w:jc w:val="both"/>
        <w:rPr>
          <w:rFonts w:ascii="Times New Roman" w:hAnsi="Times New Roman"/>
          <w:sz w:val="24"/>
          <w:szCs w:val="24"/>
        </w:rPr>
      </w:pPr>
    </w:p>
    <w:p w14:paraId="6E96FCF3" w14:textId="77777777" w:rsidR="000A6C03" w:rsidRPr="001A388F" w:rsidRDefault="000A6C03" w:rsidP="000A6C03">
      <w:pPr>
        <w:spacing w:after="0" w:line="240" w:lineRule="auto"/>
        <w:jc w:val="both"/>
        <w:rPr>
          <w:rFonts w:ascii="Times New Roman" w:hAnsi="Times New Roman"/>
          <w:sz w:val="24"/>
          <w:szCs w:val="24"/>
          <w:u w:val="single"/>
        </w:rPr>
      </w:pPr>
      <w:r w:rsidRPr="001A388F">
        <w:rPr>
          <w:rFonts w:ascii="Times New Roman" w:hAnsi="Times New Roman"/>
          <w:sz w:val="24"/>
          <w:szCs w:val="24"/>
          <w:u w:val="single"/>
        </w:rPr>
        <w:t>K bodu 3 (§ 10 ods. 3):</w:t>
      </w:r>
    </w:p>
    <w:p w14:paraId="3172DD01" w14:textId="77777777" w:rsidR="000A6C03" w:rsidRDefault="000A6C03" w:rsidP="000A6C03">
      <w:pPr>
        <w:spacing w:after="0" w:line="240" w:lineRule="auto"/>
        <w:jc w:val="both"/>
        <w:rPr>
          <w:rFonts w:ascii="Times New Roman" w:hAnsi="Times New Roman"/>
          <w:sz w:val="24"/>
          <w:szCs w:val="24"/>
        </w:rPr>
      </w:pPr>
      <w:r>
        <w:rPr>
          <w:rFonts w:ascii="Times New Roman" w:hAnsi="Times New Roman"/>
          <w:sz w:val="24"/>
          <w:szCs w:val="24"/>
        </w:rPr>
        <w:t xml:space="preserve">Navrhuje sa nanovo definovať orgán, ktorý je zodpovedný za vrátenie poplatku alebo preplatku podľa zákona o správnych poplatkoch s tým, že pri centrálnom systéme evidencie poplatkov Štátnej pokladnice sa nekopíruje analógia nastavená pri centrálnom systéme evidencie poplatkov prevádzkovateľa systému (právoplatné rozhodnutie + odpis rozhodnutia), ale ponecháva sa kompetencia na vrátenie poplatku alebo preplatku správnemu orgánu po správoplatnení rozhodnutia o vrátení poplatku alebo preplatku. V tomto procese správny orgán sám vykoná evidenčný úkon so zadaním platobného príkazu na vrub účtu vedeného v Štátnej pokladnici, čím sa vykoná bezhotovostný prevod na účet poplatníka alebo sa zadá príkaz na vrátenie sumy poplatku alebo preplatku poštovou poukážkou na adresu poplatníka. </w:t>
      </w:r>
    </w:p>
    <w:p w14:paraId="1E954A67" w14:textId="77777777" w:rsidR="000A6C03" w:rsidRDefault="000A6C03" w:rsidP="000A6C03">
      <w:pPr>
        <w:spacing w:after="0" w:line="240" w:lineRule="auto"/>
        <w:jc w:val="both"/>
        <w:rPr>
          <w:rFonts w:ascii="Times New Roman" w:hAnsi="Times New Roman"/>
          <w:sz w:val="24"/>
          <w:szCs w:val="24"/>
        </w:rPr>
      </w:pPr>
    </w:p>
    <w:p w14:paraId="60541F7E" w14:textId="77777777" w:rsidR="000A6C03" w:rsidRDefault="000A6C03" w:rsidP="000A6C03">
      <w:pPr>
        <w:spacing w:after="0" w:line="240" w:lineRule="auto"/>
        <w:jc w:val="both"/>
        <w:rPr>
          <w:rFonts w:ascii="Times New Roman" w:hAnsi="Times New Roman"/>
          <w:sz w:val="24"/>
          <w:szCs w:val="24"/>
          <w:u w:val="single"/>
        </w:rPr>
      </w:pPr>
      <w:r w:rsidRPr="001A388F">
        <w:rPr>
          <w:rFonts w:ascii="Times New Roman" w:hAnsi="Times New Roman"/>
          <w:sz w:val="24"/>
          <w:szCs w:val="24"/>
          <w:u w:val="single"/>
        </w:rPr>
        <w:t>K bodu 4 (§ 10</w:t>
      </w:r>
      <w:r>
        <w:rPr>
          <w:rFonts w:ascii="Times New Roman" w:hAnsi="Times New Roman"/>
          <w:sz w:val="24"/>
          <w:szCs w:val="24"/>
          <w:u w:val="single"/>
        </w:rPr>
        <w:t xml:space="preserve"> ods. 4):</w:t>
      </w:r>
    </w:p>
    <w:p w14:paraId="164908F5" w14:textId="77777777" w:rsidR="000A6C03" w:rsidRPr="006F1B56" w:rsidRDefault="000A6C03" w:rsidP="000A6C03">
      <w:pPr>
        <w:spacing w:after="0" w:line="240" w:lineRule="auto"/>
        <w:jc w:val="both"/>
        <w:rPr>
          <w:rFonts w:ascii="Times New Roman" w:hAnsi="Times New Roman"/>
          <w:sz w:val="24"/>
          <w:szCs w:val="24"/>
        </w:rPr>
      </w:pPr>
      <w:r>
        <w:rPr>
          <w:rFonts w:ascii="Times New Roman" w:hAnsi="Times New Roman"/>
          <w:sz w:val="24"/>
          <w:szCs w:val="24"/>
        </w:rPr>
        <w:t>Stanovuje sa, že v prípade oneskoreného vrátenia poplatku alebo preplatku správnym orgánom, ktorý je zapojený do centrálneho systému evidencie poplatkov Štátnej pokladnice sa úrok z omeškania vrátenia poplatku alebo preplatku vráti, len ak suma úroku v úhrne za celú dobu omeškania presiahne sumu 2,50 eura, čím sa zamedzuje vzniku situácie, že administratívne náklady prevyšujú vecnú sumu úroku.</w:t>
      </w:r>
    </w:p>
    <w:p w14:paraId="0AE94CDD" w14:textId="77777777" w:rsidR="000A6C03" w:rsidRDefault="000A6C03" w:rsidP="000A6C03">
      <w:pPr>
        <w:spacing w:after="0" w:line="240" w:lineRule="auto"/>
        <w:jc w:val="both"/>
        <w:rPr>
          <w:rFonts w:ascii="Times New Roman" w:hAnsi="Times New Roman"/>
          <w:sz w:val="24"/>
          <w:szCs w:val="24"/>
        </w:rPr>
      </w:pPr>
    </w:p>
    <w:p w14:paraId="3336740E" w14:textId="77777777" w:rsidR="000A6C03" w:rsidRDefault="000A6C03" w:rsidP="000A6C03">
      <w:pPr>
        <w:spacing w:after="0" w:line="240" w:lineRule="auto"/>
        <w:jc w:val="both"/>
        <w:rPr>
          <w:rFonts w:ascii="Times New Roman" w:hAnsi="Times New Roman"/>
          <w:sz w:val="24"/>
          <w:szCs w:val="24"/>
          <w:u w:val="single"/>
        </w:rPr>
      </w:pPr>
      <w:r w:rsidRPr="001A388F">
        <w:rPr>
          <w:rFonts w:ascii="Times New Roman" w:hAnsi="Times New Roman"/>
          <w:sz w:val="24"/>
          <w:szCs w:val="24"/>
          <w:u w:val="single"/>
        </w:rPr>
        <w:t xml:space="preserve">K bodu </w:t>
      </w:r>
      <w:r>
        <w:rPr>
          <w:rFonts w:ascii="Times New Roman" w:hAnsi="Times New Roman"/>
          <w:sz w:val="24"/>
          <w:szCs w:val="24"/>
          <w:u w:val="single"/>
        </w:rPr>
        <w:t>5</w:t>
      </w:r>
      <w:r w:rsidRPr="001A388F">
        <w:rPr>
          <w:rFonts w:ascii="Times New Roman" w:hAnsi="Times New Roman"/>
          <w:sz w:val="24"/>
          <w:szCs w:val="24"/>
          <w:u w:val="single"/>
        </w:rPr>
        <w:t xml:space="preserve"> (§ 10</w:t>
      </w:r>
      <w:r>
        <w:rPr>
          <w:rFonts w:ascii="Times New Roman" w:hAnsi="Times New Roman"/>
          <w:sz w:val="24"/>
          <w:szCs w:val="24"/>
          <w:u w:val="single"/>
        </w:rPr>
        <w:t xml:space="preserve"> ods. 6 písm. g)):</w:t>
      </w:r>
    </w:p>
    <w:p w14:paraId="4B0F18A6" w14:textId="77777777" w:rsidR="000A6C03" w:rsidRDefault="000A6C03" w:rsidP="000A6C03">
      <w:pPr>
        <w:spacing w:after="0" w:line="240" w:lineRule="auto"/>
        <w:jc w:val="both"/>
        <w:rPr>
          <w:rFonts w:ascii="Times New Roman" w:hAnsi="Times New Roman"/>
          <w:sz w:val="24"/>
          <w:szCs w:val="24"/>
        </w:rPr>
      </w:pPr>
      <w:r w:rsidRPr="001A388F">
        <w:rPr>
          <w:rFonts w:ascii="Times New Roman" w:hAnsi="Times New Roman"/>
          <w:sz w:val="24"/>
          <w:szCs w:val="24"/>
        </w:rPr>
        <w:t>Precizuje sa povinná náležitosť rozhodnutia o vrátení poplatku alebo preplatku s uvedením identifikačných údajov platby poplatku, ktorý je zaznamenaný v</w:t>
      </w:r>
      <w:r>
        <w:rPr>
          <w:rFonts w:ascii="Times New Roman" w:hAnsi="Times New Roman"/>
          <w:sz w:val="24"/>
          <w:szCs w:val="24"/>
        </w:rPr>
        <w:t> </w:t>
      </w:r>
      <w:r w:rsidRPr="001A388F">
        <w:rPr>
          <w:rFonts w:ascii="Times New Roman" w:hAnsi="Times New Roman"/>
          <w:sz w:val="24"/>
          <w:szCs w:val="24"/>
        </w:rPr>
        <w:t>centráln</w:t>
      </w:r>
      <w:r>
        <w:rPr>
          <w:rFonts w:ascii="Times New Roman" w:hAnsi="Times New Roman"/>
          <w:sz w:val="24"/>
          <w:szCs w:val="24"/>
        </w:rPr>
        <w:t xml:space="preserve">ej </w:t>
      </w:r>
      <w:r w:rsidRPr="001A388F">
        <w:rPr>
          <w:rFonts w:ascii="Times New Roman" w:hAnsi="Times New Roman"/>
          <w:sz w:val="24"/>
          <w:szCs w:val="24"/>
        </w:rPr>
        <w:t>evidenci</w:t>
      </w:r>
      <w:r>
        <w:rPr>
          <w:rFonts w:ascii="Times New Roman" w:hAnsi="Times New Roman"/>
          <w:sz w:val="24"/>
          <w:szCs w:val="24"/>
        </w:rPr>
        <w:t>i</w:t>
      </w:r>
      <w:r w:rsidRPr="001A388F">
        <w:rPr>
          <w:rFonts w:ascii="Times New Roman" w:hAnsi="Times New Roman"/>
          <w:sz w:val="24"/>
          <w:szCs w:val="24"/>
        </w:rPr>
        <w:t xml:space="preserve"> poplatkov. </w:t>
      </w:r>
    </w:p>
    <w:p w14:paraId="1D3170CC" w14:textId="77777777" w:rsidR="000A6C03" w:rsidRDefault="000A6C03" w:rsidP="000A6C03">
      <w:pPr>
        <w:spacing w:after="0" w:line="240" w:lineRule="auto"/>
        <w:jc w:val="both"/>
        <w:rPr>
          <w:rFonts w:ascii="Times New Roman" w:hAnsi="Times New Roman"/>
          <w:sz w:val="24"/>
          <w:szCs w:val="24"/>
        </w:rPr>
      </w:pPr>
    </w:p>
    <w:p w14:paraId="0CC10972" w14:textId="77777777" w:rsidR="000A6C03" w:rsidRPr="00920991" w:rsidRDefault="000A6C03" w:rsidP="000A6C03">
      <w:pPr>
        <w:spacing w:after="0" w:line="240" w:lineRule="auto"/>
        <w:jc w:val="both"/>
        <w:rPr>
          <w:rFonts w:ascii="Times New Roman" w:hAnsi="Times New Roman"/>
          <w:sz w:val="24"/>
          <w:szCs w:val="24"/>
          <w:u w:val="single"/>
        </w:rPr>
      </w:pPr>
      <w:r w:rsidRPr="00920991">
        <w:rPr>
          <w:rFonts w:ascii="Times New Roman" w:hAnsi="Times New Roman"/>
          <w:sz w:val="24"/>
          <w:szCs w:val="24"/>
          <w:u w:val="single"/>
        </w:rPr>
        <w:t>K bod</w:t>
      </w:r>
      <w:r>
        <w:rPr>
          <w:rFonts w:ascii="Times New Roman" w:hAnsi="Times New Roman"/>
          <w:sz w:val="24"/>
          <w:szCs w:val="24"/>
          <w:u w:val="single"/>
        </w:rPr>
        <w:t>om</w:t>
      </w:r>
      <w:r w:rsidRPr="00920991">
        <w:rPr>
          <w:rFonts w:ascii="Times New Roman" w:hAnsi="Times New Roman"/>
          <w:sz w:val="24"/>
          <w:szCs w:val="24"/>
          <w:u w:val="single"/>
        </w:rPr>
        <w:t xml:space="preserve"> 6 </w:t>
      </w:r>
      <w:r>
        <w:rPr>
          <w:rFonts w:ascii="Times New Roman" w:hAnsi="Times New Roman"/>
          <w:sz w:val="24"/>
          <w:szCs w:val="24"/>
          <w:u w:val="single"/>
        </w:rPr>
        <w:t xml:space="preserve">a 7 </w:t>
      </w:r>
      <w:r w:rsidRPr="00920991">
        <w:rPr>
          <w:rFonts w:ascii="Times New Roman" w:hAnsi="Times New Roman"/>
          <w:sz w:val="24"/>
          <w:szCs w:val="24"/>
          <w:u w:val="single"/>
        </w:rPr>
        <w:t>(§ 10 ods. 6 písm. h)</w:t>
      </w:r>
      <w:r>
        <w:rPr>
          <w:rFonts w:ascii="Times New Roman" w:hAnsi="Times New Roman"/>
          <w:sz w:val="24"/>
          <w:szCs w:val="24"/>
          <w:u w:val="single"/>
        </w:rPr>
        <w:t>, § 10 ods. 8</w:t>
      </w:r>
      <w:r w:rsidRPr="00920991">
        <w:rPr>
          <w:rFonts w:ascii="Times New Roman" w:hAnsi="Times New Roman"/>
          <w:sz w:val="24"/>
          <w:szCs w:val="24"/>
          <w:u w:val="single"/>
        </w:rPr>
        <w:t xml:space="preserve"> a § 12 ods. 1 písm. d)):</w:t>
      </w:r>
    </w:p>
    <w:p w14:paraId="64940AE4" w14:textId="77777777" w:rsidR="000A6C03" w:rsidRDefault="000A6C03" w:rsidP="000A6C03">
      <w:pPr>
        <w:spacing w:after="0" w:line="240" w:lineRule="auto"/>
        <w:jc w:val="both"/>
        <w:rPr>
          <w:rFonts w:ascii="Times New Roman" w:hAnsi="Times New Roman"/>
          <w:sz w:val="24"/>
          <w:szCs w:val="24"/>
        </w:rPr>
      </w:pPr>
      <w:r>
        <w:rPr>
          <w:rFonts w:ascii="Times New Roman" w:hAnsi="Times New Roman"/>
          <w:sz w:val="24"/>
          <w:szCs w:val="24"/>
        </w:rPr>
        <w:t>Legislatívno-technická úprava v nadväznosti na zmenu pojmu.</w:t>
      </w:r>
    </w:p>
    <w:p w14:paraId="1E72BAAD" w14:textId="77777777" w:rsidR="000A6C03" w:rsidRDefault="000A6C03" w:rsidP="000A6C03">
      <w:pPr>
        <w:spacing w:after="0" w:line="240" w:lineRule="auto"/>
        <w:jc w:val="both"/>
        <w:rPr>
          <w:rFonts w:ascii="Times New Roman" w:hAnsi="Times New Roman"/>
          <w:sz w:val="24"/>
          <w:szCs w:val="24"/>
        </w:rPr>
      </w:pPr>
    </w:p>
    <w:p w14:paraId="32703D44" w14:textId="77777777" w:rsidR="000A6C03" w:rsidRPr="007D7585" w:rsidRDefault="000A6C03" w:rsidP="000A6C03">
      <w:pPr>
        <w:spacing w:after="0" w:line="240" w:lineRule="auto"/>
        <w:jc w:val="both"/>
        <w:rPr>
          <w:rFonts w:ascii="Times New Roman" w:hAnsi="Times New Roman"/>
          <w:sz w:val="24"/>
          <w:szCs w:val="24"/>
          <w:u w:val="single"/>
        </w:rPr>
      </w:pPr>
      <w:r w:rsidRPr="007D7585">
        <w:rPr>
          <w:rFonts w:ascii="Times New Roman" w:hAnsi="Times New Roman"/>
          <w:sz w:val="24"/>
          <w:szCs w:val="24"/>
          <w:u w:val="single"/>
        </w:rPr>
        <w:t xml:space="preserve">K bodu </w:t>
      </w:r>
      <w:r>
        <w:rPr>
          <w:rFonts w:ascii="Times New Roman" w:hAnsi="Times New Roman"/>
          <w:sz w:val="24"/>
          <w:szCs w:val="24"/>
          <w:u w:val="single"/>
        </w:rPr>
        <w:t>8</w:t>
      </w:r>
      <w:r w:rsidRPr="007D7585">
        <w:rPr>
          <w:rFonts w:ascii="Times New Roman" w:hAnsi="Times New Roman"/>
          <w:sz w:val="24"/>
          <w:szCs w:val="24"/>
          <w:u w:val="single"/>
        </w:rPr>
        <w:t xml:space="preserve"> (§ 10 ods. 9):</w:t>
      </w:r>
    </w:p>
    <w:p w14:paraId="16EB18F2" w14:textId="77777777" w:rsidR="000A6C03" w:rsidRDefault="000A6C03" w:rsidP="000A6C03">
      <w:pPr>
        <w:spacing w:after="0" w:line="240" w:lineRule="auto"/>
        <w:jc w:val="both"/>
        <w:rPr>
          <w:rFonts w:ascii="Times New Roman" w:hAnsi="Times New Roman"/>
          <w:sz w:val="24"/>
          <w:szCs w:val="24"/>
        </w:rPr>
      </w:pPr>
      <w:r>
        <w:rPr>
          <w:rFonts w:ascii="Times New Roman" w:hAnsi="Times New Roman"/>
          <w:sz w:val="24"/>
          <w:szCs w:val="24"/>
        </w:rPr>
        <w:t xml:space="preserve">Navrhuje sa stanovenie univerzálneho prístupu k minimálnej sume poplatku alebo preplatku, ktorý sa z hľadiska efektívnosti nákladov na jeho vrátenie nevracia a s ohľadom na osobitné podmienky zastupiteľských úradov, ktoré vracajú platby do zahraničia (aj v cudzej mene). </w:t>
      </w:r>
      <w:r w:rsidRPr="00521FC1">
        <w:rPr>
          <w:rFonts w:ascii="Times New Roman" w:hAnsi="Times New Roman"/>
          <w:color w:val="000000"/>
          <w:sz w:val="24"/>
        </w:rPr>
        <w:t>Navrhovaná právna úprava, aby zastupiteľský úrad v zahraničí nevydával rozhodnutie o vrátení poplatku alebo preplatku, ak suma, ktorá sa má vrátiť, neprevyšuje 15 eur, predstavuje racionalizáciu procesu s ohľadom na výšku správnych poplatkov vyberaných zastupiteľskými úradmi v zahraničí a výšku nákladov spojených s vrátením vybraného správneho poplatku na zahraničné bankové účty, resp. s lokálnymi platobnými schémami.</w:t>
      </w:r>
    </w:p>
    <w:p w14:paraId="5428BB14" w14:textId="77777777" w:rsidR="000A6C03" w:rsidRDefault="000A6C03" w:rsidP="000A6C03">
      <w:pPr>
        <w:spacing w:after="0" w:line="240" w:lineRule="auto"/>
        <w:jc w:val="both"/>
        <w:rPr>
          <w:rFonts w:ascii="Times New Roman" w:hAnsi="Times New Roman"/>
          <w:sz w:val="24"/>
          <w:szCs w:val="24"/>
        </w:rPr>
      </w:pPr>
    </w:p>
    <w:p w14:paraId="399DCCD3" w14:textId="77777777" w:rsidR="000A6C03" w:rsidRPr="00456167" w:rsidRDefault="000A6C03" w:rsidP="000A6C03">
      <w:pPr>
        <w:spacing w:after="0" w:line="240" w:lineRule="auto"/>
        <w:jc w:val="both"/>
        <w:rPr>
          <w:rFonts w:ascii="Times New Roman" w:hAnsi="Times New Roman"/>
          <w:sz w:val="24"/>
          <w:szCs w:val="24"/>
          <w:u w:val="single"/>
        </w:rPr>
      </w:pPr>
      <w:r w:rsidRPr="00456167">
        <w:rPr>
          <w:rFonts w:ascii="Times New Roman" w:hAnsi="Times New Roman"/>
          <w:sz w:val="24"/>
          <w:szCs w:val="24"/>
          <w:u w:val="single"/>
        </w:rPr>
        <w:t xml:space="preserve">K bodu </w:t>
      </w:r>
      <w:r>
        <w:rPr>
          <w:rFonts w:ascii="Times New Roman" w:hAnsi="Times New Roman"/>
          <w:sz w:val="24"/>
          <w:szCs w:val="24"/>
          <w:u w:val="single"/>
        </w:rPr>
        <w:t>9</w:t>
      </w:r>
      <w:r w:rsidRPr="00456167">
        <w:rPr>
          <w:rFonts w:ascii="Times New Roman" w:hAnsi="Times New Roman"/>
          <w:sz w:val="24"/>
          <w:szCs w:val="24"/>
          <w:u w:val="single"/>
        </w:rPr>
        <w:t xml:space="preserve"> (§ 10 ods. 12):</w:t>
      </w:r>
    </w:p>
    <w:p w14:paraId="75C79D54" w14:textId="77777777" w:rsidR="000A6C03" w:rsidRDefault="000A6C03" w:rsidP="000A6C03">
      <w:pPr>
        <w:spacing w:after="0" w:line="240" w:lineRule="auto"/>
        <w:jc w:val="both"/>
        <w:rPr>
          <w:rFonts w:ascii="Times New Roman" w:hAnsi="Times New Roman"/>
          <w:sz w:val="24"/>
          <w:szCs w:val="24"/>
        </w:rPr>
      </w:pPr>
      <w:r>
        <w:rPr>
          <w:rFonts w:ascii="Times New Roman" w:hAnsi="Times New Roman"/>
          <w:sz w:val="24"/>
          <w:szCs w:val="24"/>
        </w:rPr>
        <w:t>Legislatívno-technická úprava v nadväznosti na zmenu § 10 ods. 3, podľa ktorého sa nanovo určujú správne orgány, ktoré vracajú poplatky bez odpisu právoplatného rozhodnutia a bez odpisu rovnopisu záznamu.</w:t>
      </w:r>
    </w:p>
    <w:p w14:paraId="05EBA830" w14:textId="77777777" w:rsidR="000A6C03" w:rsidRDefault="000A6C03" w:rsidP="000A6C03">
      <w:pPr>
        <w:spacing w:after="0" w:line="240" w:lineRule="auto"/>
        <w:jc w:val="both"/>
        <w:rPr>
          <w:rFonts w:ascii="Times New Roman" w:hAnsi="Times New Roman"/>
          <w:sz w:val="24"/>
          <w:szCs w:val="24"/>
          <w:u w:val="single"/>
        </w:rPr>
      </w:pPr>
    </w:p>
    <w:p w14:paraId="3C9FF8E7" w14:textId="77777777" w:rsidR="000A6C03" w:rsidRPr="00456167" w:rsidRDefault="000A6C03" w:rsidP="000A6C03">
      <w:pPr>
        <w:spacing w:after="0" w:line="240" w:lineRule="auto"/>
        <w:jc w:val="both"/>
        <w:rPr>
          <w:rFonts w:ascii="Times New Roman" w:hAnsi="Times New Roman"/>
          <w:sz w:val="24"/>
          <w:szCs w:val="24"/>
          <w:u w:val="single"/>
        </w:rPr>
      </w:pPr>
      <w:r w:rsidRPr="00456167">
        <w:rPr>
          <w:rFonts w:ascii="Times New Roman" w:hAnsi="Times New Roman"/>
          <w:sz w:val="24"/>
          <w:szCs w:val="24"/>
          <w:u w:val="single"/>
        </w:rPr>
        <w:t xml:space="preserve">K bodu </w:t>
      </w:r>
      <w:r>
        <w:rPr>
          <w:rFonts w:ascii="Times New Roman" w:hAnsi="Times New Roman"/>
          <w:sz w:val="24"/>
          <w:szCs w:val="24"/>
          <w:u w:val="single"/>
        </w:rPr>
        <w:t>10</w:t>
      </w:r>
      <w:r w:rsidRPr="00456167">
        <w:rPr>
          <w:rFonts w:ascii="Times New Roman" w:hAnsi="Times New Roman"/>
          <w:sz w:val="24"/>
          <w:szCs w:val="24"/>
          <w:u w:val="single"/>
        </w:rPr>
        <w:t xml:space="preserve"> (§ 10 ods. 1</w:t>
      </w:r>
      <w:r>
        <w:rPr>
          <w:rFonts w:ascii="Times New Roman" w:hAnsi="Times New Roman"/>
          <w:sz w:val="24"/>
          <w:szCs w:val="24"/>
          <w:u w:val="single"/>
        </w:rPr>
        <w:t>4</w:t>
      </w:r>
      <w:r w:rsidRPr="00456167">
        <w:rPr>
          <w:rFonts w:ascii="Times New Roman" w:hAnsi="Times New Roman"/>
          <w:sz w:val="24"/>
          <w:szCs w:val="24"/>
          <w:u w:val="single"/>
        </w:rPr>
        <w:t>):</w:t>
      </w:r>
    </w:p>
    <w:p w14:paraId="601C89FC" w14:textId="77777777" w:rsidR="000A6C03" w:rsidRDefault="000A6C03" w:rsidP="000A6C03">
      <w:pPr>
        <w:spacing w:after="0" w:line="240" w:lineRule="auto"/>
        <w:jc w:val="both"/>
        <w:rPr>
          <w:rFonts w:ascii="Times New Roman" w:hAnsi="Times New Roman"/>
          <w:sz w:val="24"/>
          <w:szCs w:val="24"/>
        </w:rPr>
      </w:pPr>
      <w:r>
        <w:rPr>
          <w:rFonts w:ascii="Times New Roman" w:hAnsi="Times New Roman"/>
          <w:sz w:val="24"/>
          <w:szCs w:val="24"/>
        </w:rPr>
        <w:t>Legislatívno-technická úprava v nadväznosti na zmenu § 10 ods. 9, v ktorom bola zmenená druhá veta.</w:t>
      </w:r>
    </w:p>
    <w:p w14:paraId="41E6811B" w14:textId="77777777" w:rsidR="000A6C03" w:rsidRDefault="000A6C03" w:rsidP="000A6C03">
      <w:pPr>
        <w:spacing w:after="0" w:line="240" w:lineRule="auto"/>
        <w:jc w:val="both"/>
        <w:rPr>
          <w:rFonts w:ascii="Times New Roman" w:hAnsi="Times New Roman"/>
          <w:sz w:val="24"/>
          <w:szCs w:val="24"/>
        </w:rPr>
      </w:pPr>
    </w:p>
    <w:p w14:paraId="42F3CC9D" w14:textId="77777777" w:rsidR="000A6C03" w:rsidRPr="007D7585" w:rsidRDefault="000A6C03" w:rsidP="000A6C03">
      <w:pPr>
        <w:spacing w:after="0" w:line="240" w:lineRule="auto"/>
        <w:jc w:val="both"/>
        <w:rPr>
          <w:rFonts w:ascii="Times New Roman" w:hAnsi="Times New Roman"/>
          <w:sz w:val="24"/>
          <w:szCs w:val="24"/>
          <w:u w:val="single"/>
        </w:rPr>
      </w:pPr>
      <w:r>
        <w:rPr>
          <w:rFonts w:ascii="Times New Roman" w:hAnsi="Times New Roman"/>
          <w:sz w:val="24"/>
          <w:szCs w:val="24"/>
          <w:u w:val="single"/>
        </w:rPr>
        <w:t>K bodom</w:t>
      </w:r>
      <w:r w:rsidRPr="007D7585">
        <w:rPr>
          <w:rFonts w:ascii="Times New Roman" w:hAnsi="Times New Roman"/>
          <w:sz w:val="24"/>
          <w:szCs w:val="24"/>
          <w:u w:val="single"/>
        </w:rPr>
        <w:t xml:space="preserve"> </w:t>
      </w:r>
      <w:r>
        <w:rPr>
          <w:rFonts w:ascii="Times New Roman" w:hAnsi="Times New Roman"/>
          <w:sz w:val="24"/>
          <w:szCs w:val="24"/>
          <w:u w:val="single"/>
        </w:rPr>
        <w:t>11 až 13</w:t>
      </w:r>
      <w:r w:rsidRPr="007D7585">
        <w:rPr>
          <w:rFonts w:ascii="Times New Roman" w:hAnsi="Times New Roman"/>
          <w:sz w:val="24"/>
          <w:szCs w:val="24"/>
          <w:u w:val="single"/>
        </w:rPr>
        <w:t xml:space="preserve"> (§ 12</w:t>
      </w:r>
      <w:r>
        <w:rPr>
          <w:rFonts w:ascii="Times New Roman" w:hAnsi="Times New Roman"/>
          <w:sz w:val="24"/>
          <w:szCs w:val="24"/>
          <w:u w:val="single"/>
        </w:rPr>
        <w:t xml:space="preserve"> ods. 1 a 2</w:t>
      </w:r>
      <w:r w:rsidRPr="007D7585">
        <w:rPr>
          <w:rFonts w:ascii="Times New Roman" w:hAnsi="Times New Roman"/>
          <w:sz w:val="24"/>
          <w:szCs w:val="24"/>
          <w:u w:val="single"/>
        </w:rPr>
        <w:t>):</w:t>
      </w:r>
    </w:p>
    <w:p w14:paraId="1DFD7AC7" w14:textId="77777777" w:rsidR="000A6C03" w:rsidRDefault="000A6C03" w:rsidP="000A6C03">
      <w:pPr>
        <w:spacing w:after="0" w:line="240" w:lineRule="auto"/>
        <w:jc w:val="both"/>
        <w:rPr>
          <w:rFonts w:ascii="Times New Roman" w:hAnsi="Times New Roman"/>
          <w:sz w:val="24"/>
          <w:szCs w:val="24"/>
        </w:rPr>
      </w:pPr>
      <w:r>
        <w:rPr>
          <w:rFonts w:ascii="Times New Roman" w:hAnsi="Times New Roman"/>
          <w:sz w:val="24"/>
          <w:szCs w:val="24"/>
        </w:rPr>
        <w:t>Navrhuje sa doplnenie § 12 za účelom zvýšenia právnej istoty doterajšieho výkladu dodržania lehoty na zaplatenie poplatku (kedy je správny poplatok zaplatený). Zároveň sa rozširuje príslušné ustanovenie vo vzťahu k centrálnemu systému evidencie poplatkov Štátnej pokladnice.</w:t>
      </w:r>
    </w:p>
    <w:p w14:paraId="205BF2AC" w14:textId="77777777" w:rsidR="000A6C03" w:rsidRDefault="000A6C03" w:rsidP="000A6C03">
      <w:pPr>
        <w:spacing w:after="0" w:line="240" w:lineRule="auto"/>
        <w:jc w:val="both"/>
        <w:rPr>
          <w:rFonts w:ascii="Times New Roman" w:hAnsi="Times New Roman"/>
          <w:sz w:val="24"/>
          <w:szCs w:val="24"/>
        </w:rPr>
      </w:pPr>
    </w:p>
    <w:p w14:paraId="027963D0" w14:textId="77777777" w:rsidR="000A6C03" w:rsidRPr="00A71CBB" w:rsidRDefault="000A6C03" w:rsidP="000A6C03">
      <w:pPr>
        <w:spacing w:after="0" w:line="240" w:lineRule="auto"/>
        <w:jc w:val="both"/>
        <w:rPr>
          <w:rFonts w:ascii="Times New Roman" w:hAnsi="Times New Roman"/>
          <w:sz w:val="24"/>
          <w:szCs w:val="24"/>
          <w:u w:val="single"/>
        </w:rPr>
      </w:pPr>
      <w:r w:rsidRPr="00A71CBB">
        <w:rPr>
          <w:rFonts w:ascii="Times New Roman" w:hAnsi="Times New Roman"/>
          <w:sz w:val="24"/>
          <w:szCs w:val="24"/>
          <w:u w:val="single"/>
        </w:rPr>
        <w:t xml:space="preserve">K bodu </w:t>
      </w:r>
      <w:r>
        <w:rPr>
          <w:rFonts w:ascii="Times New Roman" w:hAnsi="Times New Roman"/>
          <w:sz w:val="24"/>
          <w:szCs w:val="24"/>
          <w:u w:val="single"/>
        </w:rPr>
        <w:t>14</w:t>
      </w:r>
      <w:r w:rsidRPr="00A71CBB">
        <w:rPr>
          <w:rFonts w:ascii="Times New Roman" w:hAnsi="Times New Roman"/>
          <w:sz w:val="24"/>
          <w:szCs w:val="24"/>
          <w:u w:val="single"/>
        </w:rPr>
        <w:t xml:space="preserve"> (§ 15):</w:t>
      </w:r>
    </w:p>
    <w:p w14:paraId="05F6E64D" w14:textId="77777777" w:rsidR="000A6C03" w:rsidRPr="001A388F" w:rsidRDefault="000A6C03" w:rsidP="000A6C03">
      <w:pPr>
        <w:spacing w:after="0" w:line="240" w:lineRule="auto"/>
        <w:jc w:val="both"/>
        <w:rPr>
          <w:rFonts w:ascii="Times New Roman" w:hAnsi="Times New Roman"/>
          <w:sz w:val="24"/>
          <w:szCs w:val="24"/>
        </w:rPr>
      </w:pPr>
      <w:r>
        <w:rPr>
          <w:rFonts w:ascii="Times New Roman" w:hAnsi="Times New Roman"/>
          <w:sz w:val="24"/>
          <w:szCs w:val="24"/>
        </w:rPr>
        <w:t xml:space="preserve">Navrhuje sa kompetenčné zjednotenie výkonu kontroly správnych orgánov vo veci </w:t>
      </w:r>
      <w:r w:rsidRPr="00A71CBB">
        <w:rPr>
          <w:rFonts w:ascii="Times New Roman" w:hAnsi="Times New Roman"/>
          <w:sz w:val="24"/>
          <w:szCs w:val="24"/>
        </w:rPr>
        <w:t xml:space="preserve">správnosti a včasnosti vyberania poplatkov, </w:t>
      </w:r>
      <w:r w:rsidRPr="008806F7">
        <w:rPr>
          <w:rFonts w:ascii="Times New Roman" w:hAnsi="Times New Roman"/>
          <w:sz w:val="24"/>
          <w:szCs w:val="24"/>
        </w:rPr>
        <w:t>správnosti a včasnosti vrátenia poplatkov</w:t>
      </w:r>
      <w:r>
        <w:rPr>
          <w:rFonts w:ascii="Times New Roman" w:hAnsi="Times New Roman"/>
          <w:sz w:val="24"/>
          <w:szCs w:val="24"/>
        </w:rPr>
        <w:t>,</w:t>
      </w:r>
      <w:r w:rsidRPr="008806F7">
        <w:rPr>
          <w:rFonts w:ascii="Times New Roman" w:hAnsi="Times New Roman"/>
          <w:sz w:val="24"/>
          <w:szCs w:val="24"/>
        </w:rPr>
        <w:t xml:space="preserve"> </w:t>
      </w:r>
      <w:r>
        <w:rPr>
          <w:rFonts w:ascii="Times New Roman" w:hAnsi="Times New Roman"/>
          <w:sz w:val="24"/>
          <w:szCs w:val="24"/>
        </w:rPr>
        <w:t>správnosti formy a </w:t>
      </w:r>
      <w:r w:rsidRPr="00A71CBB">
        <w:rPr>
          <w:rFonts w:ascii="Times New Roman" w:hAnsi="Times New Roman"/>
          <w:sz w:val="24"/>
          <w:szCs w:val="24"/>
        </w:rPr>
        <w:t>spôsobu pl</w:t>
      </w:r>
      <w:r>
        <w:rPr>
          <w:rFonts w:ascii="Times New Roman" w:hAnsi="Times New Roman"/>
          <w:sz w:val="24"/>
          <w:szCs w:val="24"/>
        </w:rPr>
        <w:t>atenia poplatkov a správnosti a </w:t>
      </w:r>
      <w:r w:rsidRPr="00A71CBB">
        <w:rPr>
          <w:rFonts w:ascii="Times New Roman" w:hAnsi="Times New Roman"/>
          <w:sz w:val="24"/>
          <w:szCs w:val="24"/>
        </w:rPr>
        <w:t>úplnosti evidovania poplatkov</w:t>
      </w:r>
      <w:r>
        <w:rPr>
          <w:rFonts w:ascii="Times New Roman" w:hAnsi="Times New Roman"/>
          <w:sz w:val="24"/>
          <w:szCs w:val="24"/>
        </w:rPr>
        <w:t xml:space="preserve"> s tým, že Úrad vládneho auditu má tiež vykonávať </w:t>
      </w:r>
      <w:r w:rsidRPr="00A71CBB">
        <w:rPr>
          <w:rFonts w:ascii="Times New Roman" w:hAnsi="Times New Roman"/>
          <w:sz w:val="24"/>
          <w:szCs w:val="24"/>
        </w:rPr>
        <w:t>audit evidencie, zúčtovania a vrátenia poplatkov uhradených prostredníctvom centrálneho systému evidencie poplatkov</w:t>
      </w:r>
      <w:r>
        <w:rPr>
          <w:rFonts w:ascii="Times New Roman" w:hAnsi="Times New Roman"/>
          <w:sz w:val="24"/>
          <w:szCs w:val="24"/>
        </w:rPr>
        <w:t xml:space="preserve"> prevádzkovateľa systému aj </w:t>
      </w:r>
      <w:r w:rsidRPr="00A71CBB">
        <w:rPr>
          <w:rFonts w:ascii="Times New Roman" w:hAnsi="Times New Roman"/>
          <w:sz w:val="24"/>
          <w:szCs w:val="24"/>
        </w:rPr>
        <w:t>prostredníctvom centrálneho systému evidencie poplatkov</w:t>
      </w:r>
      <w:r>
        <w:rPr>
          <w:rFonts w:ascii="Times New Roman" w:hAnsi="Times New Roman"/>
          <w:sz w:val="24"/>
          <w:szCs w:val="24"/>
        </w:rPr>
        <w:t xml:space="preserve"> Štátnej pokladnice. Súčasné nastavenie, kedy FR SR vykonávalo kontrolu v rovnakej veci na daňových úradoch a daňové úrady vykonávali kontrolu podľa územnej pôsobnosti na správnych orgánoch sa javí ako nevhodné, pretože primárnych cieľom orgánov finančnej správy je vyberanie daní a ciel a nie vykonávanie kontrolných činností na iných správnych orgánoch. Doplnenie vládneho auditu v Štátnej pokladnici je len logickou analógiou súčasnej kompetencie kontroly u prevádzkovateľa systému. Na samosprávnych orgánoch sa z hľadiska kompetenčného vybavenia kontroly nič nemení. </w:t>
      </w:r>
    </w:p>
    <w:p w14:paraId="6BEDD33E" w14:textId="77777777" w:rsidR="000A6C03" w:rsidRPr="002064C7" w:rsidRDefault="000A6C03" w:rsidP="000A6C03">
      <w:pPr>
        <w:spacing w:after="0" w:line="240" w:lineRule="auto"/>
        <w:jc w:val="both"/>
        <w:rPr>
          <w:rFonts w:ascii="Times New Roman" w:hAnsi="Times New Roman"/>
          <w:sz w:val="24"/>
          <w:szCs w:val="24"/>
        </w:rPr>
      </w:pPr>
    </w:p>
    <w:p w14:paraId="1DCDD5FF" w14:textId="77777777" w:rsidR="000A6C03" w:rsidRPr="00B260D3" w:rsidRDefault="000A6C03" w:rsidP="000A6C03">
      <w:pPr>
        <w:spacing w:after="0" w:line="240" w:lineRule="auto"/>
        <w:jc w:val="both"/>
        <w:rPr>
          <w:rFonts w:ascii="Times New Roman" w:hAnsi="Times New Roman"/>
          <w:sz w:val="24"/>
          <w:szCs w:val="24"/>
          <w:u w:val="single"/>
        </w:rPr>
      </w:pPr>
      <w:r w:rsidRPr="00B260D3">
        <w:rPr>
          <w:rFonts w:ascii="Times New Roman" w:hAnsi="Times New Roman"/>
          <w:sz w:val="24"/>
          <w:szCs w:val="24"/>
          <w:u w:val="single"/>
        </w:rPr>
        <w:t xml:space="preserve">K bodom </w:t>
      </w:r>
      <w:r>
        <w:rPr>
          <w:rFonts w:ascii="Times New Roman" w:hAnsi="Times New Roman"/>
          <w:sz w:val="24"/>
          <w:szCs w:val="24"/>
          <w:u w:val="single"/>
        </w:rPr>
        <w:t xml:space="preserve">15 až 17 </w:t>
      </w:r>
      <w:r w:rsidRPr="00B260D3">
        <w:rPr>
          <w:rFonts w:ascii="Times New Roman" w:hAnsi="Times New Roman"/>
          <w:sz w:val="24"/>
          <w:szCs w:val="24"/>
          <w:u w:val="single"/>
        </w:rPr>
        <w:t>(§ 15a ods. 1 až 3):</w:t>
      </w:r>
    </w:p>
    <w:p w14:paraId="7C975227" w14:textId="77777777" w:rsidR="000A6C03" w:rsidRDefault="000A6C03" w:rsidP="000A6C03">
      <w:pPr>
        <w:spacing w:after="0" w:line="240" w:lineRule="auto"/>
        <w:jc w:val="both"/>
        <w:rPr>
          <w:rFonts w:ascii="Times New Roman" w:hAnsi="Times New Roman"/>
          <w:sz w:val="24"/>
          <w:szCs w:val="24"/>
        </w:rPr>
      </w:pPr>
      <w:r>
        <w:rPr>
          <w:rFonts w:ascii="Times New Roman" w:hAnsi="Times New Roman"/>
          <w:sz w:val="24"/>
          <w:szCs w:val="24"/>
        </w:rPr>
        <w:t>Legislatívno-technické úpravy v nadväznosti na úpravy v § 7, 10 a 18b. Ustanovenie § 15a ods. 2 je navrhnuté tak, aby zabezpečilo potrebu archivácie potvrdení v situáciách, že listinné podania spravované v agendových informačných systémoch nemajú prenesenú informáciu o čísle podania/konania/spisu/záznamu v centrálnom systéme evidencie poplatkov. V prípade, že predpis a platba je párovaná automaticky v systéme, čo je možné dohľadať napr. cez reporty v centrálnom systéme, na strane správneho orgánu nie je potrebné riešiť fyzickú archiváciu potvrdení o úhrade poplatku.</w:t>
      </w:r>
    </w:p>
    <w:p w14:paraId="54379D0D" w14:textId="77777777" w:rsidR="000A6C03" w:rsidRDefault="000A6C03" w:rsidP="000A6C03">
      <w:pPr>
        <w:spacing w:after="0" w:line="240" w:lineRule="auto"/>
        <w:jc w:val="both"/>
        <w:rPr>
          <w:rFonts w:ascii="Times New Roman" w:hAnsi="Times New Roman"/>
          <w:sz w:val="24"/>
          <w:szCs w:val="24"/>
        </w:rPr>
      </w:pPr>
    </w:p>
    <w:p w14:paraId="7490D15D" w14:textId="77777777" w:rsidR="000A6C03" w:rsidRPr="00D74E97" w:rsidRDefault="000A6C03" w:rsidP="000A6C03">
      <w:pPr>
        <w:spacing w:after="0" w:line="240" w:lineRule="auto"/>
        <w:jc w:val="both"/>
        <w:rPr>
          <w:rFonts w:ascii="Times New Roman" w:hAnsi="Times New Roman"/>
          <w:sz w:val="24"/>
          <w:szCs w:val="24"/>
          <w:u w:val="single"/>
        </w:rPr>
      </w:pPr>
      <w:r w:rsidRPr="00D74E97">
        <w:rPr>
          <w:rFonts w:ascii="Times New Roman" w:hAnsi="Times New Roman"/>
          <w:sz w:val="24"/>
          <w:szCs w:val="24"/>
          <w:u w:val="single"/>
        </w:rPr>
        <w:t>K bodu 1</w:t>
      </w:r>
      <w:r>
        <w:rPr>
          <w:rFonts w:ascii="Times New Roman" w:hAnsi="Times New Roman"/>
          <w:sz w:val="24"/>
          <w:szCs w:val="24"/>
          <w:u w:val="single"/>
        </w:rPr>
        <w:t>8</w:t>
      </w:r>
      <w:r w:rsidRPr="00D74E97">
        <w:rPr>
          <w:rFonts w:ascii="Times New Roman" w:hAnsi="Times New Roman"/>
          <w:sz w:val="24"/>
          <w:szCs w:val="24"/>
          <w:u w:val="single"/>
        </w:rPr>
        <w:t xml:space="preserve"> (§ 15a ods. 4 a § 18a ods. 2)</w:t>
      </w:r>
    </w:p>
    <w:p w14:paraId="72BCCE39" w14:textId="77777777" w:rsidR="000A6C03" w:rsidRDefault="000A6C03" w:rsidP="000A6C03">
      <w:pPr>
        <w:spacing w:after="0" w:line="240" w:lineRule="auto"/>
        <w:jc w:val="both"/>
        <w:rPr>
          <w:rFonts w:ascii="Times New Roman" w:hAnsi="Times New Roman"/>
          <w:sz w:val="24"/>
          <w:szCs w:val="24"/>
        </w:rPr>
      </w:pPr>
      <w:r>
        <w:rPr>
          <w:rFonts w:ascii="Times New Roman" w:hAnsi="Times New Roman"/>
          <w:sz w:val="24"/>
          <w:szCs w:val="24"/>
        </w:rPr>
        <w:t>Legislatívno-technická úprava v nadväznosti na zavedenú legislatívnu skratku.</w:t>
      </w:r>
    </w:p>
    <w:p w14:paraId="50406135" w14:textId="77777777" w:rsidR="000A6C03" w:rsidRDefault="000A6C03" w:rsidP="000A6C03">
      <w:pPr>
        <w:spacing w:after="0" w:line="240" w:lineRule="auto"/>
        <w:jc w:val="both"/>
        <w:rPr>
          <w:rFonts w:ascii="Times New Roman" w:hAnsi="Times New Roman"/>
          <w:sz w:val="24"/>
          <w:szCs w:val="24"/>
        </w:rPr>
      </w:pPr>
    </w:p>
    <w:p w14:paraId="50DE1BE0" w14:textId="77777777" w:rsidR="000A6C03" w:rsidRPr="005F31DE" w:rsidRDefault="000A6C03" w:rsidP="000A6C03">
      <w:pPr>
        <w:spacing w:after="0" w:line="240" w:lineRule="auto"/>
        <w:jc w:val="both"/>
        <w:rPr>
          <w:rFonts w:ascii="Times New Roman" w:hAnsi="Times New Roman"/>
          <w:sz w:val="24"/>
          <w:szCs w:val="24"/>
          <w:u w:val="single"/>
        </w:rPr>
      </w:pPr>
      <w:r w:rsidRPr="005F31DE">
        <w:rPr>
          <w:rFonts w:ascii="Times New Roman" w:hAnsi="Times New Roman"/>
          <w:sz w:val="24"/>
          <w:szCs w:val="24"/>
          <w:u w:val="single"/>
        </w:rPr>
        <w:t xml:space="preserve">K bodu </w:t>
      </w:r>
      <w:r>
        <w:rPr>
          <w:rFonts w:ascii="Times New Roman" w:hAnsi="Times New Roman"/>
          <w:sz w:val="24"/>
          <w:szCs w:val="24"/>
          <w:u w:val="single"/>
        </w:rPr>
        <w:t>19</w:t>
      </w:r>
      <w:r w:rsidRPr="005F31DE">
        <w:rPr>
          <w:rFonts w:ascii="Times New Roman" w:hAnsi="Times New Roman"/>
          <w:sz w:val="24"/>
          <w:szCs w:val="24"/>
          <w:u w:val="single"/>
        </w:rPr>
        <w:t xml:space="preserve"> (§ 15a ods. 5 a 6):</w:t>
      </w:r>
    </w:p>
    <w:p w14:paraId="73E0303F" w14:textId="77777777" w:rsidR="000A6C03" w:rsidRDefault="000A6C03" w:rsidP="000A6C03">
      <w:pPr>
        <w:spacing w:after="0" w:line="240" w:lineRule="auto"/>
        <w:jc w:val="both"/>
        <w:rPr>
          <w:rFonts w:ascii="Times New Roman" w:hAnsi="Times New Roman"/>
          <w:sz w:val="24"/>
          <w:szCs w:val="24"/>
        </w:rPr>
      </w:pPr>
      <w:r>
        <w:rPr>
          <w:rFonts w:ascii="Times New Roman" w:hAnsi="Times New Roman"/>
          <w:sz w:val="24"/>
          <w:szCs w:val="24"/>
        </w:rPr>
        <w:t>Legislatívno-technická úprava v nadväznosti na úpravu § 7 (premiestnenie textu z § 7 ods. 10 do vecne príslušného paragrafu). Navrhuje sa tiež definovať dôvod, rozsah a účel spracovávaných osobných údajov fyzickej osoby – poplatníka podľa tohto právneho predpisu v centrálnom systéme evidencie poplatkov prevádzkovateľa systému a v centrálnom systéme evidencie poplatkov Štátnej pokladnice. Rozsah spracovaných osobných údajov je definovaný v zákone, pričom pod slovami „iné údaje“ sa rozumejú údaje súvisiace s platobným úkonom a úkonom alebo konaním správneho orgánu (t. z., napr. banka odosielateľa, číslo účtu, spôsob a čas vykonanej platby, forma vykonanej platby, identifikácia platobného zariadenia, variabilný symbol, referencia platiteľa, prepojenie na číslo podania/konania/spisu/záznamu).</w:t>
      </w:r>
    </w:p>
    <w:p w14:paraId="7AA7D2D9" w14:textId="77777777" w:rsidR="000A6C03" w:rsidRDefault="000A6C03" w:rsidP="000A6C03">
      <w:pPr>
        <w:spacing w:after="0" w:line="240" w:lineRule="auto"/>
        <w:jc w:val="both"/>
        <w:rPr>
          <w:rFonts w:ascii="Times New Roman" w:hAnsi="Times New Roman"/>
          <w:sz w:val="24"/>
          <w:szCs w:val="24"/>
        </w:rPr>
      </w:pPr>
    </w:p>
    <w:p w14:paraId="1350D9AD" w14:textId="77777777" w:rsidR="000A6C03" w:rsidRPr="005F31DE" w:rsidRDefault="000A6C03" w:rsidP="000A6C03">
      <w:pPr>
        <w:spacing w:after="0" w:line="240" w:lineRule="auto"/>
        <w:jc w:val="both"/>
        <w:rPr>
          <w:rFonts w:ascii="Times New Roman" w:hAnsi="Times New Roman"/>
          <w:sz w:val="24"/>
          <w:szCs w:val="24"/>
          <w:u w:val="single"/>
        </w:rPr>
      </w:pPr>
      <w:r w:rsidRPr="005F31DE">
        <w:rPr>
          <w:rFonts w:ascii="Times New Roman" w:hAnsi="Times New Roman"/>
          <w:sz w:val="24"/>
          <w:szCs w:val="24"/>
          <w:u w:val="single"/>
        </w:rPr>
        <w:t xml:space="preserve">K bodu </w:t>
      </w:r>
      <w:r>
        <w:rPr>
          <w:rFonts w:ascii="Times New Roman" w:hAnsi="Times New Roman"/>
          <w:sz w:val="24"/>
          <w:szCs w:val="24"/>
          <w:u w:val="single"/>
        </w:rPr>
        <w:t>20</w:t>
      </w:r>
      <w:r w:rsidRPr="005F31DE">
        <w:rPr>
          <w:rFonts w:ascii="Times New Roman" w:hAnsi="Times New Roman"/>
          <w:sz w:val="24"/>
          <w:szCs w:val="24"/>
          <w:u w:val="single"/>
        </w:rPr>
        <w:t xml:space="preserve"> (§ 16 ods. 1)</w:t>
      </w:r>
      <w:r>
        <w:rPr>
          <w:rFonts w:ascii="Times New Roman" w:hAnsi="Times New Roman"/>
          <w:sz w:val="24"/>
          <w:szCs w:val="24"/>
          <w:u w:val="single"/>
        </w:rPr>
        <w:t>:</w:t>
      </w:r>
    </w:p>
    <w:p w14:paraId="1FBB8BA8" w14:textId="77777777" w:rsidR="000A6C03" w:rsidRDefault="000A6C03" w:rsidP="000A6C03">
      <w:pPr>
        <w:spacing w:after="0" w:line="240" w:lineRule="auto"/>
        <w:jc w:val="both"/>
        <w:rPr>
          <w:rFonts w:ascii="Times New Roman" w:hAnsi="Times New Roman"/>
          <w:sz w:val="24"/>
          <w:szCs w:val="24"/>
        </w:rPr>
      </w:pPr>
      <w:r>
        <w:rPr>
          <w:rFonts w:ascii="Times New Roman" w:hAnsi="Times New Roman"/>
          <w:sz w:val="24"/>
          <w:szCs w:val="24"/>
        </w:rPr>
        <w:t xml:space="preserve">Legislatívno-technická úprava v nadväznosti na zmenu v § 15. Navrhuje sa tiež zmena sumy maximálnej pokuty pre správny orgán. </w:t>
      </w:r>
    </w:p>
    <w:p w14:paraId="78E95C48" w14:textId="77777777" w:rsidR="000A6C03" w:rsidRDefault="000A6C03" w:rsidP="000A6C03">
      <w:pPr>
        <w:spacing w:after="0" w:line="240" w:lineRule="auto"/>
        <w:jc w:val="both"/>
        <w:rPr>
          <w:rFonts w:ascii="Times New Roman" w:hAnsi="Times New Roman"/>
          <w:sz w:val="24"/>
          <w:szCs w:val="24"/>
        </w:rPr>
      </w:pPr>
    </w:p>
    <w:p w14:paraId="2B863576" w14:textId="77777777" w:rsidR="000A6C03" w:rsidRPr="00327859" w:rsidRDefault="000A6C03" w:rsidP="000A6C03">
      <w:pPr>
        <w:spacing w:after="0" w:line="240" w:lineRule="auto"/>
        <w:jc w:val="both"/>
        <w:rPr>
          <w:rFonts w:ascii="Times New Roman" w:hAnsi="Times New Roman"/>
          <w:sz w:val="24"/>
          <w:szCs w:val="24"/>
          <w:u w:val="single"/>
        </w:rPr>
      </w:pPr>
      <w:r w:rsidRPr="00327859">
        <w:rPr>
          <w:rFonts w:ascii="Times New Roman" w:hAnsi="Times New Roman"/>
          <w:sz w:val="24"/>
          <w:szCs w:val="24"/>
          <w:u w:val="single"/>
        </w:rPr>
        <w:t>K bodu 21 (§16 ods. 2):</w:t>
      </w:r>
    </w:p>
    <w:p w14:paraId="56BDBAB8" w14:textId="77777777" w:rsidR="000A6C03" w:rsidRDefault="000A6C03" w:rsidP="000A6C03">
      <w:pPr>
        <w:spacing w:after="0" w:line="240" w:lineRule="auto"/>
        <w:jc w:val="both"/>
        <w:rPr>
          <w:rFonts w:ascii="Times New Roman" w:hAnsi="Times New Roman"/>
          <w:sz w:val="24"/>
          <w:szCs w:val="24"/>
        </w:rPr>
      </w:pPr>
      <w:r>
        <w:rPr>
          <w:rFonts w:ascii="Times New Roman" w:hAnsi="Times New Roman"/>
          <w:color w:val="000000"/>
          <w:sz w:val="24"/>
        </w:rPr>
        <w:t>Navrhuje sa doplniť osobitná lehota pre uloženie pokuty podľa tohto paragrafu.</w:t>
      </w:r>
    </w:p>
    <w:p w14:paraId="47B1104A" w14:textId="77777777" w:rsidR="000A6C03" w:rsidRDefault="000A6C03" w:rsidP="000A6C03">
      <w:pPr>
        <w:spacing w:after="0" w:line="240" w:lineRule="auto"/>
        <w:jc w:val="both"/>
        <w:rPr>
          <w:rFonts w:ascii="Times New Roman" w:hAnsi="Times New Roman"/>
          <w:sz w:val="24"/>
          <w:szCs w:val="24"/>
        </w:rPr>
      </w:pPr>
    </w:p>
    <w:p w14:paraId="6ECAD2DA" w14:textId="77777777" w:rsidR="000A6C03" w:rsidRPr="005F31DE" w:rsidRDefault="000A6C03" w:rsidP="000A6C03">
      <w:pPr>
        <w:spacing w:after="0" w:line="240" w:lineRule="auto"/>
        <w:jc w:val="both"/>
        <w:rPr>
          <w:rFonts w:ascii="Times New Roman" w:hAnsi="Times New Roman"/>
          <w:sz w:val="24"/>
          <w:szCs w:val="24"/>
          <w:u w:val="single"/>
        </w:rPr>
      </w:pPr>
      <w:r w:rsidRPr="005F31DE">
        <w:rPr>
          <w:rFonts w:ascii="Times New Roman" w:hAnsi="Times New Roman"/>
          <w:sz w:val="24"/>
          <w:szCs w:val="24"/>
          <w:u w:val="single"/>
        </w:rPr>
        <w:t>K bod</w:t>
      </w:r>
      <w:r>
        <w:rPr>
          <w:rFonts w:ascii="Times New Roman" w:hAnsi="Times New Roman"/>
          <w:sz w:val="24"/>
          <w:szCs w:val="24"/>
          <w:u w:val="single"/>
        </w:rPr>
        <w:t>om</w:t>
      </w:r>
      <w:r w:rsidRPr="005F31DE">
        <w:rPr>
          <w:rFonts w:ascii="Times New Roman" w:hAnsi="Times New Roman"/>
          <w:sz w:val="24"/>
          <w:szCs w:val="24"/>
          <w:u w:val="single"/>
        </w:rPr>
        <w:t xml:space="preserve"> </w:t>
      </w:r>
      <w:r>
        <w:rPr>
          <w:rFonts w:ascii="Times New Roman" w:hAnsi="Times New Roman"/>
          <w:sz w:val="24"/>
          <w:szCs w:val="24"/>
          <w:u w:val="single"/>
        </w:rPr>
        <w:t>22 až 24</w:t>
      </w:r>
      <w:r w:rsidRPr="005F31DE">
        <w:rPr>
          <w:rFonts w:ascii="Times New Roman" w:hAnsi="Times New Roman"/>
          <w:sz w:val="24"/>
          <w:szCs w:val="24"/>
          <w:u w:val="single"/>
        </w:rPr>
        <w:t xml:space="preserve"> (§ 17 ods. 2</w:t>
      </w:r>
      <w:r>
        <w:rPr>
          <w:rFonts w:ascii="Times New Roman" w:hAnsi="Times New Roman"/>
          <w:sz w:val="24"/>
          <w:szCs w:val="24"/>
          <w:u w:val="single"/>
        </w:rPr>
        <w:t xml:space="preserve"> až 4</w:t>
      </w:r>
      <w:r w:rsidRPr="005F31DE">
        <w:rPr>
          <w:rFonts w:ascii="Times New Roman" w:hAnsi="Times New Roman"/>
          <w:sz w:val="24"/>
          <w:szCs w:val="24"/>
          <w:u w:val="single"/>
        </w:rPr>
        <w:t>):</w:t>
      </w:r>
    </w:p>
    <w:p w14:paraId="7607EB94" w14:textId="77777777" w:rsidR="000A6C03" w:rsidRDefault="000A6C03" w:rsidP="000A6C03">
      <w:pPr>
        <w:spacing w:after="0" w:line="240" w:lineRule="auto"/>
        <w:jc w:val="both"/>
        <w:rPr>
          <w:rFonts w:ascii="Times New Roman" w:hAnsi="Times New Roman"/>
          <w:sz w:val="24"/>
          <w:szCs w:val="24"/>
        </w:rPr>
      </w:pPr>
      <w:r>
        <w:rPr>
          <w:rFonts w:ascii="Times New Roman" w:hAnsi="Times New Roman"/>
          <w:sz w:val="24"/>
          <w:szCs w:val="24"/>
        </w:rPr>
        <w:t>Legislatívno-technická úprava v nadväznosti na zmenu v § 7, 10 a 15a.</w:t>
      </w:r>
      <w:r w:rsidRPr="00674D85">
        <w:t xml:space="preserve"> </w:t>
      </w:r>
      <w:r w:rsidRPr="00674D85">
        <w:rPr>
          <w:rFonts w:ascii="Times New Roman" w:hAnsi="Times New Roman"/>
          <w:sz w:val="24"/>
          <w:szCs w:val="24"/>
        </w:rPr>
        <w:t>Navrhovaná úprava ustanovenia § 17 ods. 2 reflektuje na  špecifiká výberu správnych poplatkov na zastupiteľských úradoch Slovenskej republiky v zahraničí.</w:t>
      </w:r>
    </w:p>
    <w:p w14:paraId="28E58CAC" w14:textId="77777777" w:rsidR="000A6C03" w:rsidRDefault="000A6C03" w:rsidP="000A6C03">
      <w:pPr>
        <w:spacing w:after="0" w:line="240" w:lineRule="auto"/>
        <w:jc w:val="both"/>
        <w:rPr>
          <w:rFonts w:ascii="Times New Roman" w:hAnsi="Times New Roman"/>
          <w:sz w:val="24"/>
          <w:szCs w:val="24"/>
        </w:rPr>
      </w:pPr>
    </w:p>
    <w:p w14:paraId="0952585D" w14:textId="77777777" w:rsidR="000A6C03" w:rsidRPr="004E6E9B" w:rsidRDefault="000A6C03" w:rsidP="000A6C03">
      <w:pPr>
        <w:spacing w:after="0" w:line="240" w:lineRule="auto"/>
        <w:jc w:val="both"/>
        <w:rPr>
          <w:rFonts w:ascii="Times New Roman" w:hAnsi="Times New Roman"/>
          <w:sz w:val="24"/>
          <w:szCs w:val="24"/>
          <w:u w:val="single"/>
        </w:rPr>
      </w:pPr>
      <w:r w:rsidRPr="004E6E9B">
        <w:rPr>
          <w:rFonts w:ascii="Times New Roman" w:hAnsi="Times New Roman"/>
          <w:sz w:val="24"/>
          <w:szCs w:val="24"/>
          <w:u w:val="single"/>
        </w:rPr>
        <w:t>K bodu 2</w:t>
      </w:r>
      <w:r>
        <w:rPr>
          <w:rFonts w:ascii="Times New Roman" w:hAnsi="Times New Roman"/>
          <w:sz w:val="24"/>
          <w:szCs w:val="24"/>
          <w:u w:val="single"/>
        </w:rPr>
        <w:t>5</w:t>
      </w:r>
      <w:r w:rsidRPr="004E6E9B">
        <w:rPr>
          <w:rFonts w:ascii="Times New Roman" w:hAnsi="Times New Roman"/>
          <w:sz w:val="24"/>
          <w:szCs w:val="24"/>
          <w:u w:val="single"/>
        </w:rPr>
        <w:t xml:space="preserve"> (§ 18a ods. 2):</w:t>
      </w:r>
    </w:p>
    <w:p w14:paraId="37148BE7" w14:textId="77777777" w:rsidR="000A6C03" w:rsidRDefault="000A6C03" w:rsidP="000A6C03">
      <w:pPr>
        <w:spacing w:after="0" w:line="240" w:lineRule="auto"/>
        <w:jc w:val="both"/>
        <w:rPr>
          <w:rFonts w:ascii="Times New Roman" w:hAnsi="Times New Roman"/>
          <w:sz w:val="24"/>
          <w:szCs w:val="24"/>
        </w:rPr>
      </w:pPr>
      <w:r>
        <w:rPr>
          <w:rFonts w:ascii="Times New Roman" w:hAnsi="Times New Roman"/>
          <w:sz w:val="24"/>
          <w:szCs w:val="24"/>
        </w:rPr>
        <w:t>Legislatívno-technická úprava v nadväznosti na zavedenú legislatívnu skratku.</w:t>
      </w:r>
    </w:p>
    <w:p w14:paraId="2A47E586" w14:textId="77777777" w:rsidR="000A6C03" w:rsidRDefault="000A6C03" w:rsidP="000A6C03">
      <w:pPr>
        <w:spacing w:after="0" w:line="240" w:lineRule="auto"/>
        <w:jc w:val="both"/>
        <w:rPr>
          <w:rFonts w:ascii="Times New Roman" w:hAnsi="Times New Roman"/>
          <w:sz w:val="24"/>
          <w:szCs w:val="24"/>
        </w:rPr>
      </w:pPr>
    </w:p>
    <w:p w14:paraId="233D1FE5" w14:textId="77777777" w:rsidR="000A6C03" w:rsidRDefault="000A6C03" w:rsidP="000A6C03">
      <w:pPr>
        <w:spacing w:after="0" w:line="240" w:lineRule="auto"/>
        <w:jc w:val="both"/>
        <w:rPr>
          <w:rFonts w:ascii="Times New Roman" w:hAnsi="Times New Roman"/>
          <w:sz w:val="24"/>
          <w:szCs w:val="24"/>
          <w:u w:val="single"/>
        </w:rPr>
      </w:pPr>
      <w:r w:rsidRPr="001B180F">
        <w:rPr>
          <w:rFonts w:ascii="Times New Roman" w:hAnsi="Times New Roman"/>
          <w:sz w:val="24"/>
          <w:szCs w:val="24"/>
          <w:u w:val="single"/>
        </w:rPr>
        <w:t xml:space="preserve">K bodu </w:t>
      </w:r>
      <w:r>
        <w:rPr>
          <w:rFonts w:ascii="Times New Roman" w:hAnsi="Times New Roman"/>
          <w:sz w:val="24"/>
          <w:szCs w:val="24"/>
          <w:u w:val="single"/>
        </w:rPr>
        <w:t>26 (§ 18a ods. 3):</w:t>
      </w:r>
    </w:p>
    <w:p w14:paraId="7AFD6257" w14:textId="77777777" w:rsidR="000A6C03" w:rsidRDefault="000A6C03" w:rsidP="000A6C03">
      <w:pPr>
        <w:spacing w:after="0" w:line="240" w:lineRule="auto"/>
        <w:jc w:val="both"/>
        <w:rPr>
          <w:rFonts w:ascii="Times New Roman" w:hAnsi="Times New Roman"/>
          <w:sz w:val="24"/>
          <w:szCs w:val="24"/>
        </w:rPr>
      </w:pPr>
      <w:r>
        <w:rPr>
          <w:rFonts w:ascii="Times New Roman" w:hAnsi="Times New Roman"/>
          <w:sz w:val="24"/>
          <w:szCs w:val="24"/>
        </w:rPr>
        <w:t>Legislatívno-technická úprava v nadväznosti na úpravu § 7 (premiestnenie textu z § 7 ods. 3 do vecne príslušného paragrafu).</w:t>
      </w:r>
    </w:p>
    <w:p w14:paraId="65B28EC0" w14:textId="77777777" w:rsidR="000A6C03" w:rsidRDefault="000A6C03" w:rsidP="000A6C03">
      <w:pPr>
        <w:spacing w:after="0" w:line="240" w:lineRule="auto"/>
        <w:jc w:val="both"/>
        <w:rPr>
          <w:rFonts w:ascii="Times New Roman" w:hAnsi="Times New Roman"/>
          <w:sz w:val="24"/>
          <w:szCs w:val="24"/>
        </w:rPr>
      </w:pPr>
    </w:p>
    <w:p w14:paraId="0E1B525D" w14:textId="77777777" w:rsidR="000A6C03" w:rsidRDefault="000A6C03" w:rsidP="000A6C03">
      <w:pPr>
        <w:spacing w:after="0" w:line="240" w:lineRule="auto"/>
        <w:jc w:val="both"/>
        <w:rPr>
          <w:rFonts w:ascii="Times New Roman" w:hAnsi="Times New Roman"/>
          <w:sz w:val="24"/>
          <w:szCs w:val="24"/>
          <w:u w:val="single"/>
        </w:rPr>
      </w:pPr>
      <w:r>
        <w:rPr>
          <w:rFonts w:ascii="Times New Roman" w:hAnsi="Times New Roman"/>
          <w:sz w:val="24"/>
          <w:szCs w:val="24"/>
          <w:u w:val="single"/>
        </w:rPr>
        <w:t>K bodu 27 (§ 18b):</w:t>
      </w:r>
    </w:p>
    <w:p w14:paraId="493381DE" w14:textId="77777777" w:rsidR="000A6C03" w:rsidRPr="00C73F2F" w:rsidRDefault="000A6C03" w:rsidP="000A6C03">
      <w:pPr>
        <w:spacing w:after="0" w:line="240" w:lineRule="auto"/>
        <w:jc w:val="both"/>
        <w:rPr>
          <w:rFonts w:ascii="Times New Roman" w:hAnsi="Times New Roman"/>
          <w:sz w:val="24"/>
          <w:szCs w:val="24"/>
        </w:rPr>
      </w:pPr>
      <w:r w:rsidRPr="00C73F2F">
        <w:rPr>
          <w:rFonts w:ascii="Times New Roman" w:hAnsi="Times New Roman"/>
          <w:sz w:val="24"/>
          <w:szCs w:val="24"/>
        </w:rPr>
        <w:t>Navrhuje sa prepojenie tohto právneho predpisu s osobitným právnym predpisom (zákon č.</w:t>
      </w:r>
      <w:r>
        <w:rPr>
          <w:rFonts w:ascii="Times New Roman" w:hAnsi="Times New Roman"/>
          <w:sz w:val="24"/>
          <w:szCs w:val="24"/>
        </w:rPr>
        <w:t> </w:t>
      </w:r>
      <w:r w:rsidRPr="00C73F2F">
        <w:rPr>
          <w:rFonts w:ascii="Times New Roman" w:hAnsi="Times New Roman"/>
          <w:sz w:val="24"/>
          <w:szCs w:val="24"/>
        </w:rPr>
        <w:t xml:space="preserve">291/2002 Z. z. o Štátnej pokladnici v znení neskorších predpisov), tak aby sa kompetenčne </w:t>
      </w:r>
      <w:r>
        <w:rPr>
          <w:rFonts w:ascii="Times New Roman" w:hAnsi="Times New Roman"/>
          <w:sz w:val="24"/>
          <w:szCs w:val="24"/>
        </w:rPr>
        <w:t>rozšírila pôsobnosť Štátnej pokladnice</w:t>
      </w:r>
      <w:r w:rsidRPr="00C73F2F">
        <w:rPr>
          <w:rFonts w:ascii="Times New Roman" w:hAnsi="Times New Roman"/>
          <w:sz w:val="24"/>
          <w:szCs w:val="24"/>
        </w:rPr>
        <w:t xml:space="preserve"> novými úlohami a činnosťami, ktoré má zabezpečovať vo vzťahu k</w:t>
      </w:r>
      <w:r>
        <w:rPr>
          <w:rFonts w:ascii="Times New Roman" w:hAnsi="Times New Roman"/>
          <w:sz w:val="24"/>
          <w:szCs w:val="24"/>
        </w:rPr>
        <w:t> </w:t>
      </w:r>
      <w:r w:rsidRPr="00C73F2F">
        <w:rPr>
          <w:rFonts w:ascii="Times New Roman" w:hAnsi="Times New Roman"/>
          <w:sz w:val="24"/>
          <w:szCs w:val="24"/>
        </w:rPr>
        <w:t>cen</w:t>
      </w:r>
      <w:r>
        <w:rPr>
          <w:rFonts w:ascii="Times New Roman" w:hAnsi="Times New Roman"/>
          <w:sz w:val="24"/>
          <w:szCs w:val="24"/>
        </w:rPr>
        <w:t>trálnej evidencii poplatkov.</w:t>
      </w:r>
    </w:p>
    <w:p w14:paraId="5809F172" w14:textId="77777777" w:rsidR="000A6C03" w:rsidRDefault="000A6C03" w:rsidP="000A6C03">
      <w:pPr>
        <w:spacing w:after="0" w:line="240" w:lineRule="auto"/>
        <w:jc w:val="both"/>
        <w:rPr>
          <w:rFonts w:ascii="Times New Roman" w:hAnsi="Times New Roman"/>
          <w:sz w:val="24"/>
          <w:szCs w:val="24"/>
          <w:u w:val="single"/>
        </w:rPr>
      </w:pPr>
    </w:p>
    <w:p w14:paraId="10808D6A" w14:textId="77777777" w:rsidR="000A6C03" w:rsidRPr="001B180F" w:rsidRDefault="000A6C03" w:rsidP="000A6C03">
      <w:pPr>
        <w:spacing w:after="0" w:line="240" w:lineRule="auto"/>
        <w:jc w:val="both"/>
        <w:rPr>
          <w:rFonts w:ascii="Times New Roman" w:hAnsi="Times New Roman"/>
          <w:sz w:val="24"/>
          <w:szCs w:val="24"/>
          <w:u w:val="single"/>
        </w:rPr>
      </w:pPr>
      <w:r>
        <w:rPr>
          <w:rFonts w:ascii="Times New Roman" w:hAnsi="Times New Roman"/>
          <w:sz w:val="24"/>
          <w:szCs w:val="24"/>
          <w:u w:val="single"/>
        </w:rPr>
        <w:t>K bodu 28 (§ 19wb):</w:t>
      </w:r>
    </w:p>
    <w:p w14:paraId="2EBDDDAC" w14:textId="77777777" w:rsidR="000A6C03" w:rsidRDefault="000A6C03" w:rsidP="000A6C03">
      <w:pPr>
        <w:spacing w:after="0" w:line="240" w:lineRule="auto"/>
        <w:jc w:val="both"/>
        <w:rPr>
          <w:rFonts w:ascii="Times New Roman" w:hAnsi="Times New Roman"/>
          <w:sz w:val="24"/>
          <w:szCs w:val="24"/>
        </w:rPr>
      </w:pPr>
      <w:r>
        <w:rPr>
          <w:rFonts w:ascii="Times New Roman" w:hAnsi="Times New Roman"/>
          <w:sz w:val="24"/>
          <w:szCs w:val="24"/>
        </w:rPr>
        <w:t>Navrhuje sa definovať prechodné ustanovenie, ktoré vyjadruje, že úkony súvisiace s platením poplatkov sa pri zmene centrálneho systému evidencie poplatkov (z prevádzkovateľa systému do Štátnej pokladnice) dokončia v centrálnom systéme evidencie poplatkov prevádzkovateľa systému, aj keď už správny orgán bude „nové“ spoplatnené úkony a konania evidovať v centrálnom systéme evidencie poplatkov Štátnej pokladnice.</w:t>
      </w:r>
    </w:p>
    <w:p w14:paraId="44EDD1DF" w14:textId="77777777" w:rsidR="000A6C03" w:rsidRDefault="000A6C03" w:rsidP="000A6C03">
      <w:pPr>
        <w:spacing w:after="0" w:line="240" w:lineRule="auto"/>
        <w:jc w:val="both"/>
        <w:rPr>
          <w:rFonts w:ascii="Times New Roman" w:hAnsi="Times New Roman"/>
          <w:sz w:val="24"/>
          <w:szCs w:val="24"/>
        </w:rPr>
      </w:pPr>
    </w:p>
    <w:p w14:paraId="72992F4D" w14:textId="77777777" w:rsidR="000A6C03" w:rsidRDefault="000A6C03" w:rsidP="000A6C03">
      <w:pPr>
        <w:spacing w:after="0" w:line="240" w:lineRule="auto"/>
        <w:jc w:val="both"/>
        <w:rPr>
          <w:rFonts w:ascii="Times New Roman" w:hAnsi="Times New Roman"/>
          <w:sz w:val="24"/>
          <w:szCs w:val="24"/>
        </w:rPr>
      </w:pPr>
      <w:r>
        <w:rPr>
          <w:rFonts w:ascii="Times New Roman" w:hAnsi="Times New Roman"/>
          <w:sz w:val="24"/>
          <w:szCs w:val="24"/>
        </w:rPr>
        <w:t xml:space="preserve">Predpokladá sa, že na základe zmluvy uzatvorenej medzi Ministerstvom zahraničných vecí a európskych záležitostí SR (za zastupiteľské úrady) a Štátnou pokladnicou podľa navrhovaného § 18b dôjde k zapojeniu Ministerstva zahraničných vecí a európskych záležitostí SR a zahraničných zastupiteľstiev do centrálneho systému evidencie poplatkov k 1. aprílu 2026. Preto je potrebné prechodné ustanovenie, ktoré definuje časové rozhranie k úkonom a konaniam na zastupiteľských úradoch, ktoré sa neevidujú, a ktoré sa evidujú v centrálnom systéme evidencie poplatkov. </w:t>
      </w:r>
    </w:p>
    <w:p w14:paraId="79B88E43" w14:textId="77777777" w:rsidR="000A6C03" w:rsidRDefault="000A6C03" w:rsidP="000A6C03">
      <w:pPr>
        <w:spacing w:after="0" w:line="240" w:lineRule="auto"/>
        <w:jc w:val="both"/>
        <w:rPr>
          <w:rFonts w:ascii="Times New Roman" w:hAnsi="Times New Roman"/>
          <w:sz w:val="24"/>
          <w:szCs w:val="24"/>
        </w:rPr>
      </w:pPr>
    </w:p>
    <w:p w14:paraId="383692C2" w14:textId="77777777" w:rsidR="000A6C03" w:rsidRPr="0081477A" w:rsidRDefault="000A6C03" w:rsidP="000A6C03">
      <w:pPr>
        <w:spacing w:after="0" w:line="240" w:lineRule="auto"/>
        <w:jc w:val="both"/>
        <w:rPr>
          <w:rFonts w:ascii="Times New Roman" w:hAnsi="Times New Roman"/>
          <w:sz w:val="24"/>
          <w:szCs w:val="24"/>
          <w:u w:val="single"/>
        </w:rPr>
      </w:pPr>
      <w:r w:rsidRPr="0081477A">
        <w:rPr>
          <w:rFonts w:ascii="Times New Roman" w:hAnsi="Times New Roman"/>
          <w:sz w:val="24"/>
          <w:szCs w:val="24"/>
          <w:u w:val="single"/>
        </w:rPr>
        <w:t xml:space="preserve">K bodom </w:t>
      </w:r>
      <w:r>
        <w:rPr>
          <w:rFonts w:ascii="Times New Roman" w:hAnsi="Times New Roman"/>
          <w:sz w:val="24"/>
          <w:szCs w:val="24"/>
          <w:u w:val="single"/>
        </w:rPr>
        <w:t>29</w:t>
      </w:r>
      <w:r w:rsidRPr="0081477A">
        <w:rPr>
          <w:rFonts w:ascii="Times New Roman" w:hAnsi="Times New Roman"/>
          <w:sz w:val="24"/>
          <w:szCs w:val="24"/>
          <w:u w:val="single"/>
        </w:rPr>
        <w:t xml:space="preserve"> a </w:t>
      </w:r>
      <w:r>
        <w:rPr>
          <w:rFonts w:ascii="Times New Roman" w:hAnsi="Times New Roman"/>
          <w:sz w:val="24"/>
          <w:szCs w:val="24"/>
          <w:u w:val="single"/>
        </w:rPr>
        <w:t>30</w:t>
      </w:r>
      <w:r w:rsidRPr="0081477A">
        <w:rPr>
          <w:rFonts w:ascii="Times New Roman" w:hAnsi="Times New Roman"/>
          <w:sz w:val="24"/>
          <w:szCs w:val="24"/>
          <w:u w:val="single"/>
        </w:rPr>
        <w:t xml:space="preserve"> (položka 10 Sadzobníka správnych poplatkov, Oslobodenie body 3. a 5.)</w:t>
      </w:r>
    </w:p>
    <w:p w14:paraId="20A8DE0B" w14:textId="77777777" w:rsidR="000A6C03" w:rsidRDefault="000A6C03" w:rsidP="000A6C03">
      <w:pPr>
        <w:spacing w:after="0" w:line="240" w:lineRule="auto"/>
        <w:jc w:val="both"/>
        <w:rPr>
          <w:rFonts w:ascii="Times New Roman" w:hAnsi="Times New Roman"/>
          <w:color w:val="000000"/>
          <w:sz w:val="24"/>
        </w:rPr>
      </w:pPr>
      <w:r>
        <w:rPr>
          <w:rFonts w:ascii="Times New Roman" w:hAnsi="Times New Roman"/>
          <w:color w:val="000000"/>
          <w:sz w:val="24"/>
        </w:rPr>
        <w:t xml:space="preserve">Navrhuje sa v položke 10 upraviť oslobodenie od platenia správnych poplatkov s tým, že oslobodenie sa bude vzťahovať na všetky orgány štátnej správy, ich rozpočtové a príspevkové organizácie všeobecne, bez ďalšieho obmedzenia. </w:t>
      </w:r>
    </w:p>
    <w:p w14:paraId="095AFD01" w14:textId="77777777" w:rsidR="000A6C03" w:rsidRDefault="000A6C03" w:rsidP="000A6C03">
      <w:pPr>
        <w:spacing w:after="0" w:line="240" w:lineRule="auto"/>
        <w:jc w:val="both"/>
        <w:rPr>
          <w:rFonts w:ascii="Times New Roman" w:hAnsi="Times New Roman"/>
          <w:sz w:val="24"/>
          <w:szCs w:val="24"/>
        </w:rPr>
      </w:pPr>
    </w:p>
    <w:p w14:paraId="02A8BAE7" w14:textId="77777777" w:rsidR="000A6C03" w:rsidRPr="004E6E9B" w:rsidRDefault="000A6C03" w:rsidP="000A6C03">
      <w:pPr>
        <w:spacing w:after="0" w:line="240" w:lineRule="auto"/>
        <w:jc w:val="both"/>
        <w:rPr>
          <w:rFonts w:ascii="Times New Roman" w:hAnsi="Times New Roman"/>
          <w:sz w:val="24"/>
          <w:szCs w:val="24"/>
          <w:u w:val="single"/>
        </w:rPr>
      </w:pPr>
      <w:r w:rsidRPr="004E6E9B">
        <w:rPr>
          <w:rFonts w:ascii="Times New Roman" w:hAnsi="Times New Roman"/>
          <w:sz w:val="24"/>
          <w:szCs w:val="24"/>
          <w:u w:val="single"/>
        </w:rPr>
        <w:t xml:space="preserve">K bodu </w:t>
      </w:r>
      <w:r>
        <w:rPr>
          <w:rFonts w:ascii="Times New Roman" w:hAnsi="Times New Roman"/>
          <w:sz w:val="24"/>
          <w:szCs w:val="24"/>
          <w:u w:val="single"/>
        </w:rPr>
        <w:t>31</w:t>
      </w:r>
      <w:r w:rsidRPr="004E6E9B">
        <w:rPr>
          <w:rFonts w:ascii="Times New Roman" w:hAnsi="Times New Roman"/>
          <w:sz w:val="24"/>
          <w:szCs w:val="24"/>
          <w:u w:val="single"/>
        </w:rPr>
        <w:t xml:space="preserve"> (</w:t>
      </w:r>
      <w:r>
        <w:rPr>
          <w:rFonts w:ascii="Times New Roman" w:hAnsi="Times New Roman"/>
          <w:sz w:val="24"/>
          <w:szCs w:val="24"/>
          <w:u w:val="single"/>
        </w:rPr>
        <w:t>položka 138 a 146 Sadzobníka správnych poplatkov</w:t>
      </w:r>
      <w:r w:rsidRPr="004E6E9B">
        <w:rPr>
          <w:rFonts w:ascii="Times New Roman" w:hAnsi="Times New Roman"/>
          <w:sz w:val="24"/>
          <w:szCs w:val="24"/>
          <w:u w:val="single"/>
        </w:rPr>
        <w:t>):</w:t>
      </w:r>
    </w:p>
    <w:p w14:paraId="1E16D17D" w14:textId="77777777" w:rsidR="000A6C03" w:rsidRDefault="000A6C03" w:rsidP="000A6C03">
      <w:pPr>
        <w:spacing w:after="0" w:line="240" w:lineRule="auto"/>
        <w:jc w:val="both"/>
        <w:rPr>
          <w:rFonts w:ascii="Times New Roman" w:hAnsi="Times New Roman"/>
          <w:sz w:val="24"/>
          <w:szCs w:val="24"/>
        </w:rPr>
      </w:pPr>
      <w:r>
        <w:rPr>
          <w:rFonts w:ascii="Times New Roman" w:hAnsi="Times New Roman"/>
          <w:sz w:val="24"/>
          <w:szCs w:val="24"/>
        </w:rPr>
        <w:t>Legislatívno-technická úprava v nadväznosti na zavedenú legislatívnu skratku.</w:t>
      </w:r>
    </w:p>
    <w:p w14:paraId="6C6F6A46" w14:textId="77777777" w:rsidR="000A6C03" w:rsidRDefault="000A6C03" w:rsidP="000A6C03">
      <w:pPr>
        <w:spacing w:after="0" w:line="240" w:lineRule="auto"/>
        <w:jc w:val="both"/>
        <w:rPr>
          <w:rFonts w:ascii="Times New Roman" w:hAnsi="Times New Roman"/>
          <w:sz w:val="24"/>
          <w:szCs w:val="24"/>
        </w:rPr>
      </w:pPr>
    </w:p>
    <w:p w14:paraId="094CE350" w14:textId="77777777" w:rsidR="000A6C03" w:rsidRDefault="000A6C03" w:rsidP="000A6C03">
      <w:pPr>
        <w:spacing w:after="0" w:line="240" w:lineRule="auto"/>
        <w:jc w:val="both"/>
        <w:rPr>
          <w:rFonts w:ascii="Times New Roman" w:hAnsi="Times New Roman"/>
          <w:b/>
          <w:bCs/>
          <w:sz w:val="24"/>
          <w:szCs w:val="24"/>
        </w:rPr>
      </w:pPr>
      <w:r>
        <w:rPr>
          <w:rFonts w:ascii="Times New Roman" w:hAnsi="Times New Roman"/>
          <w:b/>
          <w:bCs/>
          <w:sz w:val="24"/>
          <w:szCs w:val="24"/>
        </w:rPr>
        <w:t xml:space="preserve">K Čl. IV </w:t>
      </w:r>
      <w:r w:rsidRPr="008F76DC">
        <w:rPr>
          <w:rFonts w:ascii="Times New Roman" w:hAnsi="Times New Roman"/>
          <w:sz w:val="24"/>
          <w:szCs w:val="24"/>
        </w:rPr>
        <w:t>(zákon č. 291/2002 Z. z. o Štátnej pokladnici)</w:t>
      </w:r>
    </w:p>
    <w:p w14:paraId="65B92C7B" w14:textId="77777777" w:rsidR="000A6C03" w:rsidRDefault="000A6C03" w:rsidP="000A6C03">
      <w:pPr>
        <w:spacing w:after="0" w:line="240" w:lineRule="auto"/>
        <w:jc w:val="both"/>
        <w:rPr>
          <w:rFonts w:ascii="Times New Roman" w:hAnsi="Times New Roman"/>
          <w:sz w:val="24"/>
          <w:szCs w:val="24"/>
          <w:u w:val="single"/>
        </w:rPr>
      </w:pPr>
    </w:p>
    <w:p w14:paraId="0BEC6246" w14:textId="77777777" w:rsidR="000A6C03" w:rsidRPr="008F76DC" w:rsidRDefault="000A6C03" w:rsidP="000A6C03">
      <w:pPr>
        <w:spacing w:after="0" w:line="240" w:lineRule="auto"/>
        <w:jc w:val="both"/>
        <w:rPr>
          <w:rFonts w:ascii="Times New Roman" w:hAnsi="Times New Roman"/>
          <w:sz w:val="24"/>
          <w:szCs w:val="24"/>
          <w:u w:val="single"/>
        </w:rPr>
      </w:pPr>
      <w:r w:rsidRPr="008F76DC">
        <w:rPr>
          <w:rFonts w:ascii="Times New Roman" w:hAnsi="Times New Roman"/>
          <w:sz w:val="24"/>
          <w:szCs w:val="24"/>
          <w:u w:val="single"/>
        </w:rPr>
        <w:t>K bod</w:t>
      </w:r>
      <w:r>
        <w:rPr>
          <w:rFonts w:ascii="Times New Roman" w:hAnsi="Times New Roman"/>
          <w:sz w:val="24"/>
          <w:szCs w:val="24"/>
          <w:u w:val="single"/>
        </w:rPr>
        <w:t>om 1 až 5</w:t>
      </w:r>
    </w:p>
    <w:p w14:paraId="0682C703" w14:textId="77777777" w:rsidR="000A6C03" w:rsidRDefault="000A6C03" w:rsidP="000A6C03">
      <w:pPr>
        <w:spacing w:after="0" w:line="240" w:lineRule="auto"/>
        <w:jc w:val="both"/>
        <w:rPr>
          <w:rFonts w:ascii="Times New Roman" w:hAnsi="Times New Roman"/>
          <w:sz w:val="24"/>
          <w:szCs w:val="24"/>
        </w:rPr>
      </w:pPr>
      <w:r>
        <w:rPr>
          <w:rFonts w:ascii="Times New Roman" w:hAnsi="Times New Roman"/>
          <w:sz w:val="24"/>
          <w:szCs w:val="24"/>
        </w:rPr>
        <w:t xml:space="preserve">Navrhuje sa centralizovať </w:t>
      </w:r>
      <w:r w:rsidRPr="00E25CFB">
        <w:rPr>
          <w:rFonts w:ascii="Times New Roman" w:hAnsi="Times New Roman"/>
          <w:sz w:val="24"/>
          <w:szCs w:val="24"/>
        </w:rPr>
        <w:t>úhrad</w:t>
      </w:r>
      <w:r>
        <w:rPr>
          <w:rFonts w:ascii="Times New Roman" w:hAnsi="Times New Roman"/>
          <w:sz w:val="24"/>
          <w:szCs w:val="24"/>
        </w:rPr>
        <w:t>y</w:t>
      </w:r>
      <w:r w:rsidRPr="00E25CFB">
        <w:rPr>
          <w:rFonts w:ascii="Times New Roman" w:hAnsi="Times New Roman"/>
          <w:sz w:val="24"/>
          <w:szCs w:val="24"/>
        </w:rPr>
        <w:t xml:space="preserve"> </w:t>
      </w:r>
      <w:r>
        <w:rPr>
          <w:rFonts w:ascii="Times New Roman" w:hAnsi="Times New Roman"/>
          <w:sz w:val="24"/>
          <w:szCs w:val="24"/>
        </w:rPr>
        <w:t>súdnych poplatkov a správnych</w:t>
      </w:r>
      <w:r w:rsidRPr="00E25CFB">
        <w:rPr>
          <w:rFonts w:ascii="Times New Roman" w:hAnsi="Times New Roman"/>
          <w:sz w:val="24"/>
          <w:szCs w:val="24"/>
        </w:rPr>
        <w:t xml:space="preserve"> poplatkov prostredníctvom </w:t>
      </w:r>
      <w:r>
        <w:rPr>
          <w:rFonts w:ascii="Times New Roman" w:hAnsi="Times New Roman"/>
          <w:sz w:val="24"/>
          <w:szCs w:val="24"/>
        </w:rPr>
        <w:t xml:space="preserve">technického vybavenia </w:t>
      </w:r>
      <w:r w:rsidRPr="00E25CFB">
        <w:rPr>
          <w:rFonts w:ascii="Times New Roman" w:hAnsi="Times New Roman"/>
          <w:sz w:val="24"/>
          <w:szCs w:val="24"/>
        </w:rPr>
        <w:t xml:space="preserve">Štátnej pokladnice a realizovať služby výberu a evidencie </w:t>
      </w:r>
      <w:r>
        <w:rPr>
          <w:rFonts w:ascii="Times New Roman" w:hAnsi="Times New Roman"/>
          <w:sz w:val="24"/>
          <w:szCs w:val="24"/>
        </w:rPr>
        <w:t>súdnych poplatkov a správnych</w:t>
      </w:r>
      <w:r w:rsidRPr="00E25CFB">
        <w:rPr>
          <w:rFonts w:ascii="Times New Roman" w:hAnsi="Times New Roman"/>
          <w:sz w:val="24"/>
          <w:szCs w:val="24"/>
        </w:rPr>
        <w:t xml:space="preserve"> poplatkov priamo do Štátnej pokladnice.</w:t>
      </w:r>
      <w:r>
        <w:rPr>
          <w:rFonts w:ascii="Times New Roman" w:hAnsi="Times New Roman"/>
          <w:sz w:val="24"/>
          <w:szCs w:val="24"/>
        </w:rPr>
        <w:t xml:space="preserve"> Preto je potrebné definovať centrálny systém evidencie poplatkov Štátnej pokladnice a kompetenčne zveriť Štátnej pokladnici nové činnosti, ktoré súvisia s platením správnych poplatkov na správnych orgánoch, súdnych poplatkov na súdoch a orgánoch štátnej správy súdov a poplatku za výpis z registra trestov na orgánoch prokuratúry. </w:t>
      </w:r>
    </w:p>
    <w:p w14:paraId="62197EAD" w14:textId="77777777" w:rsidR="000A6C03" w:rsidRDefault="000A6C03" w:rsidP="000A6C03">
      <w:pPr>
        <w:spacing w:after="0" w:line="240" w:lineRule="auto"/>
        <w:jc w:val="both"/>
        <w:rPr>
          <w:rFonts w:ascii="Times New Roman" w:hAnsi="Times New Roman"/>
          <w:b/>
          <w:bCs/>
          <w:sz w:val="24"/>
          <w:szCs w:val="24"/>
        </w:rPr>
      </w:pPr>
    </w:p>
    <w:p w14:paraId="071DA2B8" w14:textId="77777777" w:rsidR="000A6C03" w:rsidRDefault="000A6C03" w:rsidP="000A6C03">
      <w:pPr>
        <w:spacing w:after="0" w:line="240" w:lineRule="auto"/>
        <w:jc w:val="both"/>
        <w:rPr>
          <w:rFonts w:ascii="Times New Roman" w:hAnsi="Times New Roman"/>
          <w:sz w:val="24"/>
          <w:szCs w:val="24"/>
        </w:rPr>
      </w:pPr>
      <w:r>
        <w:rPr>
          <w:rFonts w:ascii="Times New Roman" w:hAnsi="Times New Roman"/>
          <w:b/>
          <w:bCs/>
          <w:sz w:val="24"/>
          <w:szCs w:val="24"/>
        </w:rPr>
        <w:t xml:space="preserve">K Čl. V </w:t>
      </w:r>
      <w:r w:rsidRPr="001A2C88">
        <w:rPr>
          <w:rFonts w:ascii="Times New Roman" w:hAnsi="Times New Roman"/>
          <w:sz w:val="24"/>
          <w:szCs w:val="24"/>
        </w:rPr>
        <w:t>(zákon č.</w:t>
      </w:r>
      <w:r>
        <w:rPr>
          <w:rFonts w:ascii="Times New Roman" w:hAnsi="Times New Roman"/>
          <w:sz w:val="24"/>
          <w:szCs w:val="24"/>
        </w:rPr>
        <w:t xml:space="preserve"> 35/2019 Z. z. o finančnej správe)</w:t>
      </w:r>
    </w:p>
    <w:p w14:paraId="16F82797" w14:textId="77777777" w:rsidR="000A6C03" w:rsidRDefault="000A6C03" w:rsidP="000A6C03">
      <w:pPr>
        <w:spacing w:after="0" w:line="240" w:lineRule="auto"/>
        <w:jc w:val="both"/>
        <w:rPr>
          <w:rFonts w:ascii="Times New Roman" w:hAnsi="Times New Roman"/>
          <w:b/>
          <w:bCs/>
          <w:sz w:val="24"/>
          <w:szCs w:val="24"/>
        </w:rPr>
      </w:pPr>
    </w:p>
    <w:p w14:paraId="49138EEB" w14:textId="77777777" w:rsidR="000A6C03" w:rsidRPr="000662AB" w:rsidRDefault="000A6C03" w:rsidP="000A6C03">
      <w:pPr>
        <w:spacing w:after="0" w:line="240" w:lineRule="auto"/>
        <w:jc w:val="both"/>
        <w:rPr>
          <w:rFonts w:ascii="Times New Roman" w:hAnsi="Times New Roman"/>
          <w:sz w:val="24"/>
          <w:szCs w:val="24"/>
        </w:rPr>
      </w:pPr>
      <w:r>
        <w:rPr>
          <w:rFonts w:ascii="Times New Roman" w:hAnsi="Times New Roman"/>
          <w:sz w:val="24"/>
          <w:szCs w:val="24"/>
        </w:rPr>
        <w:t>V</w:t>
      </w:r>
      <w:r w:rsidRPr="000662AB">
        <w:rPr>
          <w:rFonts w:ascii="Times New Roman" w:hAnsi="Times New Roman"/>
          <w:sz w:val="24"/>
          <w:szCs w:val="24"/>
        </w:rPr>
        <w:t xml:space="preserve"> súvislosti s čl. </w:t>
      </w:r>
      <w:r>
        <w:rPr>
          <w:rFonts w:ascii="Times New Roman" w:hAnsi="Times New Roman"/>
          <w:sz w:val="24"/>
          <w:szCs w:val="24"/>
        </w:rPr>
        <w:t>I</w:t>
      </w:r>
      <w:r w:rsidRPr="000662AB">
        <w:rPr>
          <w:rFonts w:ascii="Times New Roman" w:hAnsi="Times New Roman"/>
          <w:sz w:val="24"/>
          <w:szCs w:val="24"/>
        </w:rPr>
        <w:t>II § 15</w:t>
      </w:r>
      <w:r>
        <w:rPr>
          <w:rFonts w:ascii="Times New Roman" w:hAnsi="Times New Roman"/>
          <w:sz w:val="24"/>
          <w:szCs w:val="24"/>
        </w:rPr>
        <w:t xml:space="preserve"> </w:t>
      </w:r>
      <w:r w:rsidRPr="000662AB">
        <w:rPr>
          <w:rFonts w:ascii="Times New Roman" w:hAnsi="Times New Roman"/>
          <w:sz w:val="24"/>
          <w:szCs w:val="24"/>
        </w:rPr>
        <w:t>sa upravuje</w:t>
      </w:r>
      <w:r>
        <w:rPr>
          <w:rFonts w:ascii="Times New Roman" w:hAnsi="Times New Roman"/>
          <w:sz w:val="24"/>
          <w:szCs w:val="24"/>
        </w:rPr>
        <w:t xml:space="preserve"> </w:t>
      </w:r>
      <w:r w:rsidRPr="000662AB">
        <w:rPr>
          <w:rFonts w:ascii="Times New Roman" w:hAnsi="Times New Roman"/>
          <w:sz w:val="24"/>
          <w:szCs w:val="24"/>
        </w:rPr>
        <w:t xml:space="preserve">§ 5, </w:t>
      </w:r>
      <w:r>
        <w:rPr>
          <w:rFonts w:ascii="Times New Roman" w:hAnsi="Times New Roman"/>
          <w:sz w:val="24"/>
          <w:szCs w:val="24"/>
        </w:rPr>
        <w:t>podľa ktorého sa</w:t>
      </w:r>
      <w:r w:rsidRPr="000662AB">
        <w:rPr>
          <w:rFonts w:ascii="Times New Roman" w:hAnsi="Times New Roman"/>
          <w:sz w:val="24"/>
          <w:szCs w:val="24"/>
        </w:rPr>
        <w:t xml:space="preserve"> kompetencia kontroly správnosti a úplnosti platenia správnych poplatkov na správnych orgánoch presúva z finančnej správy na Úrad vládneho auditu.</w:t>
      </w:r>
    </w:p>
    <w:p w14:paraId="0E5E96A8" w14:textId="77777777" w:rsidR="000A6C03" w:rsidRDefault="000A6C03" w:rsidP="000A6C03">
      <w:pPr>
        <w:spacing w:after="0" w:line="240" w:lineRule="auto"/>
        <w:jc w:val="both"/>
        <w:rPr>
          <w:rFonts w:ascii="Times New Roman" w:hAnsi="Times New Roman"/>
          <w:b/>
          <w:bCs/>
          <w:sz w:val="24"/>
          <w:szCs w:val="24"/>
        </w:rPr>
      </w:pPr>
    </w:p>
    <w:p w14:paraId="5DC650DE" w14:textId="77777777" w:rsidR="000A6C03" w:rsidRDefault="000A6C03" w:rsidP="000A6C03">
      <w:pPr>
        <w:spacing w:after="0" w:line="240" w:lineRule="auto"/>
        <w:jc w:val="both"/>
        <w:rPr>
          <w:rFonts w:ascii="Times New Roman" w:hAnsi="Times New Roman"/>
          <w:b/>
          <w:bCs/>
          <w:sz w:val="24"/>
          <w:szCs w:val="24"/>
        </w:rPr>
      </w:pPr>
      <w:r>
        <w:rPr>
          <w:rFonts w:ascii="Times New Roman" w:hAnsi="Times New Roman"/>
          <w:b/>
          <w:bCs/>
          <w:sz w:val="24"/>
          <w:szCs w:val="24"/>
        </w:rPr>
        <w:t>K Čl. VI</w:t>
      </w:r>
    </w:p>
    <w:p w14:paraId="1C194A70" w14:textId="77777777" w:rsidR="000A6C03" w:rsidRPr="001B180F" w:rsidRDefault="000A6C03" w:rsidP="000A6C03">
      <w:pPr>
        <w:spacing w:after="0" w:line="240" w:lineRule="auto"/>
        <w:jc w:val="both"/>
        <w:rPr>
          <w:rFonts w:ascii="Times New Roman" w:hAnsi="Times New Roman"/>
          <w:b/>
          <w:bCs/>
          <w:sz w:val="24"/>
          <w:szCs w:val="24"/>
        </w:rPr>
      </w:pPr>
    </w:p>
    <w:p w14:paraId="114972D9" w14:textId="77777777" w:rsidR="000A6C03" w:rsidRPr="00D95DE7" w:rsidRDefault="000A6C03" w:rsidP="000A6C03">
      <w:pPr>
        <w:spacing w:after="0" w:line="240" w:lineRule="auto"/>
        <w:jc w:val="both"/>
        <w:rPr>
          <w:rFonts w:ascii="Times New Roman" w:hAnsi="Times New Roman"/>
          <w:sz w:val="24"/>
          <w:szCs w:val="24"/>
        </w:rPr>
      </w:pPr>
      <w:r w:rsidRPr="00EA778C">
        <w:rPr>
          <w:rFonts w:ascii="Times New Roman" w:hAnsi="Times New Roman"/>
          <w:sz w:val="24"/>
          <w:szCs w:val="24"/>
        </w:rPr>
        <w:t xml:space="preserve">Navrhovaná zmena nadobúda účinnosť </w:t>
      </w:r>
      <w:r>
        <w:rPr>
          <w:rFonts w:ascii="Times New Roman" w:hAnsi="Times New Roman"/>
          <w:sz w:val="24"/>
          <w:szCs w:val="24"/>
        </w:rPr>
        <w:t>dňom 1. decembra 2025.</w:t>
      </w:r>
    </w:p>
    <w:p w14:paraId="49E07340" w14:textId="77777777" w:rsidR="000A6C03" w:rsidRDefault="000A6C03" w:rsidP="000A3AFC">
      <w:pPr>
        <w:pStyle w:val="Normlnywebov"/>
        <w:spacing w:before="0" w:beforeAutospacing="0" w:after="0" w:afterAutospacing="0"/>
        <w:jc w:val="both"/>
      </w:pPr>
    </w:p>
    <w:p w14:paraId="0CA9779D" w14:textId="77777777" w:rsidR="005A2728" w:rsidRDefault="005A2728" w:rsidP="000A3AFC">
      <w:pPr>
        <w:pStyle w:val="Normlnywebov"/>
        <w:spacing w:before="0" w:beforeAutospacing="0" w:after="0" w:afterAutospacing="0"/>
        <w:jc w:val="both"/>
      </w:pPr>
    </w:p>
    <w:p w14:paraId="2C877E8D" w14:textId="2386FD20" w:rsidR="005A2728" w:rsidRDefault="005A2728" w:rsidP="000A3AFC">
      <w:pPr>
        <w:pStyle w:val="Normlnywebov"/>
        <w:spacing w:before="0" w:beforeAutospacing="0" w:after="0" w:afterAutospacing="0"/>
        <w:jc w:val="both"/>
      </w:pPr>
      <w:r>
        <w:t>V Bratislave dňa 20. augusta 2025</w:t>
      </w:r>
    </w:p>
    <w:p w14:paraId="4F6652E5" w14:textId="77777777" w:rsidR="005A2728" w:rsidRDefault="005A2728" w:rsidP="000A3AFC">
      <w:pPr>
        <w:pStyle w:val="Normlnywebov"/>
        <w:spacing w:before="0" w:beforeAutospacing="0" w:after="0" w:afterAutospacing="0"/>
        <w:jc w:val="both"/>
      </w:pPr>
    </w:p>
    <w:p w14:paraId="782C3469" w14:textId="77777777" w:rsidR="007C72FC" w:rsidRDefault="007C72FC" w:rsidP="000A3AFC">
      <w:pPr>
        <w:pStyle w:val="Normlnywebov"/>
        <w:spacing w:before="0" w:beforeAutospacing="0" w:after="0" w:afterAutospacing="0"/>
        <w:jc w:val="both"/>
      </w:pPr>
    </w:p>
    <w:p w14:paraId="526D7E8B" w14:textId="77777777" w:rsidR="005A2728" w:rsidRDefault="005A2728" w:rsidP="000A3AFC">
      <w:pPr>
        <w:pStyle w:val="Normlnywebov"/>
        <w:spacing w:before="0" w:beforeAutospacing="0" w:after="0" w:afterAutospacing="0"/>
        <w:jc w:val="both"/>
      </w:pPr>
    </w:p>
    <w:p w14:paraId="31081AA8" w14:textId="53D76884" w:rsidR="005A2728" w:rsidRDefault="005A2728" w:rsidP="005A2728">
      <w:pPr>
        <w:pStyle w:val="Normlnywebov"/>
        <w:spacing w:before="0" w:beforeAutospacing="0" w:after="0" w:afterAutospacing="0"/>
        <w:jc w:val="center"/>
      </w:pPr>
      <w:r>
        <w:t>Robert  F i c o</w:t>
      </w:r>
      <w:r w:rsidR="00006C35">
        <w:t>  v. r.</w:t>
      </w:r>
    </w:p>
    <w:p w14:paraId="7AF64117" w14:textId="775C7DE5" w:rsidR="005A2728" w:rsidRDefault="005A2728" w:rsidP="005A2728">
      <w:pPr>
        <w:pStyle w:val="Normlnywebov"/>
        <w:spacing w:before="0" w:beforeAutospacing="0" w:after="0" w:afterAutospacing="0"/>
        <w:jc w:val="center"/>
      </w:pPr>
      <w:r>
        <w:t>predseda vlády Slovenskej republiky</w:t>
      </w:r>
    </w:p>
    <w:p w14:paraId="05953F83" w14:textId="77777777" w:rsidR="005A2728" w:rsidRDefault="005A2728" w:rsidP="005A2728">
      <w:pPr>
        <w:pStyle w:val="Normlnywebov"/>
        <w:spacing w:before="0" w:beforeAutospacing="0" w:after="0" w:afterAutospacing="0"/>
        <w:jc w:val="center"/>
      </w:pPr>
    </w:p>
    <w:p w14:paraId="57CCB6F0" w14:textId="77777777" w:rsidR="005A2728" w:rsidRDefault="005A2728" w:rsidP="005A2728">
      <w:pPr>
        <w:pStyle w:val="Normlnywebov"/>
        <w:spacing w:before="0" w:beforeAutospacing="0" w:after="0" w:afterAutospacing="0"/>
        <w:jc w:val="center"/>
      </w:pPr>
    </w:p>
    <w:p w14:paraId="7BBAC55D" w14:textId="77777777" w:rsidR="007C72FC" w:rsidRDefault="007C72FC" w:rsidP="005A2728">
      <w:pPr>
        <w:pStyle w:val="Normlnywebov"/>
        <w:spacing w:before="0" w:beforeAutospacing="0" w:after="0" w:afterAutospacing="0"/>
        <w:jc w:val="center"/>
      </w:pPr>
    </w:p>
    <w:p w14:paraId="18B77C65" w14:textId="74707149" w:rsidR="005A2728" w:rsidRDefault="005A2728" w:rsidP="005A2728">
      <w:pPr>
        <w:pStyle w:val="Normlnywebov"/>
        <w:spacing w:before="0" w:beforeAutospacing="0" w:after="0" w:afterAutospacing="0"/>
        <w:jc w:val="center"/>
      </w:pPr>
      <w:r>
        <w:t>Ladislav  K a m e n i c k</w:t>
      </w:r>
      <w:r w:rsidR="00006C35">
        <w:t> </w:t>
      </w:r>
      <w:r>
        <w:t>ý</w:t>
      </w:r>
      <w:r w:rsidR="00006C35">
        <w:t xml:space="preserve">  v. r.</w:t>
      </w:r>
      <w:r>
        <w:t xml:space="preserve"> </w:t>
      </w:r>
    </w:p>
    <w:p w14:paraId="48E75057" w14:textId="6F4E6B20" w:rsidR="005A2728" w:rsidRPr="005B02C6" w:rsidRDefault="005A2728" w:rsidP="005A2728">
      <w:pPr>
        <w:pStyle w:val="Normlnywebov"/>
        <w:spacing w:before="0" w:beforeAutospacing="0" w:after="0" w:afterAutospacing="0"/>
        <w:jc w:val="center"/>
      </w:pPr>
      <w:r>
        <w:t>minister financií Slovenskej republiky</w:t>
      </w:r>
    </w:p>
    <w:sectPr w:rsidR="005A2728" w:rsidRPr="005B02C6" w:rsidSect="001945CF">
      <w:footerReference w:type="default" r:id="rId19"/>
      <w:pgSz w:w="11905" w:h="16837" w:code="9"/>
      <w:pgMar w:top="1135"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943B8" w14:textId="77777777" w:rsidR="00C828E5" w:rsidRDefault="00C828E5">
      <w:pPr>
        <w:spacing w:after="0" w:line="240" w:lineRule="auto"/>
      </w:pPr>
      <w:r>
        <w:separator/>
      </w:r>
    </w:p>
  </w:endnote>
  <w:endnote w:type="continuationSeparator" w:id="0">
    <w:p w14:paraId="6A6C787D" w14:textId="77777777" w:rsidR="00C828E5" w:rsidRDefault="00C82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altName w:val="Arial"/>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CA2BF" w14:textId="77777777" w:rsidR="00BD372F" w:rsidRDefault="00BD372F">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1FAC62D0" w14:textId="77777777" w:rsidR="00BD372F" w:rsidRDefault="00BD372F">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FC0AC" w14:textId="41AAE003" w:rsidR="00BD372F" w:rsidRDefault="00BD372F">
    <w:pPr>
      <w:pStyle w:val="Pta"/>
      <w:jc w:val="right"/>
    </w:pPr>
  </w:p>
  <w:p w14:paraId="145F55E9" w14:textId="77777777" w:rsidR="00BD372F" w:rsidRDefault="00BD372F">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E672C" w14:textId="77777777" w:rsidR="00BD372F" w:rsidRDefault="00BD372F">
    <w:pPr>
      <w:pStyle w:val="Pta"/>
      <w:jc w:val="right"/>
    </w:pPr>
    <w:r>
      <w:fldChar w:fldCharType="begin"/>
    </w:r>
    <w:r>
      <w:instrText>PAGE   \* MERGEFORMAT</w:instrText>
    </w:r>
    <w:r>
      <w:fldChar w:fldCharType="separate"/>
    </w:r>
    <w:r>
      <w:rPr>
        <w:noProof/>
      </w:rPr>
      <w:t>0</w:t>
    </w:r>
    <w:r>
      <w:fldChar w:fldCharType="end"/>
    </w:r>
  </w:p>
  <w:p w14:paraId="0048C1DA" w14:textId="77777777" w:rsidR="00BD372F" w:rsidRDefault="00BD372F">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E4A43" w14:textId="5DDA016D" w:rsidR="00560CF0" w:rsidRDefault="00560CF0">
    <w:pPr>
      <w:pStyle w:val="Pta"/>
      <w:jc w:val="center"/>
    </w:pPr>
  </w:p>
  <w:p w14:paraId="54A3C9ED" w14:textId="77777777" w:rsidR="00560CF0" w:rsidRDefault="00560CF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E0D34" w14:textId="77777777" w:rsidR="00C828E5" w:rsidRDefault="00C828E5">
      <w:pPr>
        <w:spacing w:after="0" w:line="240" w:lineRule="auto"/>
      </w:pPr>
      <w:r>
        <w:separator/>
      </w:r>
    </w:p>
  </w:footnote>
  <w:footnote w:type="continuationSeparator" w:id="0">
    <w:p w14:paraId="32C60C52" w14:textId="77777777" w:rsidR="00C828E5" w:rsidRDefault="00C82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6E8A9" w14:textId="77777777" w:rsidR="00BD372F" w:rsidRDefault="00BD372F" w:rsidP="002B63FD">
    <w:pPr>
      <w:pStyle w:val="Hlavika"/>
      <w:jc w:val="right"/>
      <w:rPr>
        <w:sz w:val="24"/>
        <w:szCs w:val="24"/>
      </w:rPr>
    </w:pPr>
    <w:r>
      <w:rPr>
        <w:sz w:val="24"/>
        <w:szCs w:val="24"/>
      </w:rPr>
      <w:t>Príloha č. 2</w:t>
    </w:r>
  </w:p>
  <w:p w14:paraId="02484954" w14:textId="77777777" w:rsidR="00BD372F" w:rsidRPr="00EB59C8" w:rsidRDefault="00BD372F" w:rsidP="002B63FD">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B810E" w14:textId="77777777" w:rsidR="00BD372F" w:rsidRPr="0024067A" w:rsidRDefault="00BD372F">
    <w:pPr>
      <w:pStyle w:val="Hlavika"/>
      <w:jc w:val="right"/>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5F63D" w14:textId="77777777" w:rsidR="00BD372F" w:rsidRPr="000A15AE" w:rsidRDefault="00BD372F" w:rsidP="002B63FD">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28C3"/>
    <w:multiLevelType w:val="hybridMultilevel"/>
    <w:tmpl w:val="FFFFFFFF"/>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A716B1"/>
    <w:multiLevelType w:val="hybridMultilevel"/>
    <w:tmpl w:val="FFFFFFFF"/>
    <w:lvl w:ilvl="0" w:tplc="3D705E68">
      <w:start w:val="2"/>
      <w:numFmt w:val="bullet"/>
      <w:lvlText w:val="-"/>
      <w:lvlJc w:val="left"/>
      <w:pPr>
        <w:ind w:left="786" w:hanging="360"/>
      </w:pPr>
      <w:rPr>
        <w:rFonts w:ascii="Times New Roman" w:eastAsia="Times New Roman" w:hAnsi="Times New Roman" w:hint="default"/>
      </w:rPr>
    </w:lvl>
    <w:lvl w:ilvl="1" w:tplc="041B0003" w:tentative="1">
      <w:start w:val="1"/>
      <w:numFmt w:val="bullet"/>
      <w:lvlText w:val="o"/>
      <w:lvlJc w:val="left"/>
      <w:pPr>
        <w:ind w:left="1506" w:hanging="360"/>
      </w:pPr>
      <w:rPr>
        <w:rFonts w:ascii="Courier New" w:hAnsi="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 w15:restartNumberingAfterBreak="0">
    <w:nsid w:val="2B0104F6"/>
    <w:multiLevelType w:val="hybridMultilevel"/>
    <w:tmpl w:val="2BEC73F8"/>
    <w:lvl w:ilvl="0" w:tplc="42DA0FEC">
      <w:start w:val="7"/>
      <w:numFmt w:val="bullet"/>
      <w:lvlText w:val="-"/>
      <w:lvlJc w:val="left"/>
      <w:pPr>
        <w:ind w:left="720" w:hanging="360"/>
      </w:pPr>
      <w:rPr>
        <w:rFonts w:ascii="Times New Roman" w:eastAsia="Times New Roman" w:hAnsi="Times New Roman" w:cs="Times New Roman"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98015F"/>
    <w:multiLevelType w:val="hybridMultilevel"/>
    <w:tmpl w:val="18944192"/>
    <w:lvl w:ilvl="0" w:tplc="4F749A9E">
      <w:start w:val="1"/>
      <w:numFmt w:val="upp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7" w15:restartNumberingAfterBreak="0">
    <w:nsid w:val="484D6809"/>
    <w:multiLevelType w:val="hybridMultilevel"/>
    <w:tmpl w:val="90CC5260"/>
    <w:lvl w:ilvl="0" w:tplc="8E56E1C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E067BF5"/>
    <w:multiLevelType w:val="hybridMultilevel"/>
    <w:tmpl w:val="FFFFFFFF"/>
    <w:lvl w:ilvl="0" w:tplc="041B0001">
      <w:start w:val="1"/>
      <w:numFmt w:val="bullet"/>
      <w:lvlText w:val=""/>
      <w:lvlJc w:val="left"/>
      <w:pPr>
        <w:ind w:left="1117" w:hanging="360"/>
      </w:pPr>
      <w:rPr>
        <w:rFonts w:ascii="Symbol" w:hAnsi="Symbol" w:hint="default"/>
      </w:rPr>
    </w:lvl>
    <w:lvl w:ilvl="1" w:tplc="041B0003" w:tentative="1">
      <w:start w:val="1"/>
      <w:numFmt w:val="bullet"/>
      <w:lvlText w:val="o"/>
      <w:lvlJc w:val="left"/>
      <w:pPr>
        <w:ind w:left="1837" w:hanging="360"/>
      </w:pPr>
      <w:rPr>
        <w:rFonts w:ascii="Courier New" w:hAnsi="Courier New" w:hint="default"/>
      </w:rPr>
    </w:lvl>
    <w:lvl w:ilvl="2" w:tplc="041B0005" w:tentative="1">
      <w:start w:val="1"/>
      <w:numFmt w:val="bullet"/>
      <w:lvlText w:val=""/>
      <w:lvlJc w:val="left"/>
      <w:pPr>
        <w:ind w:left="2557" w:hanging="360"/>
      </w:pPr>
      <w:rPr>
        <w:rFonts w:ascii="Wingdings" w:hAnsi="Wingdings" w:hint="default"/>
      </w:rPr>
    </w:lvl>
    <w:lvl w:ilvl="3" w:tplc="041B0001">
      <w:start w:val="1"/>
      <w:numFmt w:val="bullet"/>
      <w:lvlText w:val=""/>
      <w:lvlJc w:val="left"/>
      <w:pPr>
        <w:ind w:left="3277" w:hanging="360"/>
      </w:pPr>
      <w:rPr>
        <w:rFonts w:ascii="Symbol" w:hAnsi="Symbol" w:hint="default"/>
      </w:rPr>
    </w:lvl>
    <w:lvl w:ilvl="4" w:tplc="041B0003" w:tentative="1">
      <w:start w:val="1"/>
      <w:numFmt w:val="bullet"/>
      <w:lvlText w:val="o"/>
      <w:lvlJc w:val="left"/>
      <w:pPr>
        <w:ind w:left="3997" w:hanging="360"/>
      </w:pPr>
      <w:rPr>
        <w:rFonts w:ascii="Courier New" w:hAnsi="Courier New" w:hint="default"/>
      </w:rPr>
    </w:lvl>
    <w:lvl w:ilvl="5" w:tplc="041B0005" w:tentative="1">
      <w:start w:val="1"/>
      <w:numFmt w:val="bullet"/>
      <w:lvlText w:val=""/>
      <w:lvlJc w:val="left"/>
      <w:pPr>
        <w:ind w:left="4717" w:hanging="360"/>
      </w:pPr>
      <w:rPr>
        <w:rFonts w:ascii="Wingdings" w:hAnsi="Wingdings" w:hint="default"/>
      </w:rPr>
    </w:lvl>
    <w:lvl w:ilvl="6" w:tplc="041B0001" w:tentative="1">
      <w:start w:val="1"/>
      <w:numFmt w:val="bullet"/>
      <w:lvlText w:val=""/>
      <w:lvlJc w:val="left"/>
      <w:pPr>
        <w:ind w:left="5437" w:hanging="360"/>
      </w:pPr>
      <w:rPr>
        <w:rFonts w:ascii="Symbol" w:hAnsi="Symbol" w:hint="default"/>
      </w:rPr>
    </w:lvl>
    <w:lvl w:ilvl="7" w:tplc="041B0003" w:tentative="1">
      <w:start w:val="1"/>
      <w:numFmt w:val="bullet"/>
      <w:lvlText w:val="o"/>
      <w:lvlJc w:val="left"/>
      <w:pPr>
        <w:ind w:left="6157" w:hanging="360"/>
      </w:pPr>
      <w:rPr>
        <w:rFonts w:ascii="Courier New" w:hAnsi="Courier New" w:hint="default"/>
      </w:rPr>
    </w:lvl>
    <w:lvl w:ilvl="8" w:tplc="041B0005" w:tentative="1">
      <w:start w:val="1"/>
      <w:numFmt w:val="bullet"/>
      <w:lvlText w:val=""/>
      <w:lvlJc w:val="left"/>
      <w:pPr>
        <w:ind w:left="6877" w:hanging="360"/>
      </w:pPr>
      <w:rPr>
        <w:rFonts w:ascii="Wingdings" w:hAnsi="Wingdings" w:hint="default"/>
      </w:rPr>
    </w:lvl>
  </w:abstractNum>
  <w:abstractNum w:abstractNumId="9" w15:restartNumberingAfterBreak="0">
    <w:nsid w:val="512B1ADD"/>
    <w:multiLevelType w:val="hybridMultilevel"/>
    <w:tmpl w:val="7BB43DF2"/>
    <w:lvl w:ilvl="0" w:tplc="2CE0F08A">
      <w:numFmt w:val="bullet"/>
      <w:lvlText w:val="-"/>
      <w:lvlJc w:val="left"/>
      <w:pPr>
        <w:ind w:left="1068" w:hanging="360"/>
      </w:pPr>
      <w:rPr>
        <w:rFonts w:ascii="Arial Narrow" w:eastAsia="Times New Roman" w:hAnsi="Arial Narrow" w:hint="default"/>
      </w:rPr>
    </w:lvl>
    <w:lvl w:ilvl="1" w:tplc="041B0003">
      <w:start w:val="1"/>
      <w:numFmt w:val="bullet"/>
      <w:lvlText w:val="o"/>
      <w:lvlJc w:val="left"/>
      <w:pPr>
        <w:ind w:left="1788" w:hanging="360"/>
      </w:pPr>
      <w:rPr>
        <w:rFonts w:ascii="Courier New" w:hAnsi="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hint="default"/>
      </w:rPr>
    </w:lvl>
    <w:lvl w:ilvl="8" w:tplc="041B0005">
      <w:start w:val="1"/>
      <w:numFmt w:val="bullet"/>
      <w:lvlText w:val=""/>
      <w:lvlJc w:val="left"/>
      <w:pPr>
        <w:ind w:left="6828" w:hanging="360"/>
      </w:pPr>
      <w:rPr>
        <w:rFonts w:ascii="Wingdings" w:hAnsi="Wingdings" w:hint="default"/>
      </w:rPr>
    </w:lvl>
  </w:abstractNum>
  <w:abstractNum w:abstractNumId="10" w15:restartNumberingAfterBreak="0">
    <w:nsid w:val="57B27F5D"/>
    <w:multiLevelType w:val="hybridMultilevel"/>
    <w:tmpl w:val="FFFFFFFF"/>
    <w:lvl w:ilvl="0" w:tplc="E3A0330C">
      <w:start w:val="3"/>
      <w:numFmt w:val="lowerLetter"/>
      <w:lvlText w:val="%1)"/>
      <w:lvlJc w:val="left"/>
      <w:pPr>
        <w:tabs>
          <w:tab w:val="num" w:pos="757"/>
        </w:tabs>
        <w:ind w:left="757" w:hanging="360"/>
      </w:pPr>
      <w:rPr>
        <w:rFonts w:cs="Times New Roman" w:hint="default"/>
      </w:rPr>
    </w:lvl>
    <w:lvl w:ilvl="1" w:tplc="857C8F5C">
      <w:numFmt w:val="bullet"/>
      <w:lvlText w:val="-"/>
      <w:lvlJc w:val="left"/>
      <w:pPr>
        <w:ind w:left="1440" w:hanging="360"/>
      </w:pPr>
      <w:rPr>
        <w:rFonts w:ascii="Times New Roman" w:eastAsia="Times New Roman" w:hAnsi="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5C3C392B"/>
    <w:multiLevelType w:val="hybridMultilevel"/>
    <w:tmpl w:val="EC4A6A78"/>
    <w:lvl w:ilvl="0" w:tplc="CF94DE54">
      <w:start w:val="1"/>
      <w:numFmt w:val="bullet"/>
      <w:lvlText w:val="-"/>
      <w:lvlJc w:val="left"/>
      <w:pPr>
        <w:ind w:left="1428" w:hanging="360"/>
      </w:pPr>
      <w:rPr>
        <w:rFonts w:ascii="Times New Roman" w:eastAsia="Times New Roman" w:hAnsi="Times New Roman" w:hint="default"/>
      </w:rPr>
    </w:lvl>
    <w:lvl w:ilvl="1" w:tplc="041B0003" w:tentative="1">
      <w:start w:val="1"/>
      <w:numFmt w:val="bullet"/>
      <w:lvlText w:val="o"/>
      <w:lvlJc w:val="left"/>
      <w:pPr>
        <w:ind w:left="2148" w:hanging="360"/>
      </w:pPr>
      <w:rPr>
        <w:rFonts w:ascii="Courier New" w:hAnsi="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2" w15:restartNumberingAfterBreak="0">
    <w:nsid w:val="5C9B77D4"/>
    <w:multiLevelType w:val="multilevel"/>
    <w:tmpl w:val="FFFFFFFF"/>
    <w:lvl w:ilvl="0">
      <w:start w:val="4"/>
      <w:numFmt w:val="decimal"/>
      <w:lvlText w:val="%1."/>
      <w:lvlJc w:val="left"/>
      <w:pPr>
        <w:tabs>
          <w:tab w:val="num" w:pos="0"/>
        </w:tabs>
        <w:ind w:left="425" w:hanging="425"/>
      </w:pPr>
      <w:rPr>
        <w:rFonts w:cs="Times New Roman" w:hint="default"/>
        <w:b/>
        <w:bCs/>
      </w:rPr>
    </w:lvl>
    <w:lvl w:ilvl="1">
      <w:start w:val="1"/>
      <w:numFmt w:val="lowerLetter"/>
      <w:lvlText w:val="%2)"/>
      <w:lvlJc w:val="left"/>
      <w:pPr>
        <w:tabs>
          <w:tab w:val="num" w:pos="397"/>
        </w:tabs>
        <w:ind w:left="850" w:hanging="425"/>
      </w:pPr>
      <w:rPr>
        <w:rFonts w:cs="Times New Roman" w:hint="default"/>
      </w:rPr>
    </w:lvl>
    <w:lvl w:ilvl="2">
      <w:start w:val="1"/>
      <w:numFmt w:val="decimal"/>
      <w:lvlText w:val="%3.)"/>
      <w:lvlJc w:val="left"/>
      <w:pPr>
        <w:tabs>
          <w:tab w:val="num" w:pos="0"/>
        </w:tabs>
        <w:ind w:left="1275" w:hanging="425"/>
      </w:pPr>
      <w:rPr>
        <w:rFonts w:cs="Times New Roman" w:hint="default"/>
      </w:rPr>
    </w:lvl>
    <w:lvl w:ilvl="3">
      <w:start w:val="1"/>
      <w:numFmt w:val="lowerLetter"/>
      <w:lvlText w:val="%4)"/>
      <w:lvlJc w:val="left"/>
      <w:pPr>
        <w:tabs>
          <w:tab w:val="num" w:pos="0"/>
        </w:tabs>
        <w:ind w:left="1983" w:hanging="708"/>
      </w:pPr>
      <w:rPr>
        <w:rFonts w:cs="Times New Roman" w:hint="default"/>
      </w:rPr>
    </w:lvl>
    <w:lvl w:ilvl="4">
      <w:start w:val="1"/>
      <w:numFmt w:val="decimal"/>
      <w:lvlText w:val="(%5)"/>
      <w:lvlJc w:val="left"/>
      <w:pPr>
        <w:tabs>
          <w:tab w:val="num" w:pos="0"/>
        </w:tabs>
        <w:ind w:left="2691" w:hanging="708"/>
      </w:pPr>
      <w:rPr>
        <w:rFonts w:cs="Times New Roman" w:hint="default"/>
      </w:rPr>
    </w:lvl>
    <w:lvl w:ilvl="5">
      <w:start w:val="1"/>
      <w:numFmt w:val="lowerLetter"/>
      <w:lvlText w:val="(%6)"/>
      <w:lvlJc w:val="left"/>
      <w:pPr>
        <w:tabs>
          <w:tab w:val="num" w:pos="0"/>
        </w:tabs>
        <w:ind w:left="3399" w:hanging="708"/>
      </w:pPr>
      <w:rPr>
        <w:rFonts w:cs="Times New Roman" w:hint="default"/>
      </w:rPr>
    </w:lvl>
    <w:lvl w:ilvl="6">
      <w:start w:val="1"/>
      <w:numFmt w:val="lowerRoman"/>
      <w:lvlText w:val="(%7)"/>
      <w:lvlJc w:val="left"/>
      <w:pPr>
        <w:tabs>
          <w:tab w:val="num" w:pos="0"/>
        </w:tabs>
        <w:ind w:left="4107" w:hanging="708"/>
      </w:pPr>
      <w:rPr>
        <w:rFonts w:cs="Times New Roman" w:hint="default"/>
      </w:rPr>
    </w:lvl>
    <w:lvl w:ilvl="7">
      <w:start w:val="1"/>
      <w:numFmt w:val="lowerLetter"/>
      <w:lvlText w:val="(%8)"/>
      <w:lvlJc w:val="left"/>
      <w:pPr>
        <w:tabs>
          <w:tab w:val="num" w:pos="0"/>
        </w:tabs>
        <w:ind w:left="4815" w:hanging="708"/>
      </w:pPr>
      <w:rPr>
        <w:rFonts w:cs="Times New Roman" w:hint="default"/>
      </w:rPr>
    </w:lvl>
    <w:lvl w:ilvl="8">
      <w:start w:val="1"/>
      <w:numFmt w:val="lowerRoman"/>
      <w:lvlText w:val="(%9)"/>
      <w:lvlJc w:val="left"/>
      <w:pPr>
        <w:tabs>
          <w:tab w:val="num" w:pos="0"/>
        </w:tabs>
        <w:ind w:left="5523" w:hanging="708"/>
      </w:pPr>
      <w:rPr>
        <w:rFonts w:cs="Times New Roman" w:hint="default"/>
      </w:rPr>
    </w:lvl>
  </w:abstractNum>
  <w:abstractNum w:abstractNumId="13" w15:restartNumberingAfterBreak="0">
    <w:nsid w:val="621D4D90"/>
    <w:multiLevelType w:val="hybridMultilevel"/>
    <w:tmpl w:val="B936F8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6B625AE5"/>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15"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16cid:durableId="100805571">
    <w:abstractNumId w:val="11"/>
  </w:num>
  <w:num w:numId="2" w16cid:durableId="1284772928">
    <w:abstractNumId w:val="9"/>
  </w:num>
  <w:num w:numId="3" w16cid:durableId="1347754156">
    <w:abstractNumId w:val="6"/>
  </w:num>
  <w:num w:numId="4" w16cid:durableId="1651446138">
    <w:abstractNumId w:val="4"/>
  </w:num>
  <w:num w:numId="5" w16cid:durableId="1125999171">
    <w:abstractNumId w:val="13"/>
  </w:num>
  <w:num w:numId="6" w16cid:durableId="483282982">
    <w:abstractNumId w:val="15"/>
  </w:num>
  <w:num w:numId="7" w16cid:durableId="1769621255">
    <w:abstractNumId w:val="2"/>
  </w:num>
  <w:num w:numId="8" w16cid:durableId="801114028">
    <w:abstractNumId w:val="5"/>
  </w:num>
  <w:num w:numId="9" w16cid:durableId="237372977">
    <w:abstractNumId w:val="1"/>
  </w:num>
  <w:num w:numId="10" w16cid:durableId="1153449813">
    <w:abstractNumId w:val="7"/>
  </w:num>
  <w:num w:numId="11" w16cid:durableId="579294594">
    <w:abstractNumId w:val="3"/>
  </w:num>
  <w:num w:numId="12" w16cid:durableId="1815488420">
    <w:abstractNumId w:val="14"/>
    <w:lvlOverride w:ilvl="0">
      <w:startOverride w:val="1"/>
    </w:lvlOverride>
  </w:num>
  <w:num w:numId="13" w16cid:durableId="1921597602">
    <w:abstractNumId w:val="8"/>
  </w:num>
  <w:num w:numId="14" w16cid:durableId="1428234527">
    <w:abstractNumId w:val="10"/>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60458956">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112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902"/>
    <w:rsid w:val="0000026B"/>
    <w:rsid w:val="00006C35"/>
    <w:rsid w:val="00012C3A"/>
    <w:rsid w:val="0004068F"/>
    <w:rsid w:val="000442F9"/>
    <w:rsid w:val="00060AAD"/>
    <w:rsid w:val="000761C2"/>
    <w:rsid w:val="00083505"/>
    <w:rsid w:val="000A158F"/>
    <w:rsid w:val="000A3AFC"/>
    <w:rsid w:val="000A6C03"/>
    <w:rsid w:val="000D60A1"/>
    <w:rsid w:val="000D68A0"/>
    <w:rsid w:val="001165E2"/>
    <w:rsid w:val="001508ED"/>
    <w:rsid w:val="00152C73"/>
    <w:rsid w:val="00167CF2"/>
    <w:rsid w:val="00174037"/>
    <w:rsid w:val="00183985"/>
    <w:rsid w:val="0019019A"/>
    <w:rsid w:val="001945CF"/>
    <w:rsid w:val="001A1561"/>
    <w:rsid w:val="001A39DF"/>
    <w:rsid w:val="001D1095"/>
    <w:rsid w:val="001E407B"/>
    <w:rsid w:val="00205114"/>
    <w:rsid w:val="00262922"/>
    <w:rsid w:val="00271D59"/>
    <w:rsid w:val="00271E1F"/>
    <w:rsid w:val="002A77E2"/>
    <w:rsid w:val="002D5DAB"/>
    <w:rsid w:val="002E2DDD"/>
    <w:rsid w:val="002E7C4A"/>
    <w:rsid w:val="003064B3"/>
    <w:rsid w:val="00321EFE"/>
    <w:rsid w:val="00347F63"/>
    <w:rsid w:val="00360A40"/>
    <w:rsid w:val="003712BB"/>
    <w:rsid w:val="00381EC9"/>
    <w:rsid w:val="00383C27"/>
    <w:rsid w:val="00387997"/>
    <w:rsid w:val="003919B5"/>
    <w:rsid w:val="003C15C5"/>
    <w:rsid w:val="003C517A"/>
    <w:rsid w:val="003F34EC"/>
    <w:rsid w:val="00404D13"/>
    <w:rsid w:val="00406566"/>
    <w:rsid w:val="00412B05"/>
    <w:rsid w:val="004261E2"/>
    <w:rsid w:val="004441BF"/>
    <w:rsid w:val="0045321D"/>
    <w:rsid w:val="0045553A"/>
    <w:rsid w:val="004B1457"/>
    <w:rsid w:val="004B6853"/>
    <w:rsid w:val="004C3AB9"/>
    <w:rsid w:val="004C6A3D"/>
    <w:rsid w:val="00502F3A"/>
    <w:rsid w:val="005324A8"/>
    <w:rsid w:val="00560CF0"/>
    <w:rsid w:val="0057589A"/>
    <w:rsid w:val="00582757"/>
    <w:rsid w:val="00585482"/>
    <w:rsid w:val="005A001D"/>
    <w:rsid w:val="005A2728"/>
    <w:rsid w:val="005A5F05"/>
    <w:rsid w:val="005B02C6"/>
    <w:rsid w:val="005D43AC"/>
    <w:rsid w:val="005E4160"/>
    <w:rsid w:val="005E656E"/>
    <w:rsid w:val="00603800"/>
    <w:rsid w:val="00614F58"/>
    <w:rsid w:val="00624A26"/>
    <w:rsid w:val="006371B8"/>
    <w:rsid w:val="00681B35"/>
    <w:rsid w:val="00682A9F"/>
    <w:rsid w:val="006A4804"/>
    <w:rsid w:val="006C29B5"/>
    <w:rsid w:val="006C3A9A"/>
    <w:rsid w:val="006C5410"/>
    <w:rsid w:val="006D5C60"/>
    <w:rsid w:val="007130D6"/>
    <w:rsid w:val="0072039F"/>
    <w:rsid w:val="007256D5"/>
    <w:rsid w:val="0073156B"/>
    <w:rsid w:val="00732700"/>
    <w:rsid w:val="00736022"/>
    <w:rsid w:val="007458A0"/>
    <w:rsid w:val="00747B34"/>
    <w:rsid w:val="00783308"/>
    <w:rsid w:val="00786338"/>
    <w:rsid w:val="007945DE"/>
    <w:rsid w:val="007954F3"/>
    <w:rsid w:val="007A15D1"/>
    <w:rsid w:val="007B22B4"/>
    <w:rsid w:val="007B3B07"/>
    <w:rsid w:val="007C5875"/>
    <w:rsid w:val="007C72FC"/>
    <w:rsid w:val="0082033F"/>
    <w:rsid w:val="00883DDE"/>
    <w:rsid w:val="0088736A"/>
    <w:rsid w:val="008A26E3"/>
    <w:rsid w:val="008D0F52"/>
    <w:rsid w:val="0093295E"/>
    <w:rsid w:val="009637E0"/>
    <w:rsid w:val="00965FD5"/>
    <w:rsid w:val="0098524E"/>
    <w:rsid w:val="009B2087"/>
    <w:rsid w:val="009C53E6"/>
    <w:rsid w:val="009C721A"/>
    <w:rsid w:val="009D6094"/>
    <w:rsid w:val="00A13246"/>
    <w:rsid w:val="00A13961"/>
    <w:rsid w:val="00A15608"/>
    <w:rsid w:val="00A2784F"/>
    <w:rsid w:val="00A332B8"/>
    <w:rsid w:val="00A50416"/>
    <w:rsid w:val="00A73C4C"/>
    <w:rsid w:val="00A81766"/>
    <w:rsid w:val="00A953DC"/>
    <w:rsid w:val="00AA1878"/>
    <w:rsid w:val="00AA2D38"/>
    <w:rsid w:val="00AC1F00"/>
    <w:rsid w:val="00AC4DA1"/>
    <w:rsid w:val="00AD1B3C"/>
    <w:rsid w:val="00AF59FB"/>
    <w:rsid w:val="00AF5C62"/>
    <w:rsid w:val="00B063C8"/>
    <w:rsid w:val="00B20119"/>
    <w:rsid w:val="00B205D0"/>
    <w:rsid w:val="00B35CF4"/>
    <w:rsid w:val="00B40062"/>
    <w:rsid w:val="00B42C84"/>
    <w:rsid w:val="00B4565A"/>
    <w:rsid w:val="00B701E6"/>
    <w:rsid w:val="00B70EF1"/>
    <w:rsid w:val="00B93B48"/>
    <w:rsid w:val="00BB5CFA"/>
    <w:rsid w:val="00BD372F"/>
    <w:rsid w:val="00BE6902"/>
    <w:rsid w:val="00BF3E49"/>
    <w:rsid w:val="00C10AD3"/>
    <w:rsid w:val="00C26BE2"/>
    <w:rsid w:val="00C2712D"/>
    <w:rsid w:val="00C3463E"/>
    <w:rsid w:val="00C52802"/>
    <w:rsid w:val="00C66271"/>
    <w:rsid w:val="00C828E5"/>
    <w:rsid w:val="00C85659"/>
    <w:rsid w:val="00CB3E22"/>
    <w:rsid w:val="00CB61F8"/>
    <w:rsid w:val="00CE020D"/>
    <w:rsid w:val="00CE1A02"/>
    <w:rsid w:val="00D011C7"/>
    <w:rsid w:val="00D0227D"/>
    <w:rsid w:val="00D12CE5"/>
    <w:rsid w:val="00D135E9"/>
    <w:rsid w:val="00D1404A"/>
    <w:rsid w:val="00D223B2"/>
    <w:rsid w:val="00D25112"/>
    <w:rsid w:val="00D4216D"/>
    <w:rsid w:val="00D535A1"/>
    <w:rsid w:val="00D74C2B"/>
    <w:rsid w:val="00D87E26"/>
    <w:rsid w:val="00D9199A"/>
    <w:rsid w:val="00D93448"/>
    <w:rsid w:val="00D96FA2"/>
    <w:rsid w:val="00DA3BAD"/>
    <w:rsid w:val="00DB1C68"/>
    <w:rsid w:val="00DB7E6F"/>
    <w:rsid w:val="00DC20BA"/>
    <w:rsid w:val="00DC256B"/>
    <w:rsid w:val="00DE72E8"/>
    <w:rsid w:val="00E01A61"/>
    <w:rsid w:val="00E02A9F"/>
    <w:rsid w:val="00E03456"/>
    <w:rsid w:val="00E137A1"/>
    <w:rsid w:val="00E15476"/>
    <w:rsid w:val="00E24ADE"/>
    <w:rsid w:val="00E45D13"/>
    <w:rsid w:val="00E46944"/>
    <w:rsid w:val="00E47F7B"/>
    <w:rsid w:val="00E7033B"/>
    <w:rsid w:val="00E93CCC"/>
    <w:rsid w:val="00EA3500"/>
    <w:rsid w:val="00EA3F40"/>
    <w:rsid w:val="00EB6AD4"/>
    <w:rsid w:val="00EE0996"/>
    <w:rsid w:val="00EF2C9F"/>
    <w:rsid w:val="00F04465"/>
    <w:rsid w:val="00F04903"/>
    <w:rsid w:val="00F2082F"/>
    <w:rsid w:val="00F254F3"/>
    <w:rsid w:val="00F41901"/>
    <w:rsid w:val="00FA6F85"/>
    <w:rsid w:val="00FA78D3"/>
    <w:rsid w:val="00FC11DB"/>
    <w:rsid w:val="00FC3EBE"/>
    <w:rsid w:val="00FD1A87"/>
    <w:rsid w:val="00FE6ADB"/>
    <w:rsid w:val="00FF53C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EFACDB"/>
  <w14:defaultImageDpi w14:val="0"/>
  <w15:docId w15:val="{74E8CCC0-46AD-49CD-8A18-7DE957987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E6902"/>
    <w:pPr>
      <w:spacing w:after="200" w:line="276" w:lineRule="auto"/>
    </w:pPr>
    <w:rPr>
      <w:rFonts w:ascii="Arial Narrow" w:hAnsi="Arial Narrow" w:cs="Times New Roman"/>
      <w:szCs w:val="3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BE6902"/>
    <w:pPr>
      <w:tabs>
        <w:tab w:val="center" w:pos="4536"/>
        <w:tab w:val="right" w:pos="9072"/>
      </w:tabs>
    </w:pPr>
    <w:rPr>
      <w:rFonts w:ascii="Calibri" w:hAnsi="Calibri"/>
      <w:szCs w:val="22"/>
    </w:rPr>
  </w:style>
  <w:style w:type="character" w:customStyle="1" w:styleId="PtaChar">
    <w:name w:val="Päta Char"/>
    <w:basedOn w:val="Predvolenpsmoodseku"/>
    <w:link w:val="Pta"/>
    <w:uiPriority w:val="99"/>
    <w:locked/>
    <w:rsid w:val="00BE6902"/>
    <w:rPr>
      <w:rFonts w:ascii="Calibri" w:hAnsi="Calibri" w:cs="Times New Roman"/>
    </w:rPr>
  </w:style>
  <w:style w:type="paragraph" w:customStyle="1" w:styleId="Zkladntext">
    <w:name w:val="Základní text"/>
    <w:rsid w:val="00BE6902"/>
    <w:pPr>
      <w:spacing w:after="0" w:line="240" w:lineRule="auto"/>
    </w:pPr>
    <w:rPr>
      <w:rFonts w:ascii="Times New Roman" w:hAnsi="Times New Roman" w:cs="Times New Roman"/>
      <w:color w:val="000000"/>
      <w:sz w:val="24"/>
      <w:szCs w:val="20"/>
      <w:lang w:eastAsia="sk-SK"/>
    </w:rPr>
  </w:style>
  <w:style w:type="paragraph" w:styleId="Odsekzoznamu">
    <w:name w:val="List Paragraph"/>
    <w:aliases w:val="body,Odsek zoznamu2,Odsek zoznamu1,Odsek"/>
    <w:basedOn w:val="Normlny"/>
    <w:link w:val="OdsekzoznamuChar"/>
    <w:uiPriority w:val="34"/>
    <w:qFormat/>
    <w:rsid w:val="00BE6902"/>
    <w:pPr>
      <w:ind w:left="720"/>
      <w:contextualSpacing/>
    </w:pPr>
    <w:rPr>
      <w:rFonts w:ascii="Calibri" w:hAnsi="Calibri"/>
      <w:szCs w:val="22"/>
    </w:rPr>
  </w:style>
  <w:style w:type="character" w:styleId="Zstupntext">
    <w:name w:val="Placeholder Text"/>
    <w:basedOn w:val="Predvolenpsmoodseku"/>
    <w:uiPriority w:val="99"/>
    <w:semiHidden/>
    <w:rsid w:val="00167CF2"/>
    <w:rPr>
      <w:rFonts w:ascii="Times New Roman" w:hAnsi="Times New Roman" w:cs="Times New Roman"/>
      <w:color w:val="808080"/>
    </w:rPr>
  </w:style>
  <w:style w:type="paragraph" w:styleId="Zkladntext3">
    <w:name w:val="Body Text 3"/>
    <w:basedOn w:val="Normlny"/>
    <w:link w:val="Zkladntext3Char"/>
    <w:uiPriority w:val="99"/>
    <w:unhideWhenUsed/>
    <w:rsid w:val="00167CF2"/>
    <w:pPr>
      <w:spacing w:after="120" w:line="240" w:lineRule="auto"/>
    </w:pPr>
    <w:rPr>
      <w:rFonts w:ascii="Times New Roman" w:hAnsi="Times New Roman"/>
      <w:sz w:val="16"/>
      <w:szCs w:val="16"/>
      <w:lang w:eastAsia="sk-SK"/>
    </w:rPr>
  </w:style>
  <w:style w:type="character" w:customStyle="1" w:styleId="Zkladntext3Char">
    <w:name w:val="Základný text 3 Char"/>
    <w:basedOn w:val="Predvolenpsmoodseku"/>
    <w:link w:val="Zkladntext3"/>
    <w:uiPriority w:val="99"/>
    <w:locked/>
    <w:rsid w:val="00167CF2"/>
    <w:rPr>
      <w:rFonts w:ascii="Times New Roman" w:hAnsi="Times New Roman" w:cs="Times New Roman"/>
      <w:sz w:val="16"/>
      <w:szCs w:val="16"/>
      <w:lang w:val="x-none" w:eastAsia="sk-SK"/>
    </w:rPr>
  </w:style>
  <w:style w:type="paragraph" w:styleId="Zarkazkladnhotextu2">
    <w:name w:val="Body Text Indent 2"/>
    <w:basedOn w:val="Normlny"/>
    <w:link w:val="Zarkazkladnhotextu2Char"/>
    <w:uiPriority w:val="99"/>
    <w:unhideWhenUsed/>
    <w:rsid w:val="00167CF2"/>
    <w:pPr>
      <w:spacing w:after="0" w:line="240" w:lineRule="auto"/>
      <w:ind w:firstLine="720"/>
      <w:jc w:val="both"/>
    </w:pPr>
    <w:rPr>
      <w:rFonts w:ascii="Times New Roman" w:hAnsi="Times New Roman"/>
      <w:sz w:val="24"/>
      <w:szCs w:val="24"/>
      <w:lang w:eastAsia="sk-SK"/>
    </w:rPr>
  </w:style>
  <w:style w:type="character" w:customStyle="1" w:styleId="Zarkazkladnhotextu2Char">
    <w:name w:val="Zarážka základného textu 2 Char"/>
    <w:basedOn w:val="Predvolenpsmoodseku"/>
    <w:link w:val="Zarkazkladnhotextu2"/>
    <w:uiPriority w:val="99"/>
    <w:locked/>
    <w:rsid w:val="00167CF2"/>
    <w:rPr>
      <w:rFonts w:ascii="Times New Roman" w:hAnsi="Times New Roman" w:cs="Times New Roman"/>
      <w:sz w:val="24"/>
      <w:szCs w:val="24"/>
      <w:lang w:val="x-none" w:eastAsia="sk-SK"/>
    </w:rPr>
  </w:style>
  <w:style w:type="paragraph" w:styleId="Textbubliny">
    <w:name w:val="Balloon Text"/>
    <w:basedOn w:val="Normlny"/>
    <w:link w:val="TextbublinyChar"/>
    <w:uiPriority w:val="99"/>
    <w:semiHidden/>
    <w:unhideWhenUsed/>
    <w:rsid w:val="007130D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7130D6"/>
    <w:rPr>
      <w:rFonts w:ascii="Segoe UI" w:hAnsi="Segoe UI" w:cs="Segoe UI"/>
      <w:sz w:val="18"/>
      <w:szCs w:val="18"/>
    </w:rPr>
  </w:style>
  <w:style w:type="character" w:styleId="Vrazn">
    <w:name w:val="Strong"/>
    <w:basedOn w:val="Predvolenpsmoodseku"/>
    <w:uiPriority w:val="22"/>
    <w:qFormat/>
    <w:rsid w:val="00383C27"/>
    <w:rPr>
      <w:rFonts w:cs="Times New Roman"/>
      <w:b/>
    </w:rPr>
  </w:style>
  <w:style w:type="character" w:customStyle="1" w:styleId="apple-converted-space">
    <w:name w:val="apple-converted-space"/>
    <w:rsid w:val="00383C27"/>
  </w:style>
  <w:style w:type="paragraph" w:styleId="Bezriadkovania">
    <w:name w:val="No Spacing"/>
    <w:link w:val="BezriadkovaniaChar"/>
    <w:uiPriority w:val="1"/>
    <w:qFormat/>
    <w:rsid w:val="00585482"/>
    <w:pPr>
      <w:spacing w:after="0" w:line="240" w:lineRule="auto"/>
    </w:pPr>
    <w:rPr>
      <w:rFonts w:eastAsiaTheme="minorEastAsia" w:cs="Times New Roman"/>
      <w:lang w:eastAsia="sk-SK"/>
    </w:rPr>
  </w:style>
  <w:style w:type="character" w:customStyle="1" w:styleId="BezriadkovaniaChar">
    <w:name w:val="Bez riadkovania Char"/>
    <w:basedOn w:val="Predvolenpsmoodseku"/>
    <w:link w:val="Bezriadkovania"/>
    <w:uiPriority w:val="1"/>
    <w:locked/>
    <w:rsid w:val="00585482"/>
    <w:rPr>
      <w:rFonts w:eastAsiaTheme="minorEastAsia" w:cs="Times New Roman"/>
      <w:lang w:val="x-none" w:eastAsia="sk-SK"/>
    </w:rPr>
  </w:style>
  <w:style w:type="paragraph" w:styleId="Zkladntext0">
    <w:name w:val="Body Text"/>
    <w:basedOn w:val="Normlny"/>
    <w:link w:val="ZkladntextChar"/>
    <w:uiPriority w:val="99"/>
    <w:semiHidden/>
    <w:unhideWhenUsed/>
    <w:rsid w:val="0072039F"/>
    <w:pPr>
      <w:spacing w:after="120"/>
    </w:pPr>
  </w:style>
  <w:style w:type="character" w:customStyle="1" w:styleId="ZkladntextChar">
    <w:name w:val="Základný text Char"/>
    <w:basedOn w:val="Predvolenpsmoodseku"/>
    <w:link w:val="Zkladntext0"/>
    <w:uiPriority w:val="99"/>
    <w:semiHidden/>
    <w:locked/>
    <w:rsid w:val="0072039F"/>
    <w:rPr>
      <w:rFonts w:ascii="Arial Narrow" w:hAnsi="Arial Narrow" w:cs="Times New Roman"/>
      <w:sz w:val="36"/>
      <w:szCs w:val="36"/>
    </w:rPr>
  </w:style>
  <w:style w:type="character" w:customStyle="1" w:styleId="OdsekzoznamuChar">
    <w:name w:val="Odsek zoznamu Char"/>
    <w:aliases w:val="body Char,Odsek zoznamu2 Char,Odsek zoznamu1 Char,Odsek Char"/>
    <w:basedOn w:val="Predvolenpsmoodseku"/>
    <w:link w:val="Odsekzoznamu"/>
    <w:uiPriority w:val="34"/>
    <w:locked/>
    <w:rsid w:val="0072039F"/>
    <w:rPr>
      <w:rFonts w:ascii="Calibri" w:hAnsi="Calibri" w:cs="Times New Roman"/>
    </w:rPr>
  </w:style>
  <w:style w:type="paragraph" w:styleId="Normlnywebov">
    <w:name w:val="Normal (Web)"/>
    <w:basedOn w:val="Normlny"/>
    <w:uiPriority w:val="99"/>
    <w:unhideWhenUsed/>
    <w:rsid w:val="0072039F"/>
    <w:pPr>
      <w:spacing w:before="100" w:beforeAutospacing="1" w:after="100" w:afterAutospacing="1" w:line="240" w:lineRule="auto"/>
    </w:pPr>
    <w:rPr>
      <w:rFonts w:ascii="Times New Roman" w:hAnsi="Times New Roman"/>
      <w:sz w:val="24"/>
      <w:szCs w:val="24"/>
      <w:lang w:eastAsia="sk-SK"/>
    </w:rPr>
  </w:style>
  <w:style w:type="character" w:styleId="Hypertextovprepojenie">
    <w:name w:val="Hyperlink"/>
    <w:basedOn w:val="Predvolenpsmoodseku"/>
    <w:uiPriority w:val="99"/>
    <w:unhideWhenUsed/>
    <w:rsid w:val="006C29B5"/>
    <w:rPr>
      <w:color w:val="0563C1" w:themeColor="hyperlink"/>
      <w:u w:val="single"/>
    </w:rPr>
  </w:style>
  <w:style w:type="paragraph" w:styleId="Revzia">
    <w:name w:val="Revision"/>
    <w:hidden/>
    <w:uiPriority w:val="99"/>
    <w:semiHidden/>
    <w:rsid w:val="000A3AFC"/>
    <w:pPr>
      <w:spacing w:after="0" w:line="240" w:lineRule="auto"/>
    </w:pPr>
    <w:rPr>
      <w:rFonts w:ascii="Arial Narrow" w:hAnsi="Arial Narrow" w:cs="Times New Roman"/>
      <w:szCs w:val="36"/>
    </w:rPr>
  </w:style>
  <w:style w:type="character" w:styleId="Nevyrieenzmienka">
    <w:name w:val="Unresolved Mention"/>
    <w:basedOn w:val="Predvolenpsmoodseku"/>
    <w:uiPriority w:val="99"/>
    <w:semiHidden/>
    <w:unhideWhenUsed/>
    <w:rsid w:val="00DB1C68"/>
    <w:rPr>
      <w:color w:val="605E5C"/>
      <w:shd w:val="clear" w:color="auto" w:fill="E1DFDD"/>
    </w:rPr>
  </w:style>
  <w:style w:type="table" w:customStyle="1" w:styleId="Mriekatabuky1">
    <w:name w:val="Mriežka tabuľky1"/>
    <w:basedOn w:val="Normlnatabuka"/>
    <w:next w:val="Mriekatabuky"/>
    <w:uiPriority w:val="59"/>
    <w:rsid w:val="00BD372F"/>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BD3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
    <w:name w:val="Bez zoznamu1"/>
    <w:next w:val="Bezzoznamu"/>
    <w:uiPriority w:val="99"/>
    <w:semiHidden/>
    <w:unhideWhenUsed/>
    <w:rsid w:val="00BD372F"/>
  </w:style>
  <w:style w:type="paragraph" w:styleId="Hlavika">
    <w:name w:val="header"/>
    <w:basedOn w:val="Normlny"/>
    <w:link w:val="HlavikaChar"/>
    <w:uiPriority w:val="99"/>
    <w:unhideWhenUsed/>
    <w:rsid w:val="00BD372F"/>
    <w:pPr>
      <w:tabs>
        <w:tab w:val="center" w:pos="4536"/>
        <w:tab w:val="right" w:pos="9072"/>
      </w:tabs>
      <w:spacing w:after="0" w:line="240" w:lineRule="auto"/>
    </w:pPr>
    <w:rPr>
      <w:rFonts w:ascii="Times New Roman" w:hAnsi="Times New Roman"/>
      <w:sz w:val="20"/>
      <w:szCs w:val="20"/>
      <w:lang w:eastAsia="sk-SK"/>
    </w:rPr>
  </w:style>
  <w:style w:type="character" w:customStyle="1" w:styleId="HlavikaChar">
    <w:name w:val="Hlavička Char"/>
    <w:basedOn w:val="Predvolenpsmoodseku"/>
    <w:link w:val="Hlavika"/>
    <w:uiPriority w:val="99"/>
    <w:rsid w:val="00BD372F"/>
    <w:rPr>
      <w:rFonts w:ascii="Times New Roman" w:hAnsi="Times New Roman" w:cs="Times New Roman"/>
      <w:sz w:val="20"/>
      <w:szCs w:val="20"/>
      <w:lang w:eastAsia="sk-SK"/>
    </w:rPr>
  </w:style>
  <w:style w:type="character" w:styleId="slostrany">
    <w:name w:val="page number"/>
    <w:basedOn w:val="Predvolenpsmoodseku"/>
    <w:uiPriority w:val="99"/>
    <w:rsid w:val="00BD372F"/>
    <w:rPr>
      <w:rFonts w:cs="Times New Roman"/>
    </w:rPr>
  </w:style>
  <w:style w:type="table" w:customStyle="1" w:styleId="Mriekatabuky2">
    <w:name w:val="Mriežka tabuľky2"/>
    <w:basedOn w:val="Normlnatabuka"/>
    <w:next w:val="Mriekatabuky"/>
    <w:uiPriority w:val="59"/>
    <w:rsid w:val="00BD372F"/>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7C72FC"/>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9564256">
      <w:bodyDiv w:val="1"/>
      <w:marLeft w:val="0"/>
      <w:marRight w:val="0"/>
      <w:marTop w:val="0"/>
      <w:marBottom w:val="0"/>
      <w:divBdr>
        <w:top w:val="none" w:sz="0" w:space="0" w:color="auto"/>
        <w:left w:val="none" w:sz="0" w:space="0" w:color="auto"/>
        <w:bottom w:val="none" w:sz="0" w:space="0" w:color="auto"/>
        <w:right w:val="none" w:sz="0" w:space="0" w:color="auto"/>
      </w:divBdr>
    </w:div>
    <w:div w:id="1262834339">
      <w:marLeft w:val="0"/>
      <w:marRight w:val="0"/>
      <w:marTop w:val="0"/>
      <w:marBottom w:val="0"/>
      <w:divBdr>
        <w:top w:val="none" w:sz="0" w:space="0" w:color="auto"/>
        <w:left w:val="none" w:sz="0" w:space="0" w:color="auto"/>
        <w:bottom w:val="none" w:sz="0" w:space="0" w:color="auto"/>
        <w:right w:val="none" w:sz="0" w:space="0" w:color="auto"/>
      </w:divBdr>
    </w:div>
    <w:div w:id="1262834340">
      <w:marLeft w:val="0"/>
      <w:marRight w:val="0"/>
      <w:marTop w:val="0"/>
      <w:marBottom w:val="0"/>
      <w:divBdr>
        <w:top w:val="none" w:sz="0" w:space="0" w:color="auto"/>
        <w:left w:val="none" w:sz="0" w:space="0" w:color="auto"/>
        <w:bottom w:val="none" w:sz="0" w:space="0" w:color="auto"/>
        <w:right w:val="none" w:sz="0" w:space="0" w:color="auto"/>
      </w:divBdr>
    </w:div>
    <w:div w:id="1262834341">
      <w:marLeft w:val="0"/>
      <w:marRight w:val="0"/>
      <w:marTop w:val="0"/>
      <w:marBottom w:val="0"/>
      <w:divBdr>
        <w:top w:val="none" w:sz="0" w:space="0" w:color="auto"/>
        <w:left w:val="none" w:sz="0" w:space="0" w:color="auto"/>
        <w:bottom w:val="none" w:sz="0" w:space="0" w:color="auto"/>
        <w:right w:val="none" w:sz="0" w:space="0" w:color="auto"/>
      </w:divBdr>
    </w:div>
    <w:div w:id="1262834342">
      <w:marLeft w:val="0"/>
      <w:marRight w:val="0"/>
      <w:marTop w:val="0"/>
      <w:marBottom w:val="0"/>
      <w:divBdr>
        <w:top w:val="none" w:sz="0" w:space="0" w:color="auto"/>
        <w:left w:val="none" w:sz="0" w:space="0" w:color="auto"/>
        <w:bottom w:val="none" w:sz="0" w:space="0" w:color="auto"/>
        <w:right w:val="none" w:sz="0" w:space="0" w:color="auto"/>
      </w:divBdr>
    </w:div>
    <w:div w:id="1452939380">
      <w:bodyDiv w:val="1"/>
      <w:marLeft w:val="0"/>
      <w:marRight w:val="0"/>
      <w:marTop w:val="0"/>
      <w:marBottom w:val="0"/>
      <w:divBdr>
        <w:top w:val="none" w:sz="0" w:space="0" w:color="auto"/>
        <w:left w:val="none" w:sz="0" w:space="0" w:color="auto"/>
        <w:bottom w:val="none" w:sz="0" w:space="0" w:color="auto"/>
        <w:right w:val="none" w:sz="0" w:space="0" w:color="auto"/>
      </w:divBdr>
    </w:div>
    <w:div w:id="171823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fsr.sk/sk/dane-cla-uctovnictvo/platobny-system-uhradu-spravnych-sudnych-poplatkov/"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mfsr.sk/sk/dane-cla-uctovnictvo/platobny-system-uhradu-spravnych-sudnych-poplatkov/" TargetMode="External"/><Relationship Id="rId12" Type="http://schemas.openxmlformats.org/officeDocument/2006/relationships/hyperlink" Target="https://www.nrsr.sk/web/Default.aspx?sid=zakony/zakon&amp;MasterID=10151"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ek.kulka@mfsr.s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iluse.ocovska@mfsr.sk"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www.mfsr.sk/sk/dane-cla-uctovnictvo/platobny-system-uhradu-spravnych-sudnych-poplatkov/" TargetMode="External"/><Relationship Id="rId14"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14662</Words>
  <Characters>83577</Characters>
  <Application>Microsoft Office Word</Application>
  <DocSecurity>0</DocSecurity>
  <Lines>696</Lines>
  <Paragraphs>196</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98043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Mastihubova Petronela</dc:creator>
  <cp:keywords/>
  <dc:description/>
  <cp:lastModifiedBy>Metodika@skdp.sk</cp:lastModifiedBy>
  <cp:revision>2</cp:revision>
  <cp:lastPrinted>2024-12-09T12:31:00Z</cp:lastPrinted>
  <dcterms:created xsi:type="dcterms:W3CDTF">2025-08-22T15:11:00Z</dcterms:created>
  <dcterms:modified xsi:type="dcterms:W3CDTF">2025-08-22T15:11:00Z</dcterms:modified>
</cp:coreProperties>
</file>