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7A415" w14:textId="77777777" w:rsidR="00A65D9D" w:rsidRDefault="00A65D9D" w:rsidP="000C256C">
      <w:pPr>
        <w:pBdr>
          <w:top w:val="single" w:sz="4" w:space="0" w:color="000000"/>
          <w:left w:val="single" w:sz="4" w:space="0" w:color="000000"/>
          <w:bottom w:val="single" w:sz="4" w:space="0" w:color="000000"/>
          <w:right w:val="single" w:sz="4" w:space="0" w:color="000000"/>
        </w:pBdr>
        <w:shd w:val="clear" w:color="auto" w:fill="D9D9D9"/>
        <w:spacing w:after="0" w:line="240" w:lineRule="auto"/>
        <w:ind w:left="80" w:right="1" w:hanging="10"/>
        <w:jc w:val="center"/>
        <w:rPr>
          <w:b/>
        </w:rPr>
      </w:pPr>
      <w:r>
        <w:rPr>
          <w:b/>
        </w:rPr>
        <w:t>Návrh</w:t>
      </w:r>
    </w:p>
    <w:p w14:paraId="750EB568" w14:textId="77777777" w:rsidR="00D469A0" w:rsidRDefault="00BD5E9B" w:rsidP="000C256C">
      <w:pPr>
        <w:pBdr>
          <w:top w:val="single" w:sz="4" w:space="0" w:color="000000"/>
          <w:left w:val="single" w:sz="4" w:space="0" w:color="000000"/>
          <w:bottom w:val="single" w:sz="4" w:space="0" w:color="000000"/>
          <w:right w:val="single" w:sz="4" w:space="0" w:color="000000"/>
        </w:pBdr>
        <w:shd w:val="clear" w:color="auto" w:fill="D9D9D9"/>
        <w:spacing w:after="0" w:line="240" w:lineRule="auto"/>
        <w:ind w:left="80" w:right="1" w:hanging="10"/>
        <w:jc w:val="center"/>
        <w:rPr>
          <w:b/>
        </w:rPr>
      </w:pPr>
      <w:r>
        <w:rPr>
          <w:b/>
        </w:rPr>
        <w:t xml:space="preserve">Predbežné stanovisko </w:t>
      </w:r>
    </w:p>
    <w:p w14:paraId="02474EA4" w14:textId="77777777" w:rsidR="00CD406F" w:rsidRDefault="00C85268" w:rsidP="000C256C">
      <w:pPr>
        <w:pBdr>
          <w:top w:val="single" w:sz="4" w:space="0" w:color="000000"/>
          <w:left w:val="single" w:sz="4" w:space="0" w:color="000000"/>
          <w:bottom w:val="single" w:sz="4" w:space="0" w:color="000000"/>
          <w:right w:val="single" w:sz="4" w:space="0" w:color="000000"/>
        </w:pBdr>
        <w:shd w:val="clear" w:color="auto" w:fill="D9D9D9"/>
        <w:spacing w:after="0" w:line="240" w:lineRule="auto"/>
        <w:ind w:left="80" w:right="1" w:hanging="10"/>
        <w:jc w:val="center"/>
      </w:pPr>
      <w:r>
        <w:rPr>
          <w:b/>
        </w:rPr>
        <w:t xml:space="preserve">k návrhu </w:t>
      </w:r>
      <w:r w:rsidR="00D469A0" w:rsidRPr="00D469A0">
        <w:rPr>
          <w:b/>
        </w:rPr>
        <w:t xml:space="preserve">smernice Európskeho parlamentu a Rady, </w:t>
      </w:r>
      <w:r w:rsidR="0056245C" w:rsidRPr="0056245C">
        <w:rPr>
          <w:b/>
        </w:rPr>
        <w:t>ktorou sa menia smernice 2006/43/ES, 2013/34/EÚ, (EÚ) 2022/2464 a (EÚ) 2024/1760, pokiaľ ide o určité požiadavky na vykazovanie informácií o udržateľnosti podnikov a náležitú starostlivosť podnikov v oblasti udržateľnosti</w:t>
      </w:r>
    </w:p>
    <w:p w14:paraId="04A0A8AC" w14:textId="77777777" w:rsidR="00CD406F" w:rsidRDefault="00BD5E9B" w:rsidP="000C256C">
      <w:pPr>
        <w:spacing w:after="0" w:line="240" w:lineRule="auto"/>
        <w:ind w:left="77" w:right="0" w:firstLine="0"/>
        <w:jc w:val="left"/>
      </w:pPr>
      <w:r>
        <w:t xml:space="preserve"> </w:t>
      </w:r>
    </w:p>
    <w:p w14:paraId="22737FB7" w14:textId="77777777" w:rsidR="00CD406F" w:rsidRDefault="00BD5E9B" w:rsidP="000C256C">
      <w:pPr>
        <w:spacing w:after="0" w:line="240" w:lineRule="auto"/>
        <w:ind w:left="72" w:right="0" w:hanging="10"/>
        <w:jc w:val="left"/>
      </w:pPr>
      <w:r>
        <w:rPr>
          <w:b/>
        </w:rPr>
        <w:t>I.</w:t>
      </w:r>
      <w:r>
        <w:t xml:space="preserve"> </w:t>
      </w:r>
      <w:r>
        <w:rPr>
          <w:b/>
          <w:u w:val="single" w:color="000000"/>
        </w:rPr>
        <w:t>VŠEOBECNÁ ČASŤ</w:t>
      </w:r>
      <w:r>
        <w:t xml:space="preserve"> </w:t>
      </w:r>
    </w:p>
    <w:p w14:paraId="43F766EA" w14:textId="77777777" w:rsidR="000C256C" w:rsidRDefault="000C256C" w:rsidP="000C256C">
      <w:pPr>
        <w:spacing w:after="0" w:line="240" w:lineRule="auto"/>
        <w:ind w:left="72" w:right="0" w:hanging="10"/>
        <w:jc w:val="left"/>
      </w:pPr>
    </w:p>
    <w:p w14:paraId="0533E8A1" w14:textId="77777777" w:rsidR="00CD406F" w:rsidRDefault="00BD5E9B" w:rsidP="000C256C">
      <w:pPr>
        <w:numPr>
          <w:ilvl w:val="0"/>
          <w:numId w:val="16"/>
        </w:numPr>
        <w:spacing w:after="0" w:line="240" w:lineRule="auto"/>
        <w:ind w:right="0" w:hanging="360"/>
        <w:jc w:val="left"/>
      </w:pPr>
      <w:r>
        <w:rPr>
          <w:b/>
        </w:rPr>
        <w:t>Názov</w:t>
      </w:r>
      <w:r>
        <w:t xml:space="preserve"> </w:t>
      </w:r>
    </w:p>
    <w:p w14:paraId="33701A8B" w14:textId="77777777" w:rsidR="00CD406F" w:rsidRDefault="00C85268" w:rsidP="0056245C">
      <w:pPr>
        <w:spacing w:after="0" w:line="240" w:lineRule="auto"/>
        <w:ind w:left="360" w:right="0" w:firstLine="0"/>
      </w:pPr>
      <w:r w:rsidRPr="00C85268">
        <w:t xml:space="preserve">Návrh smernice Európskeho parlamentu a Rady, </w:t>
      </w:r>
      <w:r w:rsidR="0056245C" w:rsidRPr="0056245C">
        <w:t xml:space="preserve">ktorou sa menia smernice 2006/43/ES, 2013/34/EÚ, (EÚ) 2022/2464 a (EÚ) 2024/1760, pokiaľ ide o určité požiadavky </w:t>
      </w:r>
      <w:r w:rsidR="001432F0">
        <w:br/>
      </w:r>
      <w:r w:rsidR="0056245C" w:rsidRPr="0056245C">
        <w:t>na vykazovanie informácií o udržateľnosti podnikov a náležitú starostlivosť podnikov v oblasti udržateľnosti</w:t>
      </w:r>
      <w:r w:rsidR="00BD5E9B">
        <w:t xml:space="preserve"> </w:t>
      </w:r>
    </w:p>
    <w:p w14:paraId="6EB706DB" w14:textId="77777777" w:rsidR="0056245C" w:rsidRDefault="0056245C" w:rsidP="0056245C">
      <w:pPr>
        <w:spacing w:after="0" w:line="240" w:lineRule="auto"/>
        <w:ind w:left="360" w:right="0" w:firstLine="0"/>
      </w:pPr>
    </w:p>
    <w:p w14:paraId="7E8F00E2" w14:textId="77777777" w:rsidR="00CD406F" w:rsidRDefault="00BD5E9B" w:rsidP="000C256C">
      <w:pPr>
        <w:numPr>
          <w:ilvl w:val="0"/>
          <w:numId w:val="16"/>
        </w:numPr>
        <w:spacing w:after="0" w:line="240" w:lineRule="auto"/>
        <w:ind w:right="0" w:hanging="360"/>
        <w:jc w:val="left"/>
      </w:pPr>
      <w:r>
        <w:rPr>
          <w:b/>
        </w:rPr>
        <w:t>Číslo a dátum zverejnenia dokumentu EK</w:t>
      </w:r>
      <w:r>
        <w:t xml:space="preserve"> </w:t>
      </w:r>
    </w:p>
    <w:p w14:paraId="4F21CBB9" w14:textId="77777777" w:rsidR="00C85268" w:rsidRDefault="00C85268" w:rsidP="000C256C">
      <w:pPr>
        <w:spacing w:after="0" w:line="240" w:lineRule="auto"/>
        <w:ind w:left="360" w:right="0" w:firstLine="0"/>
        <w:jc w:val="left"/>
      </w:pPr>
      <w:r w:rsidRPr="00C85268">
        <w:t>COM</w:t>
      </w:r>
      <w:r>
        <w:t xml:space="preserve"> </w:t>
      </w:r>
      <w:r w:rsidRPr="00C85268">
        <w:t>(2025) 8</w:t>
      </w:r>
      <w:r w:rsidR="0056245C">
        <w:t>1</w:t>
      </w:r>
      <w:r w:rsidRPr="00C85268">
        <w:t xml:space="preserve"> </w:t>
      </w:r>
      <w:proofErr w:type="spellStart"/>
      <w:r w:rsidRPr="00C85268">
        <w:t>final</w:t>
      </w:r>
      <w:proofErr w:type="spellEnd"/>
      <w:r>
        <w:t>,</w:t>
      </w:r>
      <w:r w:rsidR="007D5844">
        <w:t xml:space="preserve"> </w:t>
      </w:r>
      <w:r w:rsidRPr="00C85268">
        <w:t>26.2.2025</w:t>
      </w:r>
    </w:p>
    <w:p w14:paraId="5E914827" w14:textId="77777777" w:rsidR="00CD406F" w:rsidRDefault="00BD5E9B" w:rsidP="000C256C">
      <w:pPr>
        <w:spacing w:after="0" w:line="240" w:lineRule="auto"/>
        <w:ind w:left="360" w:right="0" w:firstLine="0"/>
        <w:jc w:val="left"/>
      </w:pPr>
      <w:r>
        <w:t xml:space="preserve"> </w:t>
      </w:r>
    </w:p>
    <w:p w14:paraId="0689F91B" w14:textId="77777777" w:rsidR="00CD406F" w:rsidRDefault="00BD5E9B" w:rsidP="000C256C">
      <w:pPr>
        <w:numPr>
          <w:ilvl w:val="0"/>
          <w:numId w:val="16"/>
        </w:numPr>
        <w:spacing w:after="0" w:line="240" w:lineRule="auto"/>
        <w:ind w:right="0" w:hanging="360"/>
        <w:jc w:val="left"/>
      </w:pPr>
      <w:r>
        <w:rPr>
          <w:b/>
        </w:rPr>
        <w:t>Gestor</w:t>
      </w:r>
      <w:r>
        <w:t xml:space="preserve"> </w:t>
      </w:r>
    </w:p>
    <w:p w14:paraId="76263ABA" w14:textId="77777777" w:rsidR="00CD406F" w:rsidRDefault="0069769D" w:rsidP="000C256C">
      <w:pPr>
        <w:spacing w:after="0" w:line="240" w:lineRule="auto"/>
        <w:ind w:left="360" w:right="0" w:firstLine="0"/>
      </w:pPr>
      <w:r>
        <w:t>Ministerstvo financií Slovenskej republiky</w:t>
      </w:r>
      <w:r w:rsidR="007D5844">
        <w:t xml:space="preserve"> </w:t>
      </w:r>
    </w:p>
    <w:p w14:paraId="33A7DB12" w14:textId="77777777" w:rsidR="00CD406F" w:rsidRDefault="00BD5E9B" w:rsidP="000C256C">
      <w:pPr>
        <w:spacing w:after="0" w:line="240" w:lineRule="auto"/>
        <w:ind w:left="360" w:right="0" w:firstLine="0"/>
        <w:jc w:val="left"/>
      </w:pPr>
      <w:r>
        <w:t xml:space="preserve"> </w:t>
      </w:r>
    </w:p>
    <w:p w14:paraId="498C11C9" w14:textId="77777777" w:rsidR="00CD406F" w:rsidRDefault="003F2C07" w:rsidP="000C256C">
      <w:pPr>
        <w:numPr>
          <w:ilvl w:val="0"/>
          <w:numId w:val="16"/>
        </w:numPr>
        <w:spacing w:after="0" w:line="240" w:lineRule="auto"/>
        <w:ind w:right="0" w:hanging="360"/>
        <w:jc w:val="left"/>
      </w:pPr>
      <w:proofErr w:type="spellStart"/>
      <w:r>
        <w:rPr>
          <w:b/>
        </w:rPr>
        <w:t>Spolugestor</w:t>
      </w:r>
      <w:proofErr w:type="spellEnd"/>
    </w:p>
    <w:p w14:paraId="1D933A77" w14:textId="77777777" w:rsidR="00C85268" w:rsidRDefault="00C85268" w:rsidP="000C256C">
      <w:pPr>
        <w:spacing w:after="0" w:line="240" w:lineRule="auto"/>
        <w:ind w:left="360" w:right="0" w:firstLine="0"/>
        <w:jc w:val="left"/>
      </w:pPr>
      <w:r w:rsidRPr="00C85268">
        <w:t>Ministerstvo ho</w:t>
      </w:r>
      <w:r>
        <w:t>spodárstva Slovenskej republiky</w:t>
      </w:r>
    </w:p>
    <w:p w14:paraId="3436B708" w14:textId="77777777" w:rsidR="00CD406F" w:rsidRDefault="00BD5E9B" w:rsidP="000C256C">
      <w:pPr>
        <w:spacing w:after="0" w:line="240" w:lineRule="auto"/>
        <w:ind w:left="360" w:right="0" w:firstLine="0"/>
        <w:jc w:val="left"/>
      </w:pPr>
      <w:r>
        <w:rPr>
          <w:b/>
        </w:rPr>
        <w:t xml:space="preserve"> </w:t>
      </w:r>
    </w:p>
    <w:p w14:paraId="3218728B" w14:textId="77777777" w:rsidR="0069769D" w:rsidRDefault="00BD5E9B" w:rsidP="000C256C">
      <w:pPr>
        <w:numPr>
          <w:ilvl w:val="0"/>
          <w:numId w:val="16"/>
        </w:numPr>
        <w:spacing w:after="0" w:line="240" w:lineRule="auto"/>
        <w:ind w:right="0" w:hanging="360"/>
        <w:jc w:val="left"/>
      </w:pPr>
      <w:r>
        <w:rPr>
          <w:b/>
        </w:rPr>
        <w:t>Stupeň dôležitosti návrhu</w:t>
      </w:r>
      <w:r w:rsidR="007D5844">
        <w:rPr>
          <w:b/>
        </w:rPr>
        <w:t xml:space="preserve"> </w:t>
      </w:r>
    </w:p>
    <w:p w14:paraId="6EEF00A8" w14:textId="77777777" w:rsidR="00CD406F" w:rsidRPr="00DB046F" w:rsidRDefault="00EF3407" w:rsidP="0069769D">
      <w:pPr>
        <w:spacing w:after="0" w:line="240" w:lineRule="auto"/>
        <w:ind w:left="360" w:right="0" w:firstLine="0"/>
        <w:jc w:val="left"/>
        <w:rPr>
          <w:color w:val="auto"/>
        </w:rPr>
      </w:pPr>
      <w:r w:rsidRPr="00DB046F">
        <w:rPr>
          <w:color w:val="auto"/>
        </w:rPr>
        <w:t>S</w:t>
      </w:r>
      <w:r w:rsidR="00BD5E9B" w:rsidRPr="00DB046F">
        <w:rPr>
          <w:color w:val="auto"/>
        </w:rPr>
        <w:t xml:space="preserve"> </w:t>
      </w:r>
    </w:p>
    <w:p w14:paraId="61F915C7" w14:textId="77777777" w:rsidR="00CD406F" w:rsidRPr="00DB046F" w:rsidRDefault="00BD5E9B" w:rsidP="000C256C">
      <w:pPr>
        <w:spacing w:after="0" w:line="240" w:lineRule="auto"/>
        <w:ind w:left="360" w:right="0" w:firstLine="0"/>
        <w:jc w:val="left"/>
        <w:rPr>
          <w:color w:val="auto"/>
        </w:rPr>
      </w:pPr>
      <w:r w:rsidRPr="00DB046F">
        <w:rPr>
          <w:color w:val="auto"/>
        </w:rPr>
        <w:t xml:space="preserve"> </w:t>
      </w:r>
    </w:p>
    <w:p w14:paraId="2BC57119" w14:textId="77777777" w:rsidR="00CD406F" w:rsidRDefault="00BD5E9B" w:rsidP="000C256C">
      <w:pPr>
        <w:numPr>
          <w:ilvl w:val="0"/>
          <w:numId w:val="16"/>
        </w:numPr>
        <w:spacing w:after="0" w:line="240" w:lineRule="auto"/>
        <w:ind w:right="0" w:hanging="360"/>
        <w:jc w:val="left"/>
      </w:pPr>
      <w:r>
        <w:rPr>
          <w:b/>
        </w:rPr>
        <w:t xml:space="preserve">Časový priebeh rozhodovacieho procesu v EÚ </w:t>
      </w:r>
    </w:p>
    <w:p w14:paraId="5090A4F2" w14:textId="77777777" w:rsidR="00CD406F" w:rsidRDefault="00727938" w:rsidP="000C256C">
      <w:pPr>
        <w:spacing w:after="0" w:line="240" w:lineRule="auto"/>
        <w:ind w:left="360" w:right="0" w:firstLine="0"/>
      </w:pPr>
      <w:r>
        <w:t>Q</w:t>
      </w:r>
      <w:r w:rsidR="0056245C">
        <w:t>4</w:t>
      </w:r>
      <w:r>
        <w:t>/</w:t>
      </w:r>
      <w:r w:rsidR="003F2C07">
        <w:t>2025</w:t>
      </w:r>
    </w:p>
    <w:p w14:paraId="5814C216" w14:textId="77777777" w:rsidR="00CD406F" w:rsidRDefault="00BD5E9B" w:rsidP="000C256C">
      <w:pPr>
        <w:spacing w:after="0" w:line="240" w:lineRule="auto"/>
        <w:ind w:left="360" w:right="0" w:firstLine="0"/>
        <w:jc w:val="left"/>
      </w:pPr>
      <w:r>
        <w:rPr>
          <w:b/>
        </w:rPr>
        <w:t xml:space="preserve"> </w:t>
      </w:r>
    </w:p>
    <w:p w14:paraId="2F66AE98" w14:textId="77777777" w:rsidR="00CD406F" w:rsidRDefault="00BD5E9B" w:rsidP="000C256C">
      <w:pPr>
        <w:numPr>
          <w:ilvl w:val="0"/>
          <w:numId w:val="16"/>
        </w:numPr>
        <w:spacing w:after="0" w:line="240" w:lineRule="auto"/>
        <w:ind w:right="0" w:hanging="360"/>
        <w:jc w:val="left"/>
      </w:pPr>
      <w:r>
        <w:rPr>
          <w:b/>
        </w:rPr>
        <w:t>Druh rozhodovacieho procesu v EÚ</w:t>
      </w:r>
      <w:r w:rsidR="007D5844">
        <w:rPr>
          <w:b/>
        </w:rPr>
        <w:t xml:space="preserve"> </w:t>
      </w:r>
    </w:p>
    <w:p w14:paraId="1144C694" w14:textId="77777777" w:rsidR="00CD406F" w:rsidRDefault="000E4F83" w:rsidP="000C256C">
      <w:pPr>
        <w:spacing w:after="0" w:line="240" w:lineRule="auto"/>
        <w:ind w:left="360" w:right="0" w:firstLine="0"/>
      </w:pPr>
      <w:r w:rsidRPr="000E4F83">
        <w:t>Riadny</w:t>
      </w:r>
      <w:r w:rsidR="00BD5E9B" w:rsidRPr="000E4F83">
        <w:t xml:space="preserve"> legislatívny postup</w:t>
      </w:r>
      <w:r w:rsidR="00BD5E9B">
        <w:t xml:space="preserve"> </w:t>
      </w:r>
    </w:p>
    <w:p w14:paraId="1682C893" w14:textId="77777777" w:rsidR="00CD406F" w:rsidRDefault="00BD5E9B" w:rsidP="000C256C">
      <w:pPr>
        <w:spacing w:after="0" w:line="240" w:lineRule="auto"/>
        <w:ind w:left="360" w:right="0" w:firstLine="0"/>
        <w:jc w:val="left"/>
      </w:pPr>
      <w:r>
        <w:t xml:space="preserve"> </w:t>
      </w:r>
    </w:p>
    <w:p w14:paraId="32557AB5" w14:textId="77777777" w:rsidR="00CD406F" w:rsidRPr="007978AE" w:rsidRDefault="00BD5E9B" w:rsidP="000C256C">
      <w:pPr>
        <w:numPr>
          <w:ilvl w:val="0"/>
          <w:numId w:val="16"/>
        </w:numPr>
        <w:spacing w:after="0" w:line="240" w:lineRule="auto"/>
        <w:ind w:right="0" w:hanging="360"/>
        <w:jc w:val="left"/>
      </w:pPr>
      <w:r w:rsidRPr="007978AE">
        <w:rPr>
          <w:b/>
        </w:rPr>
        <w:t>Stručné zhrnutie obsahu a cieľa návrhu</w:t>
      </w:r>
      <w:r w:rsidR="007D5844">
        <w:rPr>
          <w:b/>
        </w:rPr>
        <w:t xml:space="preserve"> </w:t>
      </w:r>
    </w:p>
    <w:p w14:paraId="14513A4A" w14:textId="77777777" w:rsidR="00F34021" w:rsidRDefault="00F21978" w:rsidP="00F34021">
      <w:pPr>
        <w:spacing w:after="120" w:line="240" w:lineRule="auto"/>
        <w:ind w:left="357" w:right="0" w:firstLine="0"/>
      </w:pPr>
      <w:r>
        <w:t xml:space="preserve">Návrh smernice </w:t>
      </w:r>
      <w:r w:rsidR="00F34021" w:rsidRPr="00DE3A5B">
        <w:rPr>
          <w:bCs/>
        </w:rPr>
        <w:t xml:space="preserve">je súčasťou balíka </w:t>
      </w:r>
      <w:proofErr w:type="spellStart"/>
      <w:r w:rsidR="00F34021" w:rsidRPr="00DE3A5B">
        <w:rPr>
          <w:bCs/>
        </w:rPr>
        <w:t>Omnibus</w:t>
      </w:r>
      <w:proofErr w:type="spellEnd"/>
      <w:r w:rsidR="00F34021" w:rsidRPr="00DE3A5B">
        <w:rPr>
          <w:bCs/>
        </w:rPr>
        <w:t xml:space="preserve"> I</w:t>
      </w:r>
      <w:r w:rsidR="00F34021">
        <w:rPr>
          <w:bCs/>
        </w:rPr>
        <w:t> k zjednodušovaniu pravidiel EÚ, ktorého obsahom sú aj ďalšie dva samostatné legislatívne návrhy (</w:t>
      </w:r>
      <w:r w:rsidR="001432F0">
        <w:rPr>
          <w:bCs/>
        </w:rPr>
        <w:t>odklad začatia uplatňovania určitých ustanovení v oblasti vykazovania informácií o udržateľnosti (smernica (EÚ) 2022/2464)</w:t>
      </w:r>
      <w:r w:rsidR="008D173C">
        <w:rPr>
          <w:bCs/>
        </w:rPr>
        <w:t xml:space="preserve"> </w:t>
      </w:r>
      <w:r w:rsidR="001432F0">
        <w:rPr>
          <w:bCs/>
        </w:rPr>
        <w:t xml:space="preserve">a náležitej starostlivosti </w:t>
      </w:r>
      <w:r w:rsidR="003F2C07">
        <w:rPr>
          <w:bCs/>
        </w:rPr>
        <w:t>(</w:t>
      </w:r>
      <w:r w:rsidR="00F34021">
        <w:rPr>
          <w:bCs/>
        </w:rPr>
        <w:t>smernic</w:t>
      </w:r>
      <w:r w:rsidR="003F2C07">
        <w:rPr>
          <w:bCs/>
        </w:rPr>
        <w:t>a</w:t>
      </w:r>
      <w:r w:rsidR="00F34021">
        <w:rPr>
          <w:bCs/>
        </w:rPr>
        <w:t xml:space="preserve"> (EÚ) </w:t>
      </w:r>
      <w:r w:rsidR="00F34021" w:rsidRPr="00607A24">
        <w:rPr>
          <w:bCs/>
          <w:color w:val="auto"/>
        </w:rPr>
        <w:t>2024/1760</w:t>
      </w:r>
      <w:r w:rsidR="00F34021">
        <w:rPr>
          <w:bCs/>
          <w:color w:val="auto"/>
        </w:rPr>
        <w:t>)</w:t>
      </w:r>
      <w:r w:rsidR="00F34021" w:rsidRPr="00607A24">
        <w:rPr>
          <w:bCs/>
          <w:color w:val="auto"/>
        </w:rPr>
        <w:t xml:space="preserve"> a</w:t>
      </w:r>
      <w:r w:rsidR="003F2C07">
        <w:rPr>
          <w:bCs/>
          <w:color w:val="auto"/>
        </w:rPr>
        <w:t> </w:t>
      </w:r>
      <w:r w:rsidR="00F34021" w:rsidRPr="003F2C07">
        <w:t>revízia</w:t>
      </w:r>
      <w:r w:rsidR="003F2C07" w:rsidRPr="003F2C07">
        <w:t xml:space="preserve"> nariadenia </w:t>
      </w:r>
      <w:r w:rsidR="007D5844">
        <w:t xml:space="preserve">Európskeho parlamentu a Rady </w:t>
      </w:r>
      <w:r w:rsidR="003F2C07" w:rsidRPr="003F2C07">
        <w:t>(EÚ) 2023/956</w:t>
      </w:r>
      <w:r w:rsidR="007D5844">
        <w:t xml:space="preserve"> z 10. mája 2023</w:t>
      </w:r>
      <w:r w:rsidR="003F2C07" w:rsidRPr="003F2C07">
        <w:t>, ktorým sa zriaďuje mechanizmus uhlíkovej kompenzácie na hraniciach</w:t>
      </w:r>
      <w:r w:rsidR="00F34021" w:rsidRPr="003F2C07">
        <w:t>).</w:t>
      </w:r>
    </w:p>
    <w:p w14:paraId="0B35D5C5" w14:textId="77777777" w:rsidR="001432F0" w:rsidRDefault="00F34021" w:rsidP="001432F0">
      <w:pPr>
        <w:pStyle w:val="oj-doc-ti"/>
        <w:widowControl w:val="0"/>
        <w:shd w:val="clear" w:color="auto" w:fill="FFFFFF"/>
        <w:spacing w:before="240" w:beforeAutospacing="0" w:after="120" w:afterAutospacing="0"/>
        <w:ind w:left="357"/>
        <w:jc w:val="both"/>
        <w:rPr>
          <w:color w:val="000000"/>
          <w:szCs w:val="22"/>
        </w:rPr>
      </w:pPr>
      <w:r w:rsidRPr="003018E0">
        <w:rPr>
          <w:color w:val="000000"/>
          <w:szCs w:val="22"/>
        </w:rPr>
        <w:t xml:space="preserve">Cieľom návrhu </w:t>
      </w:r>
      <w:r w:rsidR="00A2235B">
        <w:rPr>
          <w:color w:val="000000"/>
          <w:szCs w:val="22"/>
        </w:rPr>
        <w:t xml:space="preserve">smernice </w:t>
      </w:r>
      <w:r w:rsidRPr="003018E0">
        <w:rPr>
          <w:color w:val="000000"/>
          <w:szCs w:val="22"/>
        </w:rPr>
        <w:t>je</w:t>
      </w:r>
      <w:r w:rsidR="001432F0">
        <w:rPr>
          <w:color w:val="000000"/>
          <w:szCs w:val="22"/>
        </w:rPr>
        <w:t xml:space="preserve"> </w:t>
      </w:r>
      <w:r w:rsidR="001432F0" w:rsidRPr="00C66B18">
        <w:rPr>
          <w:noProof/>
        </w:rPr>
        <w:t>znížiť záťaž spojenú s vykazovaním a posilniť konkurencieschopnos</w:t>
      </w:r>
      <w:r w:rsidR="001432F0">
        <w:rPr>
          <w:noProof/>
        </w:rPr>
        <w:t>ť podnikov EÚ,</w:t>
      </w:r>
      <w:r w:rsidR="008D173C">
        <w:rPr>
          <w:noProof/>
        </w:rPr>
        <w:t xml:space="preserve"> </w:t>
      </w:r>
      <w:r w:rsidR="001432F0" w:rsidRPr="00C66B18">
        <w:rPr>
          <w:noProof/>
        </w:rPr>
        <w:t>pričom by sa zároveň mali zachovať ciele politiky obsiahnuté v Európskej zelenej dohode</w:t>
      </w:r>
      <w:r w:rsidR="001432F0" w:rsidRPr="00C66B18">
        <w:rPr>
          <w:rStyle w:val="Odkaznapoznmkupodiarou"/>
          <w:noProof/>
        </w:rPr>
        <w:footnoteReference w:id="1"/>
      </w:r>
      <w:r w:rsidR="001432F0" w:rsidRPr="00C66B18">
        <w:rPr>
          <w:noProof/>
        </w:rPr>
        <w:t xml:space="preserve"> a akčnom pláne o udržateľnom financovaní</w:t>
      </w:r>
      <w:r w:rsidR="001432F0" w:rsidRPr="00C66B18">
        <w:rPr>
          <w:rStyle w:val="Odkaznapoznmkupodiarou"/>
          <w:noProof/>
        </w:rPr>
        <w:footnoteReference w:id="2"/>
      </w:r>
      <w:r w:rsidR="001432F0" w:rsidRPr="00C66B18">
        <w:rPr>
          <w:noProof/>
        </w:rPr>
        <w:t>.</w:t>
      </w:r>
    </w:p>
    <w:p w14:paraId="2B56927A" w14:textId="77777777" w:rsidR="00E14728" w:rsidRPr="00776079" w:rsidRDefault="00A2235B" w:rsidP="004B77D6">
      <w:pPr>
        <w:spacing w:after="120" w:line="240" w:lineRule="auto"/>
        <w:ind w:left="357" w:right="0" w:firstLine="0"/>
        <w:rPr>
          <w:szCs w:val="24"/>
          <w:u w:val="single"/>
        </w:rPr>
      </w:pPr>
      <w:r>
        <w:rPr>
          <w:szCs w:val="24"/>
          <w:u w:val="single"/>
        </w:rPr>
        <w:lastRenderedPageBreak/>
        <w:t xml:space="preserve">K čl. 1 návrhu smernice: </w:t>
      </w:r>
      <w:r w:rsidR="001432F0">
        <w:rPr>
          <w:szCs w:val="24"/>
          <w:u w:val="single"/>
        </w:rPr>
        <w:t>zmeny smernice 2006/43/ES</w:t>
      </w:r>
      <w:r w:rsidR="00F34021" w:rsidRPr="00776079">
        <w:rPr>
          <w:szCs w:val="24"/>
          <w:u w:val="single"/>
        </w:rPr>
        <w:t xml:space="preserve"> </w:t>
      </w:r>
    </w:p>
    <w:p w14:paraId="333E16BB" w14:textId="77777777" w:rsidR="00A668DB" w:rsidRDefault="00482E39" w:rsidP="008D173C">
      <w:pPr>
        <w:spacing w:after="0" w:line="240" w:lineRule="auto"/>
        <w:ind w:left="357" w:right="0" w:firstLine="0"/>
        <w:rPr>
          <w:noProof/>
        </w:rPr>
      </w:pPr>
      <w:r>
        <w:rPr>
          <w:noProof/>
        </w:rPr>
        <w:t>Podniky, ktorým vznikne povinnosť zahrnúť do</w:t>
      </w:r>
      <w:r w:rsidR="004F7DBD">
        <w:rPr>
          <w:noProof/>
        </w:rPr>
        <w:t xml:space="preserve"> </w:t>
      </w:r>
      <w:r>
        <w:rPr>
          <w:noProof/>
        </w:rPr>
        <w:t>výročnej správy vykazovanie informácií o udržateľnosti</w:t>
      </w:r>
      <w:r w:rsidR="004F7DBD">
        <w:rPr>
          <w:noProof/>
        </w:rPr>
        <w:t xml:space="preserve">, </w:t>
      </w:r>
      <w:r>
        <w:rPr>
          <w:noProof/>
        </w:rPr>
        <w:t>sú povinné podľa čl. 34</w:t>
      </w:r>
      <w:r w:rsidR="00C43855">
        <w:rPr>
          <w:noProof/>
        </w:rPr>
        <w:t xml:space="preserve"> </w:t>
      </w:r>
      <w:r>
        <w:rPr>
          <w:noProof/>
        </w:rPr>
        <w:t>(1) aa</w:t>
      </w:r>
      <w:r w:rsidR="004F7DBD">
        <w:rPr>
          <w:noProof/>
        </w:rPr>
        <w:t>) smernice 2006/43/ES zabezpečiť</w:t>
      </w:r>
      <w:r w:rsidR="008D173C">
        <w:rPr>
          <w:noProof/>
        </w:rPr>
        <w:t xml:space="preserve"> </w:t>
      </w:r>
      <w:r w:rsidR="004F7DBD">
        <w:rPr>
          <w:noProof/>
        </w:rPr>
        <w:t>limitované uistenie</w:t>
      </w:r>
      <w:r w:rsidR="00C43855">
        <w:rPr>
          <w:noProof/>
        </w:rPr>
        <w:t xml:space="preserve"> tohto vykazovania</w:t>
      </w:r>
      <w:r w:rsidR="004F7DBD">
        <w:rPr>
          <w:noProof/>
        </w:rPr>
        <w:t xml:space="preserve">. Súčasné znenie </w:t>
      </w:r>
      <w:r w:rsidR="00A668DB">
        <w:rPr>
          <w:noProof/>
        </w:rPr>
        <w:t xml:space="preserve">čl. 26a (3) </w:t>
      </w:r>
      <w:r w:rsidR="004F7DBD">
        <w:rPr>
          <w:noProof/>
        </w:rPr>
        <w:t>smernice 2006/43/ES pritom pre</w:t>
      </w:r>
      <w:r w:rsidR="008D173C">
        <w:rPr>
          <w:noProof/>
        </w:rPr>
        <w:t>d</w:t>
      </w:r>
      <w:r w:rsidR="004F7DBD">
        <w:rPr>
          <w:noProof/>
        </w:rPr>
        <w:t xml:space="preserve">pokladá v neskoršej fáze prechod na primerané uistenie, ktoré bude </w:t>
      </w:r>
      <w:r w:rsidR="00A668DB">
        <w:rPr>
          <w:noProof/>
        </w:rPr>
        <w:t xml:space="preserve">vyžadovať vyššie finančné náklady. </w:t>
      </w:r>
      <w:r w:rsidR="001E3599">
        <w:rPr>
          <w:noProof/>
        </w:rPr>
        <w:t>S cieľom predísť zvýšeniu nákladov na uistenie pre podniky</w:t>
      </w:r>
      <w:r w:rsidR="008D173C">
        <w:rPr>
          <w:noProof/>
        </w:rPr>
        <w:t xml:space="preserve"> </w:t>
      </w:r>
      <w:r w:rsidR="001E3599">
        <w:rPr>
          <w:noProof/>
        </w:rPr>
        <w:t>sa u</w:t>
      </w:r>
      <w:r w:rsidR="004F7DBD">
        <w:rPr>
          <w:noProof/>
        </w:rPr>
        <w:t>vedené ustanovenie o</w:t>
      </w:r>
      <w:r w:rsidR="00A668DB">
        <w:rPr>
          <w:noProof/>
        </w:rPr>
        <w:t xml:space="preserve"> možnosti </w:t>
      </w:r>
      <w:r w:rsidR="004F7DBD">
        <w:rPr>
          <w:noProof/>
        </w:rPr>
        <w:t>prechod</w:t>
      </w:r>
      <w:r w:rsidR="00A668DB">
        <w:rPr>
          <w:noProof/>
        </w:rPr>
        <w:t>u</w:t>
      </w:r>
      <w:r w:rsidR="004F7DBD">
        <w:rPr>
          <w:noProof/>
        </w:rPr>
        <w:t xml:space="preserve"> na prime</w:t>
      </w:r>
      <w:r w:rsidR="00A668DB">
        <w:rPr>
          <w:noProof/>
        </w:rPr>
        <w:t>rané uistenie</w:t>
      </w:r>
      <w:r w:rsidR="008D173C">
        <w:rPr>
          <w:noProof/>
        </w:rPr>
        <w:t xml:space="preserve"> </w:t>
      </w:r>
      <w:r w:rsidR="00A668DB">
        <w:rPr>
          <w:noProof/>
        </w:rPr>
        <w:t>návrhom ruší. Zároveň sa tiež ruší povinnosť pre EK vydať štandardy k limitovanému uisteniu do 1. októbra 2026, pričom EK sa v tejto oblasti zaväzuje</w:t>
      </w:r>
      <w:r w:rsidR="001E3599">
        <w:rPr>
          <w:noProof/>
        </w:rPr>
        <w:t xml:space="preserve"> </w:t>
      </w:r>
      <w:r w:rsidR="00A668DB">
        <w:rPr>
          <w:noProof/>
        </w:rPr>
        <w:t>vyda</w:t>
      </w:r>
      <w:r w:rsidR="001E3599">
        <w:rPr>
          <w:noProof/>
        </w:rPr>
        <w:t>ť do roku 2026</w:t>
      </w:r>
      <w:r w:rsidR="00A668DB">
        <w:rPr>
          <w:noProof/>
        </w:rPr>
        <w:t xml:space="preserve"> cielen</w:t>
      </w:r>
      <w:r w:rsidR="001E3599">
        <w:rPr>
          <w:noProof/>
        </w:rPr>
        <w:t>é</w:t>
      </w:r>
      <w:r w:rsidR="00A668DB">
        <w:rPr>
          <w:noProof/>
        </w:rPr>
        <w:t xml:space="preserve"> usmernen</w:t>
      </w:r>
      <w:r w:rsidR="001E3599">
        <w:rPr>
          <w:noProof/>
        </w:rPr>
        <w:t>ia</w:t>
      </w:r>
      <w:r w:rsidR="00A668DB">
        <w:rPr>
          <w:noProof/>
        </w:rPr>
        <w:t xml:space="preserve"> </w:t>
      </w:r>
      <w:r w:rsidR="00A668DB" w:rsidRPr="00C66B18">
        <w:rPr>
          <w:noProof/>
        </w:rPr>
        <w:t>pre uistenie, v ktorých objasní potrebné postupy, ktoré majú poskytovatelia uistenia vykonávať v rámci svojej zákazky na limitované uistenie</w:t>
      </w:r>
      <w:r w:rsidR="001E3599">
        <w:rPr>
          <w:noProof/>
        </w:rPr>
        <w:t>.</w:t>
      </w:r>
      <w:r w:rsidR="00A668DB">
        <w:rPr>
          <w:noProof/>
        </w:rPr>
        <w:t xml:space="preserve"> </w:t>
      </w:r>
    </w:p>
    <w:p w14:paraId="6FFAD78D" w14:textId="77777777" w:rsidR="008D173C" w:rsidRDefault="008D173C" w:rsidP="008D173C">
      <w:pPr>
        <w:spacing w:after="0" w:line="240" w:lineRule="auto"/>
        <w:ind w:left="357" w:right="0" w:firstLine="0"/>
        <w:rPr>
          <w:noProof/>
        </w:rPr>
      </w:pPr>
    </w:p>
    <w:p w14:paraId="052C3157" w14:textId="77777777" w:rsidR="00A2235B" w:rsidRDefault="00A2235B" w:rsidP="00C84800">
      <w:pPr>
        <w:pStyle w:val="Default"/>
        <w:spacing w:after="120"/>
        <w:ind w:left="357"/>
        <w:jc w:val="both"/>
        <w:rPr>
          <w:color w:val="auto"/>
          <w:u w:val="single"/>
        </w:rPr>
      </w:pPr>
      <w:r w:rsidRPr="00A2235B">
        <w:rPr>
          <w:color w:val="auto"/>
          <w:u w:val="single"/>
        </w:rPr>
        <w:t xml:space="preserve">K čl. 2 návrhu smernice: </w:t>
      </w:r>
      <w:r w:rsidR="001E3599">
        <w:rPr>
          <w:color w:val="auto"/>
          <w:u w:val="single"/>
        </w:rPr>
        <w:t>zmeny</w:t>
      </w:r>
      <w:r w:rsidRPr="00A2235B">
        <w:rPr>
          <w:color w:val="auto"/>
          <w:u w:val="single"/>
        </w:rPr>
        <w:t xml:space="preserve"> smernice </w:t>
      </w:r>
      <w:r w:rsidR="001E3599">
        <w:rPr>
          <w:color w:val="auto"/>
          <w:u w:val="single"/>
        </w:rPr>
        <w:t>2013/34/EÚ</w:t>
      </w:r>
    </w:p>
    <w:p w14:paraId="0B6D867D" w14:textId="77777777" w:rsidR="00157292" w:rsidRDefault="00157292" w:rsidP="007B2B39">
      <w:pPr>
        <w:pStyle w:val="Default"/>
        <w:ind w:left="357"/>
        <w:jc w:val="both"/>
        <w:rPr>
          <w:noProof/>
        </w:rPr>
      </w:pPr>
      <w:r>
        <w:rPr>
          <w:noProof/>
        </w:rPr>
        <w:t>Medzi n</w:t>
      </w:r>
      <w:r w:rsidR="001D69C0">
        <w:rPr>
          <w:noProof/>
        </w:rPr>
        <w:t>ajvýznamnejš</w:t>
      </w:r>
      <w:r>
        <w:rPr>
          <w:noProof/>
        </w:rPr>
        <w:t>ie</w:t>
      </w:r>
      <w:r w:rsidR="001D69C0">
        <w:rPr>
          <w:noProof/>
        </w:rPr>
        <w:t xml:space="preserve"> zmen</w:t>
      </w:r>
      <w:r>
        <w:rPr>
          <w:noProof/>
        </w:rPr>
        <w:t>y</w:t>
      </w:r>
      <w:r w:rsidR="001D69C0">
        <w:rPr>
          <w:noProof/>
        </w:rPr>
        <w:t xml:space="preserve"> tohto článku </w:t>
      </w:r>
      <w:r>
        <w:rPr>
          <w:noProof/>
        </w:rPr>
        <w:t>patrí:</w:t>
      </w:r>
    </w:p>
    <w:p w14:paraId="03CD1F83" w14:textId="77777777" w:rsidR="00157292" w:rsidRPr="00157292" w:rsidRDefault="001D69C0" w:rsidP="00843235">
      <w:pPr>
        <w:pStyle w:val="Default"/>
        <w:numPr>
          <w:ilvl w:val="0"/>
          <w:numId w:val="19"/>
        </w:numPr>
        <w:spacing w:before="60" w:after="60"/>
        <w:ind w:left="714" w:hanging="357"/>
        <w:jc w:val="both"/>
        <w:rPr>
          <w:noProof/>
          <w:u w:val="single"/>
        </w:rPr>
      </w:pPr>
      <w:r w:rsidRPr="00157292">
        <w:rPr>
          <w:noProof/>
          <w:u w:val="single"/>
        </w:rPr>
        <w:t xml:space="preserve">významné zníženie rozsahu vykazujúcich podnikov </w:t>
      </w:r>
      <w:r w:rsidR="00C43855">
        <w:rPr>
          <w:noProof/>
          <w:u w:val="single"/>
        </w:rPr>
        <w:t>[</w:t>
      </w:r>
      <w:r w:rsidRPr="00157292">
        <w:rPr>
          <w:noProof/>
          <w:u w:val="single"/>
        </w:rPr>
        <w:t>čl. 19a (1)</w:t>
      </w:r>
      <w:r w:rsidR="00B739F5">
        <w:rPr>
          <w:noProof/>
          <w:u w:val="single"/>
        </w:rPr>
        <w:t>, čl. 29a</w:t>
      </w:r>
      <w:r w:rsidR="00C43855">
        <w:rPr>
          <w:noProof/>
          <w:u w:val="single"/>
        </w:rPr>
        <w:t xml:space="preserve"> </w:t>
      </w:r>
      <w:r w:rsidR="00B739F5">
        <w:rPr>
          <w:noProof/>
          <w:u w:val="single"/>
        </w:rPr>
        <w:t>(1)</w:t>
      </w:r>
      <w:r w:rsidR="00A2547D">
        <w:rPr>
          <w:noProof/>
          <w:u w:val="single"/>
        </w:rPr>
        <w:t>, čl. 40a</w:t>
      </w:r>
      <w:r w:rsidR="00C43855">
        <w:rPr>
          <w:noProof/>
          <w:u w:val="single"/>
        </w:rPr>
        <w:t>]</w:t>
      </w:r>
      <w:r w:rsidRPr="00157292">
        <w:rPr>
          <w:noProof/>
          <w:u w:val="single"/>
        </w:rPr>
        <w:t xml:space="preserve"> </w:t>
      </w:r>
    </w:p>
    <w:p w14:paraId="6F3E9D9C" w14:textId="77777777" w:rsidR="001D69C0" w:rsidRDefault="001D69C0" w:rsidP="00157292">
      <w:pPr>
        <w:pStyle w:val="Default"/>
        <w:ind w:left="357"/>
        <w:jc w:val="both"/>
        <w:rPr>
          <w:noProof/>
        </w:rPr>
      </w:pPr>
      <w:r>
        <w:rPr>
          <w:noProof/>
        </w:rPr>
        <w:t xml:space="preserve">Podľa súčasného znenia čl. 19a (1) smernice 2013/34/EÚ majú povinnosť zahrnúť </w:t>
      </w:r>
      <w:r w:rsidR="008D173C">
        <w:rPr>
          <w:noProof/>
        </w:rPr>
        <w:br/>
      </w:r>
      <w:r>
        <w:rPr>
          <w:noProof/>
        </w:rPr>
        <w:t>do výročnej správy vykazovanie informácií o udržateľnosti veľké podniky</w:t>
      </w:r>
      <w:r w:rsidR="008D173C">
        <w:rPr>
          <w:noProof/>
        </w:rPr>
        <w:t xml:space="preserve"> </w:t>
      </w:r>
      <w:r>
        <w:rPr>
          <w:noProof/>
        </w:rPr>
        <w:t>a</w:t>
      </w:r>
      <w:r w:rsidR="008D173C">
        <w:rPr>
          <w:noProof/>
        </w:rPr>
        <w:t xml:space="preserve"> </w:t>
      </w:r>
      <w:r w:rsidRPr="00C66B18">
        <w:rPr>
          <w:noProof/>
        </w:rPr>
        <w:t>malé a stredné podniky, ktorých cenné papiere sú prijaté na obchodovanie na regulovanom trhu EÚ s výnimkou mikropodnikov</w:t>
      </w:r>
      <w:r>
        <w:rPr>
          <w:noProof/>
        </w:rPr>
        <w:t xml:space="preserve">. </w:t>
      </w:r>
      <w:r w:rsidRPr="00C66B18">
        <w:rPr>
          <w:noProof/>
        </w:rPr>
        <w:t>V snahe zmierniť zaťaženie podnikov spojené s vykazovaním</w:t>
      </w:r>
      <w:r w:rsidR="008D173C">
        <w:rPr>
          <w:noProof/>
        </w:rPr>
        <w:t xml:space="preserve"> </w:t>
      </w:r>
      <w:r w:rsidRPr="00C66B18">
        <w:rPr>
          <w:noProof/>
        </w:rPr>
        <w:t>sa</w:t>
      </w:r>
      <w:r>
        <w:rPr>
          <w:noProof/>
        </w:rPr>
        <w:t xml:space="preserve"> navrhuje, aby tejto povinnosti</w:t>
      </w:r>
      <w:r w:rsidR="00B739F5">
        <w:rPr>
          <w:noProof/>
        </w:rPr>
        <w:t xml:space="preserve"> na úrovni individuálnej výročnej správy</w:t>
      </w:r>
      <w:r>
        <w:rPr>
          <w:noProof/>
        </w:rPr>
        <w:t xml:space="preserve"> podliehali len</w:t>
      </w:r>
      <w:r w:rsidRPr="00C66B18">
        <w:rPr>
          <w:noProof/>
        </w:rPr>
        <w:t xml:space="preserve"> veľké podniky s priemerným počtom viac než 1 000 zamestnancov počas účtovného roka.</w:t>
      </w:r>
      <w:r w:rsidR="00B739F5">
        <w:rPr>
          <w:noProof/>
        </w:rPr>
        <w:t xml:space="preserve"> Rovnako sa obmedzuje rozsah tejto povinnosti na úrovni konsolidovanej výročnej správy</w:t>
      </w:r>
      <w:r w:rsidR="008D173C">
        <w:rPr>
          <w:noProof/>
        </w:rPr>
        <w:br/>
      </w:r>
      <w:r w:rsidR="00B739F5" w:rsidRPr="00C66B18">
        <w:rPr>
          <w:noProof/>
        </w:rPr>
        <w:t xml:space="preserve">na materské podniky veľkých skupín s priemerným počtom viac než 1 000 zamestnancov </w:t>
      </w:r>
      <w:r w:rsidR="00506C8F">
        <w:rPr>
          <w:noProof/>
        </w:rPr>
        <w:br/>
      </w:r>
      <w:r w:rsidR="00B739F5" w:rsidRPr="00C66B18">
        <w:rPr>
          <w:noProof/>
        </w:rPr>
        <w:t>na konsolidovanom základe počas účtovného roka</w:t>
      </w:r>
      <w:r w:rsidR="00217971">
        <w:rPr>
          <w:noProof/>
        </w:rPr>
        <w:t>.</w:t>
      </w:r>
      <w:r w:rsidR="00A2547D">
        <w:rPr>
          <w:noProof/>
        </w:rPr>
        <w:t xml:space="preserve"> Vo vzťahu </w:t>
      </w:r>
      <w:r w:rsidR="00730356">
        <w:rPr>
          <w:noProof/>
        </w:rPr>
        <w:t xml:space="preserve">k povinnosti uložiť </w:t>
      </w:r>
      <w:r w:rsidR="00A2547D">
        <w:rPr>
          <w:noProof/>
        </w:rPr>
        <w:t>správ</w:t>
      </w:r>
      <w:r w:rsidR="00730356">
        <w:rPr>
          <w:noProof/>
        </w:rPr>
        <w:t>u</w:t>
      </w:r>
      <w:r w:rsidR="00A2547D">
        <w:rPr>
          <w:noProof/>
        </w:rPr>
        <w:t xml:space="preserve"> o udržateľnost</w:t>
      </w:r>
      <w:r w:rsidR="00730356">
        <w:rPr>
          <w:noProof/>
        </w:rPr>
        <w:t>i</w:t>
      </w:r>
      <w:r w:rsidR="00A2547D">
        <w:rPr>
          <w:noProof/>
        </w:rPr>
        <w:t xml:space="preserve"> uprav</w:t>
      </w:r>
      <w:r w:rsidR="00730356">
        <w:rPr>
          <w:noProof/>
        </w:rPr>
        <w:t>enú</w:t>
      </w:r>
      <w:r w:rsidR="00A2547D">
        <w:rPr>
          <w:noProof/>
        </w:rPr>
        <w:t xml:space="preserve"> v čl. 40a smernice 2013/34/EÚ</w:t>
      </w:r>
      <w:r w:rsidR="00730356">
        <w:rPr>
          <w:noProof/>
        </w:rPr>
        <w:t>, ktorá sa</w:t>
      </w:r>
      <w:r w:rsidR="00A2547D">
        <w:rPr>
          <w:noProof/>
        </w:rPr>
        <w:t xml:space="preserve"> týka vykazovania informácií o udržateľnosti </w:t>
      </w:r>
      <w:r w:rsidR="00506C8F">
        <w:rPr>
          <w:noProof/>
        </w:rPr>
        <w:t xml:space="preserve">na úrovni skupiny </w:t>
      </w:r>
      <w:r w:rsidR="00A2547D">
        <w:rPr>
          <w:noProof/>
        </w:rPr>
        <w:t>zahraničn</w:t>
      </w:r>
      <w:r w:rsidR="00506C8F">
        <w:rPr>
          <w:noProof/>
        </w:rPr>
        <w:t>ého</w:t>
      </w:r>
      <w:r w:rsidR="00A2547D">
        <w:rPr>
          <w:noProof/>
        </w:rPr>
        <w:t xml:space="preserve"> </w:t>
      </w:r>
      <w:r w:rsidR="00506C8F">
        <w:rPr>
          <w:noProof/>
        </w:rPr>
        <w:t xml:space="preserve">konečného </w:t>
      </w:r>
      <w:r w:rsidR="00A2547D">
        <w:rPr>
          <w:noProof/>
        </w:rPr>
        <w:t>matersk</w:t>
      </w:r>
      <w:r w:rsidR="00506C8F">
        <w:rPr>
          <w:noProof/>
        </w:rPr>
        <w:t>ého</w:t>
      </w:r>
      <w:r w:rsidR="00A2547D">
        <w:rPr>
          <w:noProof/>
        </w:rPr>
        <w:t xml:space="preserve"> subjekt</w:t>
      </w:r>
      <w:r w:rsidR="00506C8F">
        <w:rPr>
          <w:noProof/>
        </w:rPr>
        <w:t>u</w:t>
      </w:r>
      <w:r w:rsidR="00730356">
        <w:rPr>
          <w:noProof/>
        </w:rPr>
        <w:t xml:space="preserve">, </w:t>
      </w:r>
      <w:r w:rsidR="00A2547D">
        <w:rPr>
          <w:noProof/>
        </w:rPr>
        <w:t xml:space="preserve"> sa navrhuj</w:t>
      </w:r>
      <w:r w:rsidR="00506C8F">
        <w:rPr>
          <w:noProof/>
        </w:rPr>
        <w:t>e</w:t>
      </w:r>
      <w:r w:rsidR="00730356">
        <w:rPr>
          <w:noProof/>
        </w:rPr>
        <w:t xml:space="preserve"> j</w:t>
      </w:r>
      <w:r w:rsidR="00506C8F">
        <w:rPr>
          <w:noProof/>
        </w:rPr>
        <w:t>ej</w:t>
      </w:r>
      <w:r w:rsidR="00730356">
        <w:rPr>
          <w:noProof/>
        </w:rPr>
        <w:t xml:space="preserve"> obmedz</w:t>
      </w:r>
      <w:r w:rsidR="00506C8F">
        <w:rPr>
          <w:noProof/>
        </w:rPr>
        <w:t>enie len</w:t>
      </w:r>
      <w:r w:rsidR="00730356">
        <w:rPr>
          <w:noProof/>
        </w:rPr>
        <w:t xml:space="preserve"> na veľké účtovné jednotky.</w:t>
      </w:r>
    </w:p>
    <w:p w14:paraId="50314C47" w14:textId="77777777" w:rsidR="00157292" w:rsidRDefault="00157292" w:rsidP="00843235">
      <w:pPr>
        <w:pStyle w:val="Default"/>
        <w:numPr>
          <w:ilvl w:val="0"/>
          <w:numId w:val="19"/>
        </w:numPr>
        <w:spacing w:before="60" w:after="60"/>
        <w:ind w:left="714" w:hanging="357"/>
        <w:jc w:val="both"/>
        <w:rPr>
          <w:noProof/>
        </w:rPr>
      </w:pPr>
      <w:r w:rsidRPr="00157292">
        <w:rPr>
          <w:noProof/>
          <w:u w:val="single"/>
        </w:rPr>
        <w:t>hodnotový reťazec</w:t>
      </w:r>
      <w:r w:rsidR="00C43855" w:rsidRPr="00157292">
        <w:rPr>
          <w:noProof/>
          <w:u w:val="single"/>
        </w:rPr>
        <w:t xml:space="preserve"> </w:t>
      </w:r>
      <w:r w:rsidR="00C43855">
        <w:rPr>
          <w:noProof/>
          <w:u w:val="single"/>
        </w:rPr>
        <w:t>[</w:t>
      </w:r>
      <w:r w:rsidRPr="00157292">
        <w:rPr>
          <w:noProof/>
          <w:u w:val="single"/>
        </w:rPr>
        <w:t>čl. 19a</w:t>
      </w:r>
      <w:r>
        <w:rPr>
          <w:noProof/>
          <w:u w:val="single"/>
        </w:rPr>
        <w:t xml:space="preserve"> </w:t>
      </w:r>
      <w:r w:rsidRPr="00157292">
        <w:rPr>
          <w:noProof/>
          <w:u w:val="single"/>
        </w:rPr>
        <w:t>(3)</w:t>
      </w:r>
      <w:r>
        <w:rPr>
          <w:noProof/>
          <w:u w:val="single"/>
        </w:rPr>
        <w:t>,</w:t>
      </w:r>
      <w:r w:rsidR="00217971">
        <w:rPr>
          <w:noProof/>
          <w:u w:val="single"/>
        </w:rPr>
        <w:t xml:space="preserve"> čl. 29a (3)</w:t>
      </w:r>
      <w:r w:rsidR="00ED32D3">
        <w:rPr>
          <w:noProof/>
          <w:u w:val="single"/>
        </w:rPr>
        <w:t>, čl. 29b (4),</w:t>
      </w:r>
      <w:r w:rsidR="008D173C">
        <w:rPr>
          <w:noProof/>
          <w:u w:val="single"/>
        </w:rPr>
        <w:t xml:space="preserve"> </w:t>
      </w:r>
      <w:r w:rsidR="00ED32D3">
        <w:rPr>
          <w:noProof/>
          <w:u w:val="single"/>
        </w:rPr>
        <w:t>čl. 34 (2a)</w:t>
      </w:r>
      <w:r w:rsidR="00C43855">
        <w:rPr>
          <w:noProof/>
          <w:u w:val="single"/>
        </w:rPr>
        <w:t>]</w:t>
      </w:r>
      <w:r>
        <w:rPr>
          <w:noProof/>
          <w:u w:val="single"/>
        </w:rPr>
        <w:t xml:space="preserve"> </w:t>
      </w:r>
    </w:p>
    <w:p w14:paraId="0E481B22" w14:textId="77777777" w:rsidR="00157292" w:rsidRDefault="00157292" w:rsidP="00ED32D3">
      <w:pPr>
        <w:pStyle w:val="Default"/>
        <w:ind w:left="357"/>
        <w:jc w:val="both"/>
        <w:rPr>
          <w:noProof/>
        </w:rPr>
      </w:pPr>
      <w:r w:rsidRPr="00C66B18">
        <w:rPr>
          <w:noProof/>
        </w:rPr>
        <w:t xml:space="preserve">V článku 19a ods. 3 smernice 2013/34/EÚ sa vyžaduje, aby podniky vykazovali informácie o vlastných činnostiach a o svojom hodnotovom reťazci. </w:t>
      </w:r>
      <w:r>
        <w:rPr>
          <w:noProof/>
        </w:rPr>
        <w:t>V snahe</w:t>
      </w:r>
      <w:r w:rsidR="008D173C">
        <w:rPr>
          <w:noProof/>
        </w:rPr>
        <w:t xml:space="preserve"> </w:t>
      </w:r>
      <w:r w:rsidRPr="00C66B18">
        <w:rPr>
          <w:noProof/>
        </w:rPr>
        <w:t>znížiť záťaž spojenú s vykazovaním pre tie podniky v hodnotovom reťazci, ktoré nie sú povinné vykazovať informácie o svojej udržateľnosti</w:t>
      </w:r>
      <w:r w:rsidR="00C43855">
        <w:rPr>
          <w:noProof/>
        </w:rPr>
        <w:t>,</w:t>
      </w:r>
      <w:r>
        <w:rPr>
          <w:noProof/>
        </w:rPr>
        <w:t xml:space="preserve"> by </w:t>
      </w:r>
      <w:r w:rsidR="00C43855">
        <w:rPr>
          <w:noProof/>
        </w:rPr>
        <w:t xml:space="preserve">sa </w:t>
      </w:r>
      <w:r>
        <w:rPr>
          <w:noProof/>
        </w:rPr>
        <w:t>v</w:t>
      </w:r>
      <w:r w:rsidRPr="00C66B18">
        <w:rPr>
          <w:noProof/>
        </w:rPr>
        <w:t>ykazujúci podnik na účely vykazovania informácií o udržateľnosti nemal snažiť získať od podnikov usadených v Únii alebo mimo nej v jeho hodnotovom reťazci, ktoré majú v priebehu účtovného roka v priemere do 1 000 zamestnancov, žiadne informácie, ktoré presahujú rámec informácií uvedených v štandardoch na dobrovoľné použitie podnikmi, od ktorých sa vykazovanie informácií o ich udržateľnosti nevyžaduje.</w:t>
      </w:r>
      <w:r w:rsidR="00217971">
        <w:rPr>
          <w:noProof/>
        </w:rPr>
        <w:t xml:space="preserve"> Uvedené sa navrhuje aj vo vzťahu ku konsolidovanému vykazovaniu informácií o udržateľnosti.</w:t>
      </w:r>
      <w:r w:rsidR="00ED32D3">
        <w:rPr>
          <w:noProof/>
        </w:rPr>
        <w:t xml:space="preserve"> Zároveň sa upresňuje, že uvedené obmedzenie má byť rešpektované aj v rámci požiadaviek štandardov vykazovania informácií o udržateľnosti ako aj na účely vyhotovenia názoru týkajúceho sa uistenia.</w:t>
      </w:r>
    </w:p>
    <w:p w14:paraId="7F45AAEF" w14:textId="77777777" w:rsidR="00506C8F" w:rsidRDefault="00506C8F" w:rsidP="00ED32D3">
      <w:pPr>
        <w:pStyle w:val="Default"/>
        <w:ind w:left="357"/>
        <w:jc w:val="both"/>
        <w:rPr>
          <w:noProof/>
        </w:rPr>
      </w:pPr>
    </w:p>
    <w:p w14:paraId="2EBB8CE2" w14:textId="77777777" w:rsidR="001D69C0" w:rsidRDefault="00B739F5" w:rsidP="00506C8F">
      <w:pPr>
        <w:pStyle w:val="Default"/>
        <w:numPr>
          <w:ilvl w:val="0"/>
          <w:numId w:val="19"/>
        </w:numPr>
        <w:spacing w:after="60"/>
        <w:ind w:left="714" w:hanging="357"/>
        <w:jc w:val="both"/>
        <w:rPr>
          <w:noProof/>
          <w:u w:val="single"/>
        </w:rPr>
      </w:pPr>
      <w:r w:rsidRPr="00B739F5">
        <w:rPr>
          <w:noProof/>
          <w:u w:val="single"/>
        </w:rPr>
        <w:t>ESRS (</w:t>
      </w:r>
      <w:r>
        <w:rPr>
          <w:noProof/>
          <w:u w:val="single"/>
        </w:rPr>
        <w:t>európske štandardy vykazovania informácií o udržateľnosti)</w:t>
      </w:r>
      <w:r w:rsidR="00ED32D3" w:rsidRPr="00ED32D3">
        <w:rPr>
          <w:noProof/>
          <w:u w:val="single"/>
        </w:rPr>
        <w:t xml:space="preserve"> </w:t>
      </w:r>
      <w:r w:rsidR="00ED32D3">
        <w:rPr>
          <w:noProof/>
          <w:u w:val="single"/>
        </w:rPr>
        <w:t>[čl. 29b (1)</w:t>
      </w:r>
      <w:r w:rsidR="0006356D">
        <w:rPr>
          <w:noProof/>
          <w:u w:val="single"/>
        </w:rPr>
        <w:t>, čl. 29ca</w:t>
      </w:r>
      <w:r w:rsidR="00ED32D3">
        <w:rPr>
          <w:noProof/>
          <w:u w:val="single"/>
        </w:rPr>
        <w:t>]</w:t>
      </w:r>
    </w:p>
    <w:p w14:paraId="6C188FE4" w14:textId="77777777" w:rsidR="00B739F5" w:rsidRDefault="00217971" w:rsidP="00B739F5">
      <w:pPr>
        <w:pStyle w:val="Default"/>
        <w:ind w:left="357"/>
        <w:jc w:val="both"/>
        <w:rPr>
          <w:noProof/>
        </w:rPr>
      </w:pPr>
      <w:r>
        <w:rPr>
          <w:noProof/>
        </w:rPr>
        <w:t>V snahe zabrániť zvýšeniu</w:t>
      </w:r>
      <w:r w:rsidR="008D173C">
        <w:rPr>
          <w:noProof/>
        </w:rPr>
        <w:t xml:space="preserve"> </w:t>
      </w:r>
      <w:r>
        <w:rPr>
          <w:noProof/>
        </w:rPr>
        <w:t>administratívnej záťaže sa n</w:t>
      </w:r>
      <w:r w:rsidR="00B739F5" w:rsidRPr="00217971">
        <w:rPr>
          <w:noProof/>
        </w:rPr>
        <w:t xml:space="preserve">avrhuje </w:t>
      </w:r>
      <w:r>
        <w:rPr>
          <w:noProof/>
        </w:rPr>
        <w:t>zrušiť spln</w:t>
      </w:r>
      <w:r w:rsidR="00506C8F">
        <w:rPr>
          <w:noProof/>
        </w:rPr>
        <w:t>o</w:t>
      </w:r>
      <w:r>
        <w:rPr>
          <w:noProof/>
        </w:rPr>
        <w:t>mocňovacie ustanovenie EK na prijatie odvetvových štandardov vykazovania. Zrušiť sa navrhujú aj</w:t>
      </w:r>
      <w:r w:rsidR="008D173C">
        <w:rPr>
          <w:noProof/>
        </w:rPr>
        <w:t xml:space="preserve"> </w:t>
      </w:r>
      <w:r w:rsidRPr="00217971">
        <w:rPr>
          <w:noProof/>
        </w:rPr>
        <w:t xml:space="preserve">štandardy pre </w:t>
      </w:r>
      <w:r w:rsidR="00B739F5" w:rsidRPr="00217971">
        <w:rPr>
          <w:noProof/>
        </w:rPr>
        <w:t>stredn</w:t>
      </w:r>
      <w:r w:rsidRPr="00217971">
        <w:rPr>
          <w:noProof/>
        </w:rPr>
        <w:t>é podniky a </w:t>
      </w:r>
      <w:r w:rsidR="00B739F5" w:rsidRPr="00217971">
        <w:rPr>
          <w:noProof/>
        </w:rPr>
        <w:t>mal</w:t>
      </w:r>
      <w:r w:rsidRPr="00217971">
        <w:rPr>
          <w:noProof/>
        </w:rPr>
        <w:t>é podniky, ktorých ce</w:t>
      </w:r>
      <w:r w:rsidR="0006356D">
        <w:rPr>
          <w:noProof/>
        </w:rPr>
        <w:t>n</w:t>
      </w:r>
      <w:r w:rsidRPr="00217971">
        <w:rPr>
          <w:noProof/>
        </w:rPr>
        <w:t>né papiere sú prijaté na obchodovanie na regulovanom trhu EÚ</w:t>
      </w:r>
      <w:r>
        <w:rPr>
          <w:noProof/>
        </w:rPr>
        <w:t xml:space="preserve">, a to </w:t>
      </w:r>
      <w:r w:rsidRPr="00217971">
        <w:rPr>
          <w:noProof/>
        </w:rPr>
        <w:t xml:space="preserve">v nadväznosti na ich vyňatie z rozsahu vykazujúcich podnikov. </w:t>
      </w:r>
      <w:r w:rsidR="0006356D">
        <w:rPr>
          <w:noProof/>
        </w:rPr>
        <w:t>S cieľom podpory dobrovoľného uplatňovania vykazovania informácií o udržateľnosti podnikmi, ktoré nie sú v rozsahu povinnosti vykazovania, sa EK zaväzuje vydať dobrovoľné štandardy formou delegovaného aktu.</w:t>
      </w:r>
    </w:p>
    <w:p w14:paraId="05551D36" w14:textId="77777777" w:rsidR="00AB00CD" w:rsidRPr="00217971" w:rsidRDefault="00AB00CD" w:rsidP="00843235">
      <w:pPr>
        <w:pStyle w:val="Default"/>
        <w:numPr>
          <w:ilvl w:val="0"/>
          <w:numId w:val="19"/>
        </w:numPr>
        <w:spacing w:before="60" w:after="60"/>
        <w:ind w:left="714" w:hanging="357"/>
        <w:jc w:val="both"/>
        <w:rPr>
          <w:noProof/>
        </w:rPr>
      </w:pPr>
      <w:r w:rsidRPr="00AB00CD">
        <w:rPr>
          <w:noProof/>
          <w:u w:val="single"/>
        </w:rPr>
        <w:t>taxonómia súvisia</w:t>
      </w:r>
      <w:r>
        <w:rPr>
          <w:noProof/>
          <w:u w:val="single"/>
        </w:rPr>
        <w:t>ca</w:t>
      </w:r>
      <w:r w:rsidRPr="00AB00CD">
        <w:rPr>
          <w:noProof/>
          <w:u w:val="single"/>
        </w:rPr>
        <w:t xml:space="preserve"> s vykazovaním </w:t>
      </w:r>
      <w:r w:rsidR="0023568B">
        <w:rPr>
          <w:noProof/>
          <w:u w:val="single"/>
        </w:rPr>
        <w:t>[</w:t>
      </w:r>
      <w:r w:rsidRPr="00AB00CD">
        <w:rPr>
          <w:noProof/>
          <w:u w:val="single"/>
        </w:rPr>
        <w:t>čl. 19b a</w:t>
      </w:r>
      <w:r w:rsidR="0006356D">
        <w:rPr>
          <w:noProof/>
          <w:u w:val="single"/>
        </w:rPr>
        <w:t xml:space="preserve"> čl. </w:t>
      </w:r>
      <w:r w:rsidRPr="00AB00CD">
        <w:rPr>
          <w:noProof/>
          <w:u w:val="single"/>
        </w:rPr>
        <w:t>29aa</w:t>
      </w:r>
      <w:r w:rsidR="0023568B">
        <w:rPr>
          <w:noProof/>
          <w:u w:val="single"/>
        </w:rPr>
        <w:t>]</w:t>
      </w:r>
    </w:p>
    <w:p w14:paraId="2D4E4C01" w14:textId="77777777" w:rsidR="001D69C0" w:rsidRDefault="00410822" w:rsidP="00410822">
      <w:pPr>
        <w:pStyle w:val="Tiret0"/>
        <w:numPr>
          <w:ilvl w:val="0"/>
          <w:numId w:val="0"/>
        </w:numPr>
        <w:ind w:left="357"/>
        <w:rPr>
          <w:noProof/>
        </w:rPr>
      </w:pPr>
      <w:r>
        <w:rPr>
          <w:noProof/>
        </w:rPr>
        <w:t xml:space="preserve">Navrhuje sa, aby </w:t>
      </w:r>
      <w:r w:rsidRPr="00C66B18">
        <w:rPr>
          <w:noProof/>
        </w:rPr>
        <w:t>veľkým podnikom, ktoré majú v priemere viac než 1 000 zamestnancov a čistý obrat nepresahujúci 450 000 000 </w:t>
      </w:r>
      <w:r w:rsidR="00362B93">
        <w:rPr>
          <w:noProof/>
        </w:rPr>
        <w:t>eur</w:t>
      </w:r>
      <w:r w:rsidRPr="00C66B18">
        <w:rPr>
          <w:noProof/>
        </w:rPr>
        <w:t xml:space="preserve"> počas účtovného roka, </w:t>
      </w:r>
      <w:r>
        <w:rPr>
          <w:noProof/>
        </w:rPr>
        <w:t>bolo umožnené flexibilnejšie zverejňovanie informácií</w:t>
      </w:r>
      <w:r w:rsidR="008D173C">
        <w:rPr>
          <w:noProof/>
        </w:rPr>
        <w:t xml:space="preserve"> </w:t>
      </w:r>
      <w:r>
        <w:rPr>
          <w:noProof/>
        </w:rPr>
        <w:t>uvedených v článku</w:t>
      </w:r>
      <w:r w:rsidRPr="00410822">
        <w:rPr>
          <w:noProof/>
        </w:rPr>
        <w:t xml:space="preserve"> </w:t>
      </w:r>
      <w:r w:rsidRPr="00C66B18">
        <w:rPr>
          <w:noProof/>
        </w:rPr>
        <w:t>8 nariadenia (EÚ) 2020/852</w:t>
      </w:r>
      <w:r>
        <w:rPr>
          <w:noProof/>
        </w:rPr>
        <w:t>. Uvedené sa navrhuje aj vo vzťahu k materským podnikom.</w:t>
      </w:r>
    </w:p>
    <w:p w14:paraId="2FC67C5C" w14:textId="77777777" w:rsidR="00410822" w:rsidRPr="00217971" w:rsidRDefault="00410822" w:rsidP="00410822">
      <w:pPr>
        <w:pStyle w:val="Default"/>
        <w:numPr>
          <w:ilvl w:val="0"/>
          <w:numId w:val="19"/>
        </w:numPr>
        <w:spacing w:before="60" w:after="60"/>
        <w:ind w:left="714" w:hanging="357"/>
        <w:jc w:val="both"/>
        <w:rPr>
          <w:noProof/>
        </w:rPr>
      </w:pPr>
      <w:r>
        <w:rPr>
          <w:noProof/>
          <w:u w:val="single"/>
        </w:rPr>
        <w:t xml:space="preserve">kolektívna zodpovednosť za </w:t>
      </w:r>
      <w:r w:rsidR="0023568B">
        <w:rPr>
          <w:noProof/>
          <w:u w:val="single"/>
        </w:rPr>
        <w:t>zverejnenie výročnej správy [čl. 33(1)]</w:t>
      </w:r>
    </w:p>
    <w:p w14:paraId="6C9D9F86" w14:textId="77777777" w:rsidR="001D69C0" w:rsidRDefault="0023568B" w:rsidP="007B2B39">
      <w:pPr>
        <w:pStyle w:val="Default"/>
        <w:ind w:left="357"/>
        <w:jc w:val="both"/>
        <w:rPr>
          <w:noProof/>
        </w:rPr>
      </w:pPr>
      <w:r>
        <w:rPr>
          <w:noProof/>
        </w:rPr>
        <w:t xml:space="preserve">Navrhuje sa </w:t>
      </w:r>
      <w:r w:rsidRPr="00C66B18">
        <w:rPr>
          <w:noProof/>
        </w:rPr>
        <w:t xml:space="preserve">spresniť, že kolektívna zodpovednosť členov správnych, riadiacich a dozorných orgánov podniku, pokiaľ ide o digitalizáciu </w:t>
      </w:r>
      <w:r>
        <w:rPr>
          <w:noProof/>
        </w:rPr>
        <w:t xml:space="preserve">výročnej </w:t>
      </w:r>
      <w:r w:rsidRPr="00C66B18">
        <w:rPr>
          <w:noProof/>
        </w:rPr>
        <w:t>správy, sa obmedzuje na jej uverejnenie v jednotnom elektronickom formáte vrátane digitálneho označenia</w:t>
      </w:r>
      <w:r>
        <w:rPr>
          <w:noProof/>
        </w:rPr>
        <w:t>.</w:t>
      </w:r>
    </w:p>
    <w:p w14:paraId="75FDCA2B" w14:textId="77777777" w:rsidR="0023568B" w:rsidRPr="002102F9" w:rsidRDefault="0023568B" w:rsidP="007B2B39">
      <w:pPr>
        <w:pStyle w:val="Default"/>
        <w:ind w:left="357"/>
        <w:jc w:val="both"/>
        <w:rPr>
          <w:color w:val="auto"/>
          <w:highlight w:val="yellow"/>
        </w:rPr>
      </w:pPr>
    </w:p>
    <w:p w14:paraId="2441C271" w14:textId="77777777" w:rsidR="00FD0D28" w:rsidRDefault="00FD0D28" w:rsidP="00362B93">
      <w:pPr>
        <w:pStyle w:val="Default"/>
        <w:spacing w:before="120" w:after="120"/>
        <w:ind w:left="357"/>
        <w:jc w:val="both"/>
        <w:rPr>
          <w:color w:val="auto"/>
          <w:u w:val="single"/>
        </w:rPr>
      </w:pPr>
      <w:r w:rsidRPr="00A2235B">
        <w:rPr>
          <w:color w:val="auto"/>
          <w:u w:val="single"/>
        </w:rPr>
        <w:t xml:space="preserve">K čl. </w:t>
      </w:r>
      <w:r>
        <w:rPr>
          <w:color w:val="auto"/>
          <w:u w:val="single"/>
        </w:rPr>
        <w:t>3</w:t>
      </w:r>
      <w:r w:rsidRPr="00A2235B">
        <w:rPr>
          <w:color w:val="auto"/>
          <w:u w:val="single"/>
        </w:rPr>
        <w:t xml:space="preserve"> návrhu smernice: </w:t>
      </w:r>
      <w:r>
        <w:rPr>
          <w:color w:val="auto"/>
          <w:u w:val="single"/>
        </w:rPr>
        <w:t>zmeny</w:t>
      </w:r>
      <w:r w:rsidRPr="00A2235B">
        <w:rPr>
          <w:color w:val="auto"/>
          <w:u w:val="single"/>
        </w:rPr>
        <w:t xml:space="preserve"> smernice</w:t>
      </w:r>
      <w:r>
        <w:rPr>
          <w:color w:val="auto"/>
          <w:u w:val="single"/>
        </w:rPr>
        <w:t xml:space="preserve"> (EÚ) 2022/2464</w:t>
      </w:r>
    </w:p>
    <w:p w14:paraId="09CD3568" w14:textId="77777777" w:rsidR="00087A31" w:rsidRPr="00C66B18" w:rsidRDefault="00087A31" w:rsidP="00362B93">
      <w:pPr>
        <w:pBdr>
          <w:top w:val="nil"/>
          <w:left w:val="nil"/>
          <w:bottom w:val="nil"/>
          <w:right w:val="nil"/>
          <w:between w:val="nil"/>
          <w:bar w:val="nil"/>
        </w:pBdr>
        <w:spacing w:after="240" w:line="240" w:lineRule="auto"/>
        <w:ind w:left="357" w:right="6" w:firstLine="0"/>
        <w:rPr>
          <w:noProof/>
        </w:rPr>
      </w:pPr>
      <w:r>
        <w:rPr>
          <w:noProof/>
        </w:rPr>
        <w:t>S</w:t>
      </w:r>
      <w:r w:rsidRPr="00C66B18">
        <w:rPr>
          <w:noProof/>
        </w:rPr>
        <w:t xml:space="preserve"> cieľom zohľadniť </w:t>
      </w:r>
      <w:r>
        <w:rPr>
          <w:noProof/>
        </w:rPr>
        <w:t>zúženie</w:t>
      </w:r>
      <w:r w:rsidRPr="00C66B18">
        <w:rPr>
          <w:noProof/>
        </w:rPr>
        <w:t xml:space="preserve"> rozsahu </w:t>
      </w:r>
      <w:r>
        <w:rPr>
          <w:noProof/>
        </w:rPr>
        <w:t xml:space="preserve">podnikov, na ktoré sa vzťahuje </w:t>
      </w:r>
      <w:r w:rsidRPr="00C66B18">
        <w:rPr>
          <w:noProof/>
        </w:rPr>
        <w:t>vykazovani</w:t>
      </w:r>
      <w:r>
        <w:rPr>
          <w:noProof/>
        </w:rPr>
        <w:t>e</w:t>
      </w:r>
      <w:r w:rsidRPr="00C66B18">
        <w:rPr>
          <w:noProof/>
        </w:rPr>
        <w:t xml:space="preserve"> informácií o udržateľnosti podľa článkov 19a a 29a smernice </w:t>
      </w:r>
      <w:r>
        <w:rPr>
          <w:noProof/>
        </w:rPr>
        <w:t xml:space="preserve">2013/34/EÚ, sa navrhuje vylúčiť dotknuté podniky aj zo smernice </w:t>
      </w:r>
      <w:r w:rsidR="00362B93">
        <w:rPr>
          <w:noProof/>
        </w:rPr>
        <w:t xml:space="preserve">(EÚ) 2022/2464 (tzv. </w:t>
      </w:r>
      <w:r w:rsidR="0010367E">
        <w:rPr>
          <w:noProof/>
        </w:rPr>
        <w:t xml:space="preserve">smernica </w:t>
      </w:r>
      <w:r>
        <w:rPr>
          <w:noProof/>
        </w:rPr>
        <w:t>CSRD</w:t>
      </w:r>
      <w:r w:rsidR="00362B93">
        <w:rPr>
          <w:noProof/>
        </w:rPr>
        <w:t>)</w:t>
      </w:r>
      <w:r>
        <w:rPr>
          <w:noProof/>
        </w:rPr>
        <w:t>.</w:t>
      </w:r>
    </w:p>
    <w:p w14:paraId="20868DC8" w14:textId="77777777" w:rsidR="00FD0D28" w:rsidRPr="00CC1BE7" w:rsidRDefault="00087A31" w:rsidP="001F2088">
      <w:pPr>
        <w:pStyle w:val="Default"/>
        <w:spacing w:before="120" w:after="120"/>
        <w:ind w:left="357"/>
        <w:jc w:val="both"/>
        <w:rPr>
          <w:color w:val="auto"/>
          <w:u w:val="single"/>
        </w:rPr>
      </w:pPr>
      <w:r w:rsidRPr="00CC1BE7">
        <w:rPr>
          <w:color w:val="auto"/>
          <w:u w:val="single"/>
        </w:rPr>
        <w:t>K čl. 4 návrhu smernice: zmeny smernice (EÚ)</w:t>
      </w:r>
      <w:r w:rsidR="00674C81" w:rsidRPr="00CC1BE7">
        <w:rPr>
          <w:color w:val="auto"/>
          <w:u w:val="single"/>
        </w:rPr>
        <w:t xml:space="preserve"> 2024/1760</w:t>
      </w:r>
      <w:r w:rsidR="003C5185" w:rsidRPr="00CC1BE7">
        <w:rPr>
          <w:color w:val="auto"/>
          <w:u w:val="single"/>
        </w:rPr>
        <w:t xml:space="preserve"> (tzv. smernica CSDDD)</w:t>
      </w:r>
    </w:p>
    <w:p w14:paraId="64F9F191" w14:textId="77777777" w:rsidR="001F2088" w:rsidRPr="00CC1BE7" w:rsidRDefault="001F2088" w:rsidP="001F2088">
      <w:pPr>
        <w:pStyle w:val="Default"/>
        <w:ind w:left="357"/>
        <w:jc w:val="both"/>
        <w:rPr>
          <w:color w:val="auto"/>
        </w:rPr>
      </w:pPr>
      <w:r w:rsidRPr="00CC1BE7">
        <w:rPr>
          <w:color w:val="auto"/>
        </w:rPr>
        <w:t xml:space="preserve">Smernica CSDDD bola prijatá 13. júna 2024 a jej cieľom je zvýšiť zodpovednosť podnikov za dodržiavanie ľudských práv a environmentálnych štandardov, a tým reagovať na globálne výzvy v týchto oblastiach a prispieť k ambícii EÚ prejsť na udržateľné a klimaticky neutrálne hospodárstvo. Smernica požaduje od spoločností, aby identifikovali a riešili nepriaznivé vplyvy na ľudské práva a životné prostredie v rámci svojich činností, ako aj v rámci činností svojich dcérskych spoločností a v ich reťazcoch činností. Napriek tomu, že smernica CSDDD zahŕňa niekoľko mechanizmov na zabezpečenie proporcionality a zamedzenie presunu regulačného zaťaženia na obchodných partnerov, predstavuje značnú regulačnú záťaž, a preto je cieľom tohto návrhu zjednodušiť a objasniť rámec uplatňovania smernice na hodnotový reťazec, znížiť zaťaženie spoločností, zvýšiť právnu istotu a vytvoriť rovnaké podmienky v EÚ. </w:t>
      </w:r>
    </w:p>
    <w:p w14:paraId="63B5458E" w14:textId="77777777" w:rsidR="008002EE" w:rsidRPr="00CC1BE7" w:rsidRDefault="008002EE" w:rsidP="002723E2">
      <w:pPr>
        <w:pStyle w:val="Default"/>
        <w:jc w:val="both"/>
        <w:rPr>
          <w:color w:val="auto"/>
        </w:rPr>
      </w:pPr>
    </w:p>
    <w:p w14:paraId="3C3A386B" w14:textId="77777777" w:rsidR="001F2088" w:rsidRPr="00CC1BE7" w:rsidRDefault="001F2088" w:rsidP="001F2088">
      <w:pPr>
        <w:pStyle w:val="Default"/>
        <w:ind w:left="357"/>
        <w:jc w:val="both"/>
        <w:rPr>
          <w:noProof/>
          <w:spacing w:val="-4"/>
        </w:rPr>
      </w:pPr>
      <w:r w:rsidRPr="00CC1BE7">
        <w:rPr>
          <w:color w:val="auto"/>
        </w:rPr>
        <w:t xml:space="preserve">Článok 4 smernice mení smernicu CSDDD v týchto hlavných bodoch: rozširuje rozsah maximálnej harmonizácie, zameranie náležitej starostlivosti na priamych obchodných partnerov, zúženie pojmu „zainteresovaná strany“, odstránenie povinnosti ukončiť obchodný vzťah ako krajné opatrenie pri nedodržiavaní náležitej starostlivosti, zníženie frekvencie pravidelného monitorovania primeranosti a účinnosti opatrení náležitej starostlivosti, odstránenie minimálneho stropu pre pokuty a objasnenie zásad týkajúcich sa peňažných pokút, </w:t>
      </w:r>
      <w:r w:rsidRPr="00CC1BE7">
        <w:rPr>
          <w:noProof/>
          <w:spacing w:val="-4"/>
        </w:rPr>
        <w:t>odstránenie aspektov doložky o občianskoprávnej zodpovednosti a pravidiel týkajúcich sa žalôb v zastúpení, zmena ustanovení o vykonávaní plánov klimatickej transformácie, vypustenie doložky o preskúmaní, pokiaľ ide o finančné služby, a urýchlenie prijatia prvého súboru (všeobecných) vykonávacích usmernení Komisiou.</w:t>
      </w:r>
    </w:p>
    <w:p w14:paraId="209346ED" w14:textId="77777777" w:rsidR="001F2088" w:rsidRPr="00CC1BE7" w:rsidRDefault="001F2088" w:rsidP="001F2088">
      <w:pPr>
        <w:pStyle w:val="Default"/>
        <w:ind w:left="357"/>
        <w:jc w:val="both"/>
        <w:rPr>
          <w:noProof/>
          <w:spacing w:val="-4"/>
        </w:rPr>
      </w:pPr>
    </w:p>
    <w:p w14:paraId="4D14B4B5" w14:textId="77777777" w:rsidR="001F2088" w:rsidRPr="00CC1BE7" w:rsidRDefault="001F2088" w:rsidP="001F2088">
      <w:pPr>
        <w:pStyle w:val="Default"/>
        <w:ind w:left="357"/>
        <w:jc w:val="both"/>
        <w:rPr>
          <w:noProof/>
          <w:spacing w:val="-4"/>
        </w:rPr>
      </w:pPr>
      <w:r w:rsidRPr="00CC1BE7">
        <w:rPr>
          <w:noProof/>
          <w:spacing w:val="-4"/>
        </w:rPr>
        <w:t>K ods. 1 – v čl. I ods. 1 písm. c) smernice CSDDD sa zosúlaďuje opis predmetu úpravy smernice so zmenami navrhovanými v č. 22 ods. 1, pokiaľ ide o vykonávania plánov transformácie na zmierňovanie klímy;</w:t>
      </w:r>
    </w:p>
    <w:p w14:paraId="2E656FF4" w14:textId="77777777" w:rsidR="001F2088" w:rsidRPr="00CC1BE7" w:rsidRDefault="001F2088" w:rsidP="001F2088">
      <w:pPr>
        <w:pStyle w:val="Default"/>
        <w:ind w:left="357"/>
        <w:jc w:val="both"/>
        <w:rPr>
          <w:noProof/>
          <w:spacing w:val="-4"/>
        </w:rPr>
      </w:pPr>
    </w:p>
    <w:p w14:paraId="0484A236" w14:textId="77777777" w:rsidR="001F2088" w:rsidRPr="00CC1BE7" w:rsidRDefault="001F2088" w:rsidP="001F2088">
      <w:pPr>
        <w:pStyle w:val="Default"/>
        <w:ind w:left="357"/>
        <w:jc w:val="both"/>
        <w:rPr>
          <w:noProof/>
          <w:spacing w:val="-4"/>
        </w:rPr>
      </w:pPr>
      <w:r w:rsidRPr="00CC1BE7">
        <w:rPr>
          <w:noProof/>
          <w:spacing w:val="-4"/>
        </w:rPr>
        <w:t>K ods. 2 – v čl. 3 ods. 1 písm. n) smernice CSDDD sa navrhuje nová definícia pojmu „zainteresované strany“ s cieľom zúžiť rozsah tohto pojmu len na pracovníkov a ich zástupcov a na osoby a komunity, ktorých práva alebo záujmy sú alebo by mohli byť „priamo“ ovplyvnené výrobkami, službami a činnosťami spoločnosti, jej dcérskych spoločností a jej obchodných partnerov.</w:t>
      </w:r>
    </w:p>
    <w:p w14:paraId="6F4F986D" w14:textId="77777777" w:rsidR="001F2088" w:rsidRPr="00CC1BE7" w:rsidRDefault="001F2088" w:rsidP="001F2088">
      <w:pPr>
        <w:pStyle w:val="Default"/>
        <w:ind w:left="357"/>
        <w:jc w:val="both"/>
        <w:rPr>
          <w:noProof/>
          <w:spacing w:val="-4"/>
        </w:rPr>
      </w:pPr>
    </w:p>
    <w:p w14:paraId="5B97913F" w14:textId="77777777" w:rsidR="001F2088" w:rsidRPr="00CC1BE7" w:rsidRDefault="001F2088" w:rsidP="001F2088">
      <w:pPr>
        <w:pStyle w:val="Default"/>
        <w:ind w:left="357"/>
        <w:jc w:val="both"/>
        <w:rPr>
          <w:noProof/>
          <w:spacing w:val="-4"/>
        </w:rPr>
      </w:pPr>
      <w:r w:rsidRPr="00CC1BE7">
        <w:rPr>
          <w:noProof/>
          <w:spacing w:val="-4"/>
        </w:rPr>
        <w:t>K ods. 3 – čl. 4 smernice CSDDD sa nahrádza novým znením s cieľom maximalizovať úroveň harmonizácie. Rozširuje sa úroveň harmonizácie na dodatočné ustanovenia smernice, ktorými sa upravujú základné aspekty procesu náležitej starotlivosti.</w:t>
      </w:r>
    </w:p>
    <w:p w14:paraId="60ABFD45" w14:textId="77777777" w:rsidR="001F2088" w:rsidRPr="00CC1BE7" w:rsidRDefault="001F2088" w:rsidP="001F2088">
      <w:pPr>
        <w:pStyle w:val="Default"/>
        <w:ind w:left="357"/>
        <w:jc w:val="both"/>
        <w:rPr>
          <w:noProof/>
          <w:spacing w:val="-4"/>
        </w:rPr>
      </w:pPr>
    </w:p>
    <w:p w14:paraId="412022AC" w14:textId="77777777" w:rsidR="001F2088" w:rsidRPr="00CC1BE7" w:rsidRDefault="001F2088" w:rsidP="001F2088">
      <w:pPr>
        <w:pStyle w:val="Default"/>
        <w:ind w:left="357"/>
        <w:jc w:val="both"/>
        <w:rPr>
          <w:color w:val="auto"/>
        </w:rPr>
      </w:pPr>
      <w:r w:rsidRPr="00CC1BE7">
        <w:rPr>
          <w:noProof/>
          <w:spacing w:val="-4"/>
        </w:rPr>
        <w:t>K ods. 4 – v čl. 8 smernice CSDDD dochádza k úprave a doplneniu ustanovení, ktoré sa týkajú reťazca činností, na ktoré sa vzťahuje povin</w:t>
      </w:r>
      <w:r w:rsidR="004832A9" w:rsidRPr="00CC1BE7">
        <w:rPr>
          <w:noProof/>
          <w:spacing w:val="-4"/>
        </w:rPr>
        <w:t>n</w:t>
      </w:r>
      <w:r w:rsidRPr="00CC1BE7">
        <w:rPr>
          <w:noProof/>
          <w:spacing w:val="-4"/>
        </w:rPr>
        <w:t>osť identif</w:t>
      </w:r>
      <w:r w:rsidR="005F4967" w:rsidRPr="00CC1BE7">
        <w:rPr>
          <w:noProof/>
          <w:spacing w:val="-4"/>
        </w:rPr>
        <w:t>i</w:t>
      </w:r>
      <w:r w:rsidRPr="00CC1BE7">
        <w:rPr>
          <w:noProof/>
          <w:spacing w:val="-4"/>
        </w:rPr>
        <w:t>kácie a posudzovania skutočných a potenciálnych nepriaznivých vplyvov tak, že sa zúžuje táto povinnosť len na priamych obch</w:t>
      </w:r>
      <w:r w:rsidR="004832A9" w:rsidRPr="00CC1BE7">
        <w:rPr>
          <w:noProof/>
          <w:spacing w:val="-4"/>
        </w:rPr>
        <w:t>o</w:t>
      </w:r>
      <w:r w:rsidRPr="00CC1BE7">
        <w:rPr>
          <w:noProof/>
          <w:spacing w:val="-4"/>
        </w:rPr>
        <w:t>dných partnerov. Povinné subjekty by mali byť v zmysle návrhu povinné vykonávať hĺbkové posúdenie len na úrovni priamych obchodných partnerov. Vo vzťahu k nepriamym obchodným partnerom návrh smernice dopĺňa v čl. 8 smernice CSDDD ods. 2a, ktorý definuje, že spoločnosť vykonáva hĺbkové hodnotenie vo vzťahu k nepriamym obchodným partnerom len v prípade, že disponuje vierohodnými informáciami o tom, že došlo k porušeniu na úrovni nepriameho obchodného partnera. V zámere obmedziť účinok prenosu zaťaženia na MSP, návrh smernice dopĺňa v čl. 8 ods. 5, ktorým dochádza k obmedzeniu tzv. trcikle-down efektu na spoločnosti s menej než 500 zamestnancami tým, že veľké spoločnosti budú môcť od týchto spoločností požadovať v rámci mapovania hodnotového reťazca len informácie uvedené v štandarde vykazovania informácií o udržateľnosti VSME</w:t>
      </w:r>
      <w:r w:rsidRPr="00CC1BE7">
        <w:rPr>
          <w:rStyle w:val="Odkaznapoznmkupodiarou"/>
          <w:noProof/>
          <w:spacing w:val="-4"/>
        </w:rPr>
        <w:footnoteReference w:id="3"/>
      </w:r>
      <w:r w:rsidRPr="00CC1BE7">
        <w:rPr>
          <w:noProof/>
          <w:spacing w:val="-4"/>
        </w:rPr>
        <w:t xml:space="preserve">, pokiaľ nie sú potrebné dodatočné informácie. </w:t>
      </w:r>
    </w:p>
    <w:p w14:paraId="08DEFBD3" w14:textId="77777777" w:rsidR="001F2088" w:rsidRPr="00CC1BE7" w:rsidRDefault="001F2088" w:rsidP="001F2088">
      <w:pPr>
        <w:pStyle w:val="Default"/>
        <w:ind w:left="357"/>
        <w:jc w:val="both"/>
        <w:rPr>
          <w:color w:val="auto"/>
          <w:u w:val="single"/>
        </w:rPr>
      </w:pPr>
    </w:p>
    <w:p w14:paraId="6D6F913C" w14:textId="77777777" w:rsidR="001F2088" w:rsidRPr="00CC1BE7" w:rsidRDefault="001F2088" w:rsidP="001F2088">
      <w:pPr>
        <w:pStyle w:val="Default"/>
        <w:ind w:left="357"/>
        <w:jc w:val="both"/>
        <w:rPr>
          <w:color w:val="auto"/>
        </w:rPr>
      </w:pPr>
      <w:r w:rsidRPr="00CC1BE7">
        <w:rPr>
          <w:color w:val="auto"/>
        </w:rPr>
        <w:t xml:space="preserve">K ods. 5 a ods. 6 – v čl. 10 a 11 smernice CSDDD dochádza k nahradeniu ods. 6, resp. ods. 7 novými zneniami, ktoré reflektujú zmeny súvisiace s odstránením povinnosti ukončiť obchodný vzťah ako krajným opatrením pri nedodržiavaní náležitej starostlivosti, a to v prípade skutočných aj potenciálnych nepriaznivých vplyvoch. Návrh smernice zavádza novú možnosť spočívajúcu v možnosti pozastaviť obchodný vzťah v prípade, ak zo strany jeho dodávateľa dochádza k závažným nepriaznivým vplyvom, ktoré sa iným spôsobom nepodarilo odstrániť. </w:t>
      </w:r>
    </w:p>
    <w:p w14:paraId="6C23A4DA" w14:textId="77777777" w:rsidR="001F2088" w:rsidRPr="00CC1BE7" w:rsidRDefault="001F2088" w:rsidP="001F2088">
      <w:pPr>
        <w:pStyle w:val="Default"/>
        <w:ind w:left="357"/>
        <w:jc w:val="both"/>
        <w:rPr>
          <w:color w:val="auto"/>
        </w:rPr>
      </w:pPr>
    </w:p>
    <w:p w14:paraId="2E783B5A" w14:textId="77777777" w:rsidR="001F2088" w:rsidRPr="00CC1BE7" w:rsidRDefault="001F2088" w:rsidP="001F2088">
      <w:pPr>
        <w:pStyle w:val="Default"/>
        <w:ind w:left="357"/>
        <w:jc w:val="both"/>
        <w:rPr>
          <w:color w:val="auto"/>
        </w:rPr>
      </w:pPr>
      <w:r w:rsidRPr="00CC1BE7">
        <w:rPr>
          <w:color w:val="auto"/>
        </w:rPr>
        <w:t>K ods. 7 – v čl. 13 smernice CSDDD dochádza k úprave ods. 3 tak, že sa mení písm. a) a vypúšťajú sa písmená c) a e) s cieľom objasniť, že spoločnosti sú povinné spolupracovať len s „relevantnými“ zainteresovanými stranami a nemusia konzultovať so všetkými možnými skupinami zainteresovaných strán. Spoločnosti sa môžu obmedziť na tie zainteresované strany, ktoré majú súvis s konkrétnou fázou vykonávaného procesu náležitej starostlivosti.</w:t>
      </w:r>
    </w:p>
    <w:p w14:paraId="5589C4C9" w14:textId="77777777" w:rsidR="001F2088" w:rsidRPr="00CC1BE7" w:rsidRDefault="001F2088" w:rsidP="001F2088">
      <w:pPr>
        <w:pStyle w:val="Default"/>
        <w:ind w:left="357"/>
        <w:jc w:val="both"/>
        <w:rPr>
          <w:color w:val="auto"/>
        </w:rPr>
      </w:pPr>
    </w:p>
    <w:p w14:paraId="214F2BBD" w14:textId="77777777" w:rsidR="001F2088" w:rsidRPr="00CC1BE7" w:rsidRDefault="001F2088" w:rsidP="001F2088">
      <w:pPr>
        <w:pStyle w:val="Default"/>
        <w:ind w:left="357"/>
        <w:jc w:val="both"/>
        <w:rPr>
          <w:color w:val="auto"/>
        </w:rPr>
      </w:pPr>
      <w:r w:rsidRPr="00CC1BE7">
        <w:rPr>
          <w:color w:val="auto"/>
        </w:rPr>
        <w:t>K ods. 8 – v čl. 15 smernice CSDDD dochádza k zmene textácie v súvislosti s predĺžením intervalov posudzovania primeranosti a účinnosti opatrení náležitej starostlivosti z jedného roka n</w:t>
      </w:r>
      <w:r w:rsidR="00FF6053" w:rsidRPr="00CC1BE7">
        <w:rPr>
          <w:color w:val="auto"/>
        </w:rPr>
        <w:t>a päť rokov. Ustanovenie zároveň</w:t>
      </w:r>
      <w:r w:rsidRPr="00CC1BE7">
        <w:rPr>
          <w:color w:val="auto"/>
        </w:rPr>
        <w:t xml:space="preserve"> počíta s možnosťou vykonania </w:t>
      </w:r>
      <w:r w:rsidRPr="00CC1BE7">
        <w:rPr>
          <w:i/>
          <w:color w:val="auto"/>
        </w:rPr>
        <w:t xml:space="preserve">ad hoc </w:t>
      </w:r>
      <w:r w:rsidRPr="00CC1BE7">
        <w:rPr>
          <w:color w:val="auto"/>
        </w:rPr>
        <w:t xml:space="preserve">posúdenia, ak sa pred dátumom pravidelného posudzovania objavia skúsenosti, že opatrenia nie sú dostatočné. </w:t>
      </w:r>
    </w:p>
    <w:p w14:paraId="754DA788" w14:textId="77777777" w:rsidR="001F2088" w:rsidRPr="00CC1BE7" w:rsidRDefault="001F2088" w:rsidP="001F2088">
      <w:pPr>
        <w:pStyle w:val="Default"/>
        <w:ind w:left="357"/>
        <w:jc w:val="both"/>
        <w:rPr>
          <w:color w:val="auto"/>
        </w:rPr>
      </w:pPr>
    </w:p>
    <w:p w14:paraId="3F20FD40" w14:textId="77777777" w:rsidR="001F2088" w:rsidRPr="00CC1BE7" w:rsidRDefault="001F2088" w:rsidP="001F2088">
      <w:pPr>
        <w:pStyle w:val="Default"/>
        <w:ind w:left="357"/>
        <w:jc w:val="both"/>
        <w:rPr>
          <w:color w:val="auto"/>
        </w:rPr>
      </w:pPr>
      <w:r w:rsidRPr="00CC1BE7">
        <w:rPr>
          <w:color w:val="auto"/>
        </w:rPr>
        <w:t>K ods. 9 – v čl. 19 ods. 3 smernice CSDDD sa upravujú požiadavky na Komisiu tak, aby všeobecné usmernenia s praktickými návodmi a najlepšími postupmi v súvislosti s tým, ako vykonávať náležitú starostlivosť v súlade so smernicou, sprístupnila o pol roka skôr.</w:t>
      </w:r>
    </w:p>
    <w:p w14:paraId="6FA04901" w14:textId="77777777" w:rsidR="001F2088" w:rsidRPr="00CC1BE7" w:rsidRDefault="001F2088" w:rsidP="001F2088">
      <w:pPr>
        <w:pStyle w:val="Default"/>
        <w:ind w:left="357"/>
        <w:jc w:val="both"/>
        <w:rPr>
          <w:color w:val="auto"/>
        </w:rPr>
      </w:pPr>
    </w:p>
    <w:p w14:paraId="731D9383" w14:textId="77777777" w:rsidR="001F2088" w:rsidRPr="00CC1BE7" w:rsidRDefault="001F2088" w:rsidP="001F2088">
      <w:pPr>
        <w:pStyle w:val="Default"/>
        <w:ind w:left="357"/>
        <w:jc w:val="both"/>
        <w:rPr>
          <w:color w:val="auto"/>
        </w:rPr>
      </w:pPr>
      <w:r w:rsidRPr="00CC1BE7">
        <w:rPr>
          <w:color w:val="auto"/>
        </w:rPr>
        <w:t>K ods. 10 – v čl. 22 ods. 1 smernice CSDDD sa upravujú náležitosti týkajúce sa plánov transformácie spoločností na zmierňovanie zmeny klímy  s cieľom zabezpečiť väčšiu právnu zrozumiteľnosť a zosúladenie smernice CSDDD s režimom vykazovania informácií o udržateľnosti podľa smernice CSRD. Návrh objasňuje, že plán by mal zahŕňať plánované a prijaté vykonávacie opatrenia. Prijatie tohto plánu a jeho pôvodný a aktualizovaný návrh naďalej podlieha administratívnemu dohľadu.</w:t>
      </w:r>
    </w:p>
    <w:p w14:paraId="50B0F503" w14:textId="77777777" w:rsidR="001F2088" w:rsidRPr="00CC1BE7" w:rsidRDefault="001F2088" w:rsidP="001F2088">
      <w:pPr>
        <w:pStyle w:val="Default"/>
        <w:ind w:left="357"/>
        <w:jc w:val="both"/>
        <w:rPr>
          <w:color w:val="auto"/>
        </w:rPr>
      </w:pPr>
    </w:p>
    <w:p w14:paraId="2FB447A3" w14:textId="77777777" w:rsidR="001F2088" w:rsidRPr="00CC1BE7" w:rsidRDefault="001F2088" w:rsidP="001F2088">
      <w:pPr>
        <w:pStyle w:val="Default"/>
        <w:ind w:left="357"/>
        <w:jc w:val="both"/>
        <w:rPr>
          <w:color w:val="auto"/>
        </w:rPr>
      </w:pPr>
      <w:r w:rsidRPr="00CC1BE7">
        <w:rPr>
          <w:color w:val="auto"/>
        </w:rPr>
        <w:t xml:space="preserve">K ods. 11 – v čl. 27 ods. 4 smernice CSDDD sa upravujú pravidlá pre ukladanie sankcií tak, že Komisia vypracuje usmernenia pre stanovenie pokút (nástroj, ktorý existuje aj v iných oblastiach, napr. právo hospodárskej súťaže a ochrana údajov) v spolupráci s členskými štátmi, pričom sa zakazuje stanoviť horné ohraničenie pokút, ktoré by bránilo dozorným orgánom ukladať sankcie v súlade s faktormi a zásadami stanovenými v článku 27 ods. 1 a 2 smernice CSDDD. Taktiež sa v návrhu vypúšťa požiadavka, aby bola pokuta úmerná čistému celosvetovému obratu spoločnosti. </w:t>
      </w:r>
    </w:p>
    <w:p w14:paraId="322CFFFF" w14:textId="77777777" w:rsidR="001F2088" w:rsidRPr="00CC1BE7" w:rsidRDefault="001F2088" w:rsidP="001F2088">
      <w:pPr>
        <w:pStyle w:val="Default"/>
        <w:ind w:left="357"/>
        <w:jc w:val="both"/>
        <w:rPr>
          <w:color w:val="auto"/>
        </w:rPr>
      </w:pPr>
    </w:p>
    <w:p w14:paraId="0365B3EE" w14:textId="77777777" w:rsidR="001F2088" w:rsidRPr="00CC1BE7" w:rsidRDefault="001F2088" w:rsidP="001F2088">
      <w:pPr>
        <w:pStyle w:val="Tiret0"/>
        <w:numPr>
          <w:ilvl w:val="0"/>
          <w:numId w:val="0"/>
        </w:numPr>
        <w:ind w:left="357"/>
        <w:rPr>
          <w:noProof/>
        </w:rPr>
      </w:pPr>
      <w:r w:rsidRPr="00CC1BE7">
        <w:t xml:space="preserve">K ods. 12 – čl. 29 smernice CSDDD, ktorý sa týka občianskoprávnej zodpovednosti sa mení tak, že dochádza k vypusteniu odseku </w:t>
      </w:r>
      <w:r w:rsidRPr="00CC1BE7">
        <w:rPr>
          <w:noProof/>
        </w:rPr>
        <w:t>1, odseku 3 písm. d) a odseku 7 a menia sa odseky 2, 4 a 5 tak, že sa odstraňuje osobitný celoúnijný režim zodpovednosti v smernici CSDDD, vypúšťa sa osobitná požiadavka pokiaľ ide o povoľovanie žalôb v zastúpení vzhľadom na rôzne pravidlá a tradície na vnútroštátnej úrovni a vypúšťa sa taktiež požiadavka na členské štáty zabezpečiť, aby sa pravidlá zodpovednosti uplatnili imperatívnym spôsobom v prípadoch, keď rozhodným právom pri nárokoch v takejto súvislosti nie je vnútroštátne právo daného členského štátu.</w:t>
      </w:r>
    </w:p>
    <w:p w14:paraId="6FB46037" w14:textId="77777777" w:rsidR="001F2088" w:rsidRPr="00CC1BE7" w:rsidRDefault="001F2088" w:rsidP="001F2088">
      <w:pPr>
        <w:pStyle w:val="Tiret0"/>
        <w:numPr>
          <w:ilvl w:val="0"/>
          <w:numId w:val="0"/>
        </w:numPr>
        <w:ind w:left="357"/>
        <w:rPr>
          <w:noProof/>
        </w:rPr>
      </w:pPr>
    </w:p>
    <w:p w14:paraId="75DC0501" w14:textId="77777777" w:rsidR="001F2088" w:rsidRPr="00C66B18" w:rsidRDefault="001F2088" w:rsidP="001F2088">
      <w:pPr>
        <w:pStyle w:val="Tiret0"/>
        <w:numPr>
          <w:ilvl w:val="0"/>
          <w:numId w:val="0"/>
        </w:numPr>
        <w:ind w:left="357"/>
        <w:rPr>
          <w:noProof/>
        </w:rPr>
      </w:pPr>
      <w:r w:rsidRPr="00CC1BE7">
        <w:rPr>
          <w:noProof/>
        </w:rPr>
        <w:t>K ods. 13 – v čl. 36 smernice CSDDD sa vypúšťa odsek 1, t.j. doložka o preskúmaní smernice, na základe ktorej by Komisia musela Európskemu parlamentu a Rade predložiť „najneskôr do 26. júla 2026“ správu o potrebe stanoviť dodatočné požiadavky náležitej starostlivosti v oblasti udržateľnosti prispôsobené regulovaným finančným podnikom, pokiaľ ide o poskytovanie finančných služieb a investičné činnosti.</w:t>
      </w:r>
    </w:p>
    <w:p w14:paraId="14B8EE47" w14:textId="77777777" w:rsidR="00FD0D28" w:rsidRDefault="00FD0D28" w:rsidP="003018E0">
      <w:pPr>
        <w:pStyle w:val="Default"/>
        <w:ind w:left="357"/>
        <w:jc w:val="both"/>
        <w:rPr>
          <w:color w:val="auto"/>
          <w:u w:val="single"/>
        </w:rPr>
      </w:pPr>
    </w:p>
    <w:p w14:paraId="1599D776" w14:textId="77777777" w:rsidR="00A2235B" w:rsidRDefault="00A2235B" w:rsidP="00362B93">
      <w:pPr>
        <w:pStyle w:val="Default"/>
        <w:spacing w:after="120"/>
        <w:ind w:left="357"/>
        <w:jc w:val="both"/>
        <w:rPr>
          <w:color w:val="auto"/>
          <w:u w:val="single"/>
        </w:rPr>
      </w:pPr>
      <w:r w:rsidRPr="00A2235B">
        <w:rPr>
          <w:color w:val="auto"/>
          <w:u w:val="single"/>
        </w:rPr>
        <w:t xml:space="preserve">K čl. </w:t>
      </w:r>
      <w:r w:rsidR="001E3599">
        <w:rPr>
          <w:color w:val="auto"/>
          <w:u w:val="single"/>
        </w:rPr>
        <w:t>5</w:t>
      </w:r>
      <w:r w:rsidRPr="00A2235B">
        <w:rPr>
          <w:color w:val="auto"/>
          <w:u w:val="single"/>
        </w:rPr>
        <w:t xml:space="preserve"> návrhu smernice: transpozícia</w:t>
      </w:r>
    </w:p>
    <w:p w14:paraId="49EB9026" w14:textId="77777777" w:rsidR="001B23E0" w:rsidRDefault="001E3599" w:rsidP="003018E0">
      <w:pPr>
        <w:pStyle w:val="Default"/>
        <w:ind w:left="357"/>
        <w:jc w:val="both"/>
        <w:rPr>
          <w:color w:val="auto"/>
        </w:rPr>
      </w:pPr>
      <w:r>
        <w:rPr>
          <w:color w:val="auto"/>
        </w:rPr>
        <w:t>Navrhuje sa transpozičná lehota 12 mesiacov</w:t>
      </w:r>
      <w:r w:rsidR="00087A31">
        <w:rPr>
          <w:color w:val="auto"/>
        </w:rPr>
        <w:t>.</w:t>
      </w:r>
    </w:p>
    <w:p w14:paraId="6D05EA2D" w14:textId="77777777" w:rsidR="00C84800" w:rsidRDefault="00C84800" w:rsidP="003018E0">
      <w:pPr>
        <w:pStyle w:val="Default"/>
        <w:ind w:left="357"/>
        <w:jc w:val="both"/>
        <w:rPr>
          <w:color w:val="auto"/>
        </w:rPr>
      </w:pPr>
    </w:p>
    <w:p w14:paraId="16F5C187" w14:textId="77777777" w:rsidR="000C256C" w:rsidRDefault="00BD5E9B" w:rsidP="000C256C">
      <w:pPr>
        <w:numPr>
          <w:ilvl w:val="0"/>
          <w:numId w:val="16"/>
        </w:numPr>
        <w:spacing w:after="0" w:line="240" w:lineRule="auto"/>
        <w:ind w:right="0" w:hanging="360"/>
        <w:jc w:val="left"/>
      </w:pPr>
      <w:r>
        <w:rPr>
          <w:b/>
        </w:rPr>
        <w:t>Súlad so zásadou subsidiarity</w:t>
      </w:r>
      <w:r>
        <w:t xml:space="preserve"> </w:t>
      </w:r>
    </w:p>
    <w:p w14:paraId="6D0E1136" w14:textId="77777777" w:rsidR="004549B9" w:rsidRPr="00CC1BE7" w:rsidRDefault="00520DA1" w:rsidP="004549B9">
      <w:pPr>
        <w:spacing w:after="0" w:line="240" w:lineRule="auto"/>
        <w:ind w:left="426" w:right="0" w:firstLine="0"/>
        <w:rPr>
          <w:rFonts w:eastAsiaTheme="minorEastAsia"/>
          <w:color w:val="auto"/>
          <w:szCs w:val="24"/>
          <w:lang w:eastAsia="en-US"/>
        </w:rPr>
      </w:pPr>
      <w:r w:rsidRPr="00CC1BE7">
        <w:rPr>
          <w:szCs w:val="24"/>
          <w:u w:val="single"/>
        </w:rPr>
        <w:t xml:space="preserve">K návrhu smernice týkajúceho sa </w:t>
      </w:r>
      <w:r w:rsidR="004549B9">
        <w:rPr>
          <w:szCs w:val="24"/>
          <w:u w:val="single"/>
        </w:rPr>
        <w:t>smerníc 2006/43/ES, 2013/34/EÚ a smernice (EÚ) 2022/2464</w:t>
      </w:r>
      <w:r w:rsidR="004549B9" w:rsidRPr="00CC1BE7">
        <w:rPr>
          <w:szCs w:val="24"/>
          <w:u w:val="single"/>
        </w:rPr>
        <w:t>:</w:t>
      </w:r>
    </w:p>
    <w:p w14:paraId="4FB73529" w14:textId="77777777" w:rsidR="00674C81" w:rsidRPr="0078392E" w:rsidRDefault="00674C81" w:rsidP="00362B93">
      <w:pPr>
        <w:pBdr>
          <w:top w:val="nil"/>
          <w:left w:val="nil"/>
          <w:bottom w:val="nil"/>
          <w:right w:val="nil"/>
          <w:between w:val="nil"/>
          <w:bar w:val="nil"/>
        </w:pBdr>
        <w:spacing w:after="240" w:line="240" w:lineRule="auto"/>
        <w:ind w:left="357" w:right="6" w:firstLine="0"/>
        <w:rPr>
          <w:rFonts w:eastAsiaTheme="minorEastAsia"/>
          <w:color w:val="auto"/>
          <w:szCs w:val="24"/>
          <w:lang w:eastAsia="en-US"/>
        </w:rPr>
      </w:pPr>
      <w:r w:rsidRPr="0078392E">
        <w:rPr>
          <w:rFonts w:eastAsiaTheme="minorEastAsia"/>
          <w:color w:val="auto"/>
          <w:szCs w:val="24"/>
          <w:lang w:eastAsia="en-US"/>
        </w:rPr>
        <w:t>Zverejňovanie informácií o udržateľnosti v EÚ je už upravené v smernici 2013/34/EÚ, ktorá bola zmenená smernicou CSRD. Spoločnými pravidlami vykazovania informácií o udržateľnosti a ich uistenia sa zabezpečujú rovnaké podmienky pre spoločnosti usadené v rôznych členských štátoch. Spoločnostiam, ktoré pôsobia na cezhraničnom základe, by výrazné rozdiely v požiadavkách na vykazovanie informácií o udržateľnosti a uistenie medzi členskými štátmi spôsobili dodatočné náklady a zložitosť, v dôsledku čoho by došlo k narušeniu jednotného trhu. Ak členské štáty konajú samostatne, nedokážu zmeniť existujúce právne predpisy EÚ s cieľom znížiť zaťaženie spoločností.</w:t>
      </w:r>
      <w:r w:rsidR="00EF0D8D" w:rsidRPr="0078392E">
        <w:rPr>
          <w:rFonts w:eastAsiaTheme="minorEastAsia"/>
          <w:color w:val="auto"/>
          <w:szCs w:val="24"/>
          <w:lang w:eastAsia="en-US"/>
        </w:rPr>
        <w:t xml:space="preserve"> </w:t>
      </w:r>
    </w:p>
    <w:p w14:paraId="427F3924" w14:textId="77777777" w:rsidR="00520DA1" w:rsidRPr="00CC1BE7" w:rsidRDefault="00520DA1" w:rsidP="00520DA1">
      <w:pPr>
        <w:spacing w:after="0" w:line="240" w:lineRule="auto"/>
        <w:ind w:left="357" w:right="0" w:firstLine="0"/>
        <w:rPr>
          <w:rFonts w:eastAsiaTheme="minorEastAsia"/>
          <w:color w:val="auto"/>
          <w:szCs w:val="24"/>
          <w:lang w:eastAsia="en-US"/>
        </w:rPr>
      </w:pPr>
      <w:r w:rsidRPr="00CC1BE7">
        <w:rPr>
          <w:szCs w:val="24"/>
          <w:u w:val="single"/>
        </w:rPr>
        <w:t>K návrhu smernice týkajúceho sa smernice CSDDD:</w:t>
      </w:r>
    </w:p>
    <w:p w14:paraId="25BFEC5A" w14:textId="77777777" w:rsidR="001362E3" w:rsidRDefault="00FF6053" w:rsidP="00FF6053">
      <w:pPr>
        <w:spacing w:after="0" w:line="240" w:lineRule="auto"/>
        <w:ind w:left="357" w:right="0" w:firstLine="0"/>
      </w:pPr>
      <w:r w:rsidRPr="00CC1BE7">
        <w:t>Smernicou CSDDD sa zabezpečujú rovnaké podmienky v celej Európskej únii harmonizáciou pravidiel náležitej starostlivosti podnikov v oblasti udržateľnosti v kontexte rozdielnych existujúcich právnych predpisov o náležitej starostlivosti na úrovni členských štátov. V tejto súvislosti cieľ zjednodušenia a zefektívnenia požiadaviek náležitej starostlivosti a súvisiacich ustanovení o verejnoprávnom a súkromnoprávnom presadzovaní nie je možné dosiahnuť na úrovni samotných členských štátov. Preto je potrebné opatrenie na úrovni EÚ.</w:t>
      </w:r>
      <w:r>
        <w:tab/>
      </w:r>
    </w:p>
    <w:p w14:paraId="4EDAFD1B" w14:textId="77777777" w:rsidR="00FF6053" w:rsidRDefault="00FF6053" w:rsidP="00DF56E2">
      <w:pPr>
        <w:spacing w:after="0" w:line="240" w:lineRule="auto"/>
        <w:ind w:left="0" w:right="0" w:firstLine="0"/>
        <w:jc w:val="left"/>
      </w:pPr>
    </w:p>
    <w:p w14:paraId="422CC86E" w14:textId="77777777" w:rsidR="00EB5BB0" w:rsidRDefault="00BD5E9B" w:rsidP="000C256C">
      <w:pPr>
        <w:spacing w:after="0" w:line="240" w:lineRule="auto"/>
        <w:ind w:left="87" w:right="3378" w:hanging="10"/>
        <w:jc w:val="left"/>
      </w:pPr>
      <w:r>
        <w:t xml:space="preserve">II. </w:t>
      </w:r>
      <w:r>
        <w:rPr>
          <w:u w:val="single" w:color="000000"/>
        </w:rPr>
        <w:t>STANOVISKO SLOVENSKEJ REPUBLIKY</w:t>
      </w:r>
      <w:r>
        <w:t xml:space="preserve"> </w:t>
      </w:r>
    </w:p>
    <w:p w14:paraId="4B11F2B6" w14:textId="77777777" w:rsidR="000C256C" w:rsidRDefault="000C256C" w:rsidP="000C256C">
      <w:pPr>
        <w:spacing w:after="0" w:line="240" w:lineRule="auto"/>
        <w:ind w:left="87" w:right="3378" w:hanging="10"/>
        <w:jc w:val="left"/>
      </w:pPr>
    </w:p>
    <w:p w14:paraId="0A99064A" w14:textId="77777777" w:rsidR="00CD406F" w:rsidRDefault="00BD5E9B" w:rsidP="00370C55">
      <w:pPr>
        <w:numPr>
          <w:ilvl w:val="0"/>
          <w:numId w:val="17"/>
        </w:numPr>
        <w:spacing w:after="0" w:line="240" w:lineRule="auto"/>
        <w:ind w:left="426" w:right="0" w:hanging="426"/>
        <w:jc w:val="left"/>
      </w:pPr>
      <w:r>
        <w:rPr>
          <w:b/>
        </w:rPr>
        <w:t xml:space="preserve">Zhodnotenie vplyvu návrhu na Slovenskú republiku </w:t>
      </w:r>
    </w:p>
    <w:p w14:paraId="2B92F404" w14:textId="77777777" w:rsidR="00520DA1" w:rsidRPr="00CC1BE7" w:rsidRDefault="00520DA1" w:rsidP="00520DA1">
      <w:pPr>
        <w:spacing w:after="0" w:line="240" w:lineRule="auto"/>
        <w:ind w:left="426" w:right="0" w:firstLine="0"/>
        <w:rPr>
          <w:rFonts w:eastAsiaTheme="minorEastAsia"/>
          <w:color w:val="auto"/>
          <w:szCs w:val="24"/>
          <w:lang w:eastAsia="en-US"/>
        </w:rPr>
      </w:pPr>
      <w:r w:rsidRPr="00CC1BE7">
        <w:rPr>
          <w:szCs w:val="24"/>
          <w:u w:val="single"/>
        </w:rPr>
        <w:t>K návrhu smernice tý</w:t>
      </w:r>
      <w:r>
        <w:rPr>
          <w:szCs w:val="24"/>
          <w:u w:val="single"/>
        </w:rPr>
        <w:t>kajúceho sa smerníc 2006/43/ES, 2013/34/EÚ a smernice (EÚ) 2022/2464</w:t>
      </w:r>
      <w:r w:rsidRPr="00CC1BE7">
        <w:rPr>
          <w:szCs w:val="24"/>
          <w:u w:val="single"/>
        </w:rPr>
        <w:t>:</w:t>
      </w:r>
    </w:p>
    <w:p w14:paraId="3FA7FA98" w14:textId="77777777" w:rsidR="00EF0D8D" w:rsidRDefault="00E14728" w:rsidP="008D173C">
      <w:pPr>
        <w:spacing w:line="240" w:lineRule="auto"/>
        <w:ind w:left="448" w:right="6" w:hanging="23"/>
        <w:rPr>
          <w:rFonts w:eastAsiaTheme="minorEastAsia"/>
          <w:color w:val="auto"/>
          <w:szCs w:val="24"/>
          <w:lang w:eastAsia="en-US"/>
        </w:rPr>
      </w:pPr>
      <w:r w:rsidRPr="00C84800">
        <w:rPr>
          <w:rFonts w:eastAsiaTheme="minorEastAsia"/>
          <w:color w:val="auto"/>
          <w:szCs w:val="24"/>
          <w:lang w:eastAsia="en-US"/>
        </w:rPr>
        <w:t>S</w:t>
      </w:r>
      <w:r w:rsidR="003D26B6">
        <w:rPr>
          <w:rFonts w:eastAsiaTheme="minorEastAsia"/>
          <w:color w:val="auto"/>
          <w:szCs w:val="24"/>
          <w:lang w:eastAsia="en-US"/>
        </w:rPr>
        <w:t>lovenská republika</w:t>
      </w:r>
      <w:r w:rsidR="00520DA1">
        <w:rPr>
          <w:rFonts w:eastAsiaTheme="minorEastAsia"/>
          <w:color w:val="auto"/>
          <w:szCs w:val="24"/>
          <w:lang w:eastAsia="en-US"/>
        </w:rPr>
        <w:t xml:space="preserve"> </w:t>
      </w:r>
      <w:r w:rsidR="00F34021" w:rsidRPr="00C84800">
        <w:rPr>
          <w:rFonts w:eastAsiaTheme="minorEastAsia"/>
          <w:color w:val="auto"/>
          <w:szCs w:val="24"/>
          <w:lang w:eastAsia="en-US"/>
        </w:rPr>
        <w:t xml:space="preserve">ustanovenia </w:t>
      </w:r>
      <w:r w:rsidRPr="00C84800">
        <w:rPr>
          <w:rFonts w:eastAsiaTheme="minorEastAsia"/>
          <w:color w:val="auto"/>
          <w:szCs w:val="24"/>
          <w:lang w:eastAsia="en-US"/>
        </w:rPr>
        <w:t>smernic</w:t>
      </w:r>
      <w:r w:rsidR="00F34021" w:rsidRPr="00C84800">
        <w:rPr>
          <w:rFonts w:eastAsiaTheme="minorEastAsia"/>
          <w:color w:val="auto"/>
          <w:szCs w:val="24"/>
          <w:lang w:eastAsia="en-US"/>
        </w:rPr>
        <w:t>e</w:t>
      </w:r>
      <w:r w:rsidRPr="00C84800">
        <w:rPr>
          <w:rFonts w:eastAsiaTheme="minorEastAsia"/>
          <w:color w:val="auto"/>
          <w:szCs w:val="24"/>
          <w:lang w:eastAsia="en-US"/>
        </w:rPr>
        <w:t xml:space="preserve"> CSRD </w:t>
      </w:r>
      <w:r w:rsidR="00F34021" w:rsidRPr="00C84800">
        <w:rPr>
          <w:rFonts w:eastAsiaTheme="minorEastAsia"/>
          <w:color w:val="auto"/>
          <w:szCs w:val="24"/>
          <w:lang w:eastAsia="en-US"/>
        </w:rPr>
        <w:t>týkajúce sa vykazovania informácií o</w:t>
      </w:r>
      <w:r w:rsidR="00776079" w:rsidRPr="00C84800">
        <w:rPr>
          <w:rFonts w:eastAsiaTheme="minorEastAsia"/>
          <w:color w:val="auto"/>
          <w:szCs w:val="24"/>
          <w:lang w:eastAsia="en-US"/>
        </w:rPr>
        <w:t> </w:t>
      </w:r>
      <w:r w:rsidR="00F34021" w:rsidRPr="00C84800">
        <w:rPr>
          <w:rFonts w:eastAsiaTheme="minorEastAsia"/>
          <w:color w:val="auto"/>
          <w:szCs w:val="24"/>
          <w:lang w:eastAsia="en-US"/>
        </w:rPr>
        <w:t>udržateľnosti</w:t>
      </w:r>
      <w:r w:rsidR="00776079" w:rsidRPr="00C84800">
        <w:rPr>
          <w:rFonts w:eastAsiaTheme="minorEastAsia"/>
          <w:color w:val="auto"/>
          <w:szCs w:val="24"/>
          <w:lang w:eastAsia="en-US"/>
        </w:rPr>
        <w:t xml:space="preserve"> vo výročnej správe</w:t>
      </w:r>
      <w:r w:rsidR="00F34021" w:rsidRPr="00C84800">
        <w:rPr>
          <w:rFonts w:eastAsiaTheme="minorEastAsia"/>
          <w:color w:val="auto"/>
          <w:szCs w:val="24"/>
          <w:lang w:eastAsia="en-US"/>
        </w:rPr>
        <w:t xml:space="preserve"> </w:t>
      </w:r>
      <w:r w:rsidRPr="00C84800">
        <w:rPr>
          <w:rFonts w:eastAsiaTheme="minorEastAsia"/>
          <w:color w:val="auto"/>
          <w:szCs w:val="24"/>
          <w:lang w:eastAsia="en-US"/>
        </w:rPr>
        <w:t xml:space="preserve">transponovala </w:t>
      </w:r>
      <w:r w:rsidR="00F34021" w:rsidRPr="00C84800">
        <w:rPr>
          <w:rFonts w:eastAsiaTheme="minorEastAsia"/>
          <w:color w:val="auto"/>
          <w:szCs w:val="24"/>
          <w:lang w:eastAsia="en-US"/>
        </w:rPr>
        <w:t>do zákona č. 431/2002 Z. z. o</w:t>
      </w:r>
      <w:r w:rsidR="00D469A0" w:rsidRPr="00C84800">
        <w:rPr>
          <w:rFonts w:eastAsiaTheme="minorEastAsia"/>
          <w:color w:val="auto"/>
          <w:szCs w:val="24"/>
          <w:lang w:eastAsia="en-US"/>
        </w:rPr>
        <w:t> </w:t>
      </w:r>
      <w:r w:rsidR="00F34021" w:rsidRPr="00C84800">
        <w:rPr>
          <w:rFonts w:eastAsiaTheme="minorEastAsia"/>
          <w:color w:val="auto"/>
          <w:szCs w:val="24"/>
          <w:lang w:eastAsia="en-US"/>
        </w:rPr>
        <w:t>účtovníctve</w:t>
      </w:r>
      <w:r w:rsidR="00D469A0" w:rsidRPr="00C84800">
        <w:rPr>
          <w:rFonts w:eastAsiaTheme="minorEastAsia"/>
          <w:color w:val="auto"/>
          <w:szCs w:val="24"/>
          <w:lang w:eastAsia="en-US"/>
        </w:rPr>
        <w:t xml:space="preserve"> v znení neskorších predpisov</w:t>
      </w:r>
      <w:r w:rsidR="00A2235B" w:rsidRPr="00C84800">
        <w:rPr>
          <w:rFonts w:eastAsiaTheme="minorEastAsia"/>
          <w:color w:val="auto"/>
          <w:szCs w:val="24"/>
          <w:lang w:eastAsia="en-US"/>
        </w:rPr>
        <w:t xml:space="preserve"> (ďalej len „zákon o účtovníctve“)</w:t>
      </w:r>
      <w:r w:rsidR="00635D41" w:rsidRPr="00C84800">
        <w:rPr>
          <w:rFonts w:eastAsiaTheme="minorEastAsia"/>
          <w:color w:val="auto"/>
          <w:szCs w:val="24"/>
          <w:lang w:eastAsia="en-US"/>
        </w:rPr>
        <w:t>, pričom transpozícia bola uskutočnená v rámci transpozičného termínu</w:t>
      </w:r>
      <w:r w:rsidR="00630426" w:rsidRPr="00C84800">
        <w:rPr>
          <w:rFonts w:eastAsiaTheme="minorEastAsia"/>
          <w:color w:val="auto"/>
          <w:szCs w:val="24"/>
          <w:lang w:eastAsia="en-US"/>
        </w:rPr>
        <w:t xml:space="preserve">, ktorý bol určený do </w:t>
      </w:r>
      <w:r w:rsidR="00635D41" w:rsidRPr="00C84800">
        <w:rPr>
          <w:rFonts w:eastAsiaTheme="minorEastAsia"/>
          <w:color w:val="auto"/>
          <w:szCs w:val="24"/>
          <w:lang w:eastAsia="en-US"/>
        </w:rPr>
        <w:t>6. júl</w:t>
      </w:r>
      <w:r w:rsidR="00630426" w:rsidRPr="00C84800">
        <w:rPr>
          <w:rFonts w:eastAsiaTheme="minorEastAsia"/>
          <w:color w:val="auto"/>
          <w:szCs w:val="24"/>
          <w:lang w:eastAsia="en-US"/>
        </w:rPr>
        <w:t>a</w:t>
      </w:r>
      <w:r w:rsidR="00635D41" w:rsidRPr="00C84800">
        <w:rPr>
          <w:rFonts w:eastAsiaTheme="minorEastAsia"/>
          <w:color w:val="auto"/>
          <w:szCs w:val="24"/>
          <w:lang w:eastAsia="en-US"/>
        </w:rPr>
        <w:t xml:space="preserve"> 2024. V súlade </w:t>
      </w:r>
      <w:r w:rsidR="003D26B6">
        <w:rPr>
          <w:rFonts w:eastAsiaTheme="minorEastAsia"/>
          <w:color w:val="auto"/>
          <w:szCs w:val="24"/>
          <w:lang w:eastAsia="en-US"/>
        </w:rPr>
        <w:br/>
      </w:r>
      <w:r w:rsidR="00635D41" w:rsidRPr="00C84800">
        <w:rPr>
          <w:rFonts w:eastAsiaTheme="minorEastAsia"/>
          <w:color w:val="auto"/>
          <w:szCs w:val="24"/>
          <w:lang w:eastAsia="en-US"/>
        </w:rPr>
        <w:t>so smernicou CSRD bol</w:t>
      </w:r>
      <w:r w:rsidR="00B83F60" w:rsidRPr="00C84800">
        <w:rPr>
          <w:rFonts w:eastAsiaTheme="minorEastAsia"/>
          <w:color w:val="auto"/>
          <w:szCs w:val="24"/>
          <w:lang w:eastAsia="en-US"/>
        </w:rPr>
        <w:t xml:space="preserve"> </w:t>
      </w:r>
      <w:r w:rsidR="00630426" w:rsidRPr="00C84800">
        <w:rPr>
          <w:rFonts w:eastAsiaTheme="minorEastAsia"/>
          <w:color w:val="auto"/>
          <w:szCs w:val="24"/>
          <w:lang w:eastAsia="en-US"/>
        </w:rPr>
        <w:t xml:space="preserve">v zákone o účtovníctve </w:t>
      </w:r>
      <w:r w:rsidR="00B83F60" w:rsidRPr="00C84800">
        <w:rPr>
          <w:rFonts w:eastAsiaTheme="minorEastAsia"/>
          <w:color w:val="auto"/>
          <w:szCs w:val="24"/>
          <w:lang w:eastAsia="en-US"/>
        </w:rPr>
        <w:t>ustanoven</w:t>
      </w:r>
      <w:r w:rsidR="004D529C" w:rsidRPr="00C84800">
        <w:rPr>
          <w:rFonts w:eastAsiaTheme="minorEastAsia"/>
          <w:color w:val="auto"/>
          <w:szCs w:val="24"/>
          <w:lang w:eastAsia="en-US"/>
        </w:rPr>
        <w:t>ý</w:t>
      </w:r>
      <w:r w:rsidR="00B83F60" w:rsidRPr="00C84800">
        <w:rPr>
          <w:rFonts w:eastAsiaTheme="minorEastAsia"/>
          <w:color w:val="auto"/>
          <w:szCs w:val="24"/>
          <w:lang w:eastAsia="en-US"/>
        </w:rPr>
        <w:t xml:space="preserve"> </w:t>
      </w:r>
      <w:r w:rsidR="00635D41" w:rsidRPr="00C84800">
        <w:rPr>
          <w:rFonts w:eastAsiaTheme="minorEastAsia"/>
          <w:color w:val="auto"/>
          <w:szCs w:val="24"/>
          <w:lang w:eastAsia="en-US"/>
        </w:rPr>
        <w:t>aj postupn</w:t>
      </w:r>
      <w:r w:rsidR="00B83F60" w:rsidRPr="00C84800">
        <w:rPr>
          <w:rFonts w:eastAsiaTheme="minorEastAsia"/>
          <w:color w:val="auto"/>
          <w:szCs w:val="24"/>
          <w:lang w:eastAsia="en-US"/>
        </w:rPr>
        <w:t>ý začiatok vykazovania pre jednotlivé skupiny účtovných jednotiek.</w:t>
      </w:r>
      <w:r w:rsidR="00EF0D8D">
        <w:rPr>
          <w:rFonts w:eastAsiaTheme="minorEastAsia"/>
          <w:color w:val="auto"/>
          <w:szCs w:val="24"/>
          <w:lang w:eastAsia="en-US"/>
        </w:rPr>
        <w:t xml:space="preserve"> Zníženie rozsahu</w:t>
      </w:r>
      <w:r w:rsidR="008D173C">
        <w:rPr>
          <w:rFonts w:eastAsiaTheme="minorEastAsia"/>
          <w:color w:val="auto"/>
          <w:szCs w:val="24"/>
          <w:lang w:eastAsia="en-US"/>
        </w:rPr>
        <w:t xml:space="preserve"> </w:t>
      </w:r>
      <w:r w:rsidR="00EF0D8D">
        <w:rPr>
          <w:rFonts w:eastAsiaTheme="minorEastAsia"/>
          <w:color w:val="auto"/>
          <w:szCs w:val="24"/>
          <w:lang w:eastAsia="en-US"/>
        </w:rPr>
        <w:t>podnikov, ktorým vznikne povinnosť vykazovania informácií o udržateľnosti vo výročnej správe sa významne prejaví aj v podmienkach S</w:t>
      </w:r>
      <w:r w:rsidR="00520DA1">
        <w:rPr>
          <w:rFonts w:eastAsiaTheme="minorEastAsia"/>
          <w:color w:val="auto"/>
          <w:szCs w:val="24"/>
          <w:lang w:eastAsia="en-US"/>
        </w:rPr>
        <w:t>lovenskej republiky.</w:t>
      </w:r>
      <w:r w:rsidR="00EF0D8D">
        <w:rPr>
          <w:rFonts w:eastAsiaTheme="minorEastAsia"/>
          <w:color w:val="auto"/>
          <w:szCs w:val="24"/>
          <w:lang w:eastAsia="en-US"/>
        </w:rPr>
        <w:t xml:space="preserve"> </w:t>
      </w:r>
      <w:r w:rsidR="0023568B">
        <w:rPr>
          <w:rFonts w:eastAsiaTheme="minorEastAsia"/>
          <w:color w:val="auto"/>
          <w:szCs w:val="24"/>
          <w:lang w:eastAsia="en-US"/>
        </w:rPr>
        <w:t>Navrhované zmeny v oblasti vykazovania informácií o udržateľnosti predstavujú zníženie administratívnej záťaže pre dotknuté účtovné jednotky (obchodné spoločnosti), ktoré S</w:t>
      </w:r>
      <w:r w:rsidR="00520DA1">
        <w:rPr>
          <w:rFonts w:eastAsiaTheme="minorEastAsia"/>
          <w:color w:val="auto"/>
          <w:szCs w:val="24"/>
          <w:lang w:eastAsia="en-US"/>
        </w:rPr>
        <w:t xml:space="preserve">lovenská republika </w:t>
      </w:r>
      <w:r w:rsidR="0023568B">
        <w:rPr>
          <w:rFonts w:eastAsiaTheme="minorEastAsia"/>
          <w:color w:val="auto"/>
          <w:szCs w:val="24"/>
          <w:lang w:eastAsia="en-US"/>
        </w:rPr>
        <w:t xml:space="preserve">víta. </w:t>
      </w:r>
      <w:r w:rsidR="00EF0D8D" w:rsidRPr="00C84800">
        <w:rPr>
          <w:rFonts w:eastAsiaTheme="minorEastAsia"/>
          <w:color w:val="auto"/>
          <w:szCs w:val="24"/>
          <w:lang w:eastAsia="en-US"/>
        </w:rPr>
        <w:t>Navrhovan</w:t>
      </w:r>
      <w:r w:rsidR="00EF0D8D">
        <w:rPr>
          <w:rFonts w:eastAsiaTheme="minorEastAsia"/>
          <w:color w:val="auto"/>
          <w:szCs w:val="24"/>
          <w:lang w:eastAsia="en-US"/>
        </w:rPr>
        <w:t>é zmeny v článku 2</w:t>
      </w:r>
      <w:r w:rsidR="00D96B43">
        <w:rPr>
          <w:rFonts w:eastAsiaTheme="minorEastAsia"/>
          <w:color w:val="auto"/>
          <w:szCs w:val="24"/>
          <w:lang w:eastAsia="en-US"/>
        </w:rPr>
        <w:t xml:space="preserve"> a 3</w:t>
      </w:r>
      <w:r w:rsidR="00EF0D8D">
        <w:rPr>
          <w:rFonts w:eastAsiaTheme="minorEastAsia"/>
          <w:color w:val="auto"/>
          <w:szCs w:val="24"/>
          <w:lang w:eastAsia="en-US"/>
        </w:rPr>
        <w:t xml:space="preserve"> návrh</w:t>
      </w:r>
      <w:r w:rsidR="00EF0D8D" w:rsidRPr="00C84800">
        <w:rPr>
          <w:rFonts w:eastAsiaTheme="minorEastAsia"/>
          <w:color w:val="auto"/>
          <w:szCs w:val="24"/>
          <w:lang w:eastAsia="en-US"/>
        </w:rPr>
        <w:t xml:space="preserve">u smernice </w:t>
      </w:r>
      <w:r w:rsidR="00520DA1">
        <w:rPr>
          <w:rFonts w:eastAsiaTheme="minorEastAsia"/>
          <w:color w:val="auto"/>
          <w:szCs w:val="24"/>
          <w:lang w:eastAsia="en-US"/>
        </w:rPr>
        <w:t xml:space="preserve">(smernica 2013/34/EÚ a smernica (EÚ) 2022/2464) </w:t>
      </w:r>
      <w:r w:rsidR="00EF0D8D" w:rsidRPr="00C84800">
        <w:rPr>
          <w:rFonts w:eastAsiaTheme="minorEastAsia"/>
          <w:color w:val="auto"/>
          <w:szCs w:val="24"/>
          <w:lang w:eastAsia="en-US"/>
        </w:rPr>
        <w:t>si vyžiad</w:t>
      </w:r>
      <w:r w:rsidR="00EF0D8D">
        <w:rPr>
          <w:rFonts w:eastAsiaTheme="minorEastAsia"/>
          <w:color w:val="auto"/>
          <w:szCs w:val="24"/>
          <w:lang w:eastAsia="en-US"/>
        </w:rPr>
        <w:t>ajú ich</w:t>
      </w:r>
      <w:r w:rsidR="008D173C">
        <w:rPr>
          <w:rFonts w:eastAsiaTheme="minorEastAsia"/>
          <w:color w:val="auto"/>
          <w:szCs w:val="24"/>
          <w:lang w:eastAsia="en-US"/>
        </w:rPr>
        <w:t xml:space="preserve"> </w:t>
      </w:r>
      <w:r w:rsidR="00EF0D8D" w:rsidRPr="00C84800">
        <w:rPr>
          <w:rFonts w:eastAsiaTheme="minorEastAsia"/>
          <w:color w:val="auto"/>
          <w:szCs w:val="24"/>
          <w:lang w:eastAsia="en-US"/>
        </w:rPr>
        <w:t>prevzatie do zákona o účtovníctve.</w:t>
      </w:r>
      <w:r w:rsidR="0023568B">
        <w:rPr>
          <w:rFonts w:eastAsiaTheme="minorEastAsia"/>
          <w:color w:val="auto"/>
          <w:szCs w:val="24"/>
          <w:lang w:eastAsia="en-US"/>
        </w:rPr>
        <w:t xml:space="preserve"> V prípade prijatia navrhovaných úprav </w:t>
      </w:r>
      <w:r w:rsidR="00520DA1">
        <w:rPr>
          <w:rFonts w:eastAsiaTheme="minorEastAsia"/>
          <w:color w:val="auto"/>
          <w:szCs w:val="24"/>
          <w:lang w:eastAsia="en-US"/>
        </w:rPr>
        <w:t xml:space="preserve">v čl. 2 návrhu smernice </w:t>
      </w:r>
      <w:r w:rsidR="0023568B">
        <w:rPr>
          <w:rFonts w:eastAsiaTheme="minorEastAsia"/>
          <w:color w:val="auto"/>
          <w:szCs w:val="24"/>
          <w:lang w:eastAsia="en-US"/>
        </w:rPr>
        <w:t>týkajúcich sa kolektívnej zodpovednosti za zverejnenie výročnej správy bude potrebné ich zapracovať do zákona č. 513/1991 Zb. Obchodný zákonn</w:t>
      </w:r>
      <w:r w:rsidR="005844B4">
        <w:rPr>
          <w:rFonts w:eastAsiaTheme="minorEastAsia"/>
          <w:color w:val="auto"/>
          <w:szCs w:val="24"/>
          <w:lang w:eastAsia="en-US"/>
        </w:rPr>
        <w:t>ík v znení neskorších predpisov</w:t>
      </w:r>
    </w:p>
    <w:p w14:paraId="2A457B74" w14:textId="77777777" w:rsidR="005844B4" w:rsidRDefault="005844B4" w:rsidP="008D173C">
      <w:pPr>
        <w:spacing w:line="240" w:lineRule="auto"/>
        <w:ind w:left="448" w:right="6" w:hanging="23"/>
        <w:rPr>
          <w:rFonts w:eastAsiaTheme="minorEastAsia"/>
          <w:color w:val="auto"/>
          <w:szCs w:val="24"/>
          <w:lang w:eastAsia="en-US"/>
        </w:rPr>
      </w:pPr>
    </w:p>
    <w:p w14:paraId="469DC9A3" w14:textId="77777777" w:rsidR="005844B4" w:rsidRPr="00CC1BE7" w:rsidRDefault="005844B4" w:rsidP="005844B4">
      <w:pPr>
        <w:spacing w:after="0" w:line="240" w:lineRule="auto"/>
        <w:ind w:left="426" w:right="0" w:firstLine="0"/>
        <w:rPr>
          <w:rFonts w:eastAsiaTheme="minorEastAsia"/>
          <w:color w:val="auto"/>
          <w:szCs w:val="24"/>
          <w:lang w:eastAsia="en-US"/>
        </w:rPr>
      </w:pPr>
      <w:r w:rsidRPr="00CC1BE7">
        <w:rPr>
          <w:szCs w:val="24"/>
          <w:u w:val="single"/>
        </w:rPr>
        <w:t>K návrhu smernice týkajúceho sa smernice CSDDD:</w:t>
      </w:r>
    </w:p>
    <w:p w14:paraId="2E4D4A68" w14:textId="77777777" w:rsidR="005844B4" w:rsidRPr="00CC1BE7" w:rsidRDefault="005844B4" w:rsidP="005844B4">
      <w:pPr>
        <w:pStyle w:val="Bezriadkovania"/>
        <w:ind w:left="426"/>
        <w:jc w:val="both"/>
        <w:rPr>
          <w:rFonts w:ascii="Times New Roman" w:hAnsi="Times New Roman" w:cs="Times New Roman"/>
          <w:sz w:val="24"/>
          <w:szCs w:val="24"/>
        </w:rPr>
      </w:pPr>
      <w:r w:rsidRPr="00CC1BE7">
        <w:rPr>
          <w:rFonts w:ascii="Times New Roman" w:hAnsi="Times New Roman" w:cs="Times New Roman"/>
          <w:sz w:val="24"/>
          <w:szCs w:val="24"/>
        </w:rPr>
        <w:t xml:space="preserve">Smernica CSDDD do právneho poriadku SR zatiaľ transponovaná nebola a spoločnosti ju ešte neuplatňujú. Prípravné práce na tvorbe nového predpisu, ktorým bude smernica transponovaná boli spustené a dotknuté subjekty sa postupne oboznamujú s požiadavkami, ktoré na </w:t>
      </w:r>
      <w:proofErr w:type="spellStart"/>
      <w:r w:rsidRPr="00CC1BE7">
        <w:rPr>
          <w:rFonts w:ascii="Times New Roman" w:hAnsi="Times New Roman" w:cs="Times New Roman"/>
          <w:sz w:val="24"/>
          <w:szCs w:val="24"/>
        </w:rPr>
        <w:t>ne</w:t>
      </w:r>
      <w:proofErr w:type="spellEnd"/>
      <w:r w:rsidRPr="00CC1BE7">
        <w:rPr>
          <w:rFonts w:ascii="Times New Roman" w:hAnsi="Times New Roman" w:cs="Times New Roman"/>
          <w:sz w:val="24"/>
          <w:szCs w:val="24"/>
        </w:rPr>
        <w:t xml:space="preserve"> budú kladené. Posun transpozičnej lehoty a následne aj lehoty na začatia uplatňovania smernice, ktoré boli prijaté návrhom smernice „stop </w:t>
      </w:r>
      <w:proofErr w:type="spellStart"/>
      <w:r w:rsidRPr="00CC1BE7">
        <w:rPr>
          <w:rFonts w:ascii="Times New Roman" w:hAnsi="Times New Roman" w:cs="Times New Roman"/>
          <w:sz w:val="24"/>
          <w:szCs w:val="24"/>
        </w:rPr>
        <w:t>the</w:t>
      </w:r>
      <w:proofErr w:type="spellEnd"/>
      <w:r w:rsidRPr="00CC1BE7">
        <w:rPr>
          <w:rFonts w:ascii="Times New Roman" w:hAnsi="Times New Roman" w:cs="Times New Roman"/>
          <w:sz w:val="24"/>
          <w:szCs w:val="24"/>
        </w:rPr>
        <w:t xml:space="preserve"> </w:t>
      </w:r>
      <w:proofErr w:type="spellStart"/>
      <w:r w:rsidRPr="00CC1BE7">
        <w:rPr>
          <w:rFonts w:ascii="Times New Roman" w:hAnsi="Times New Roman" w:cs="Times New Roman"/>
          <w:sz w:val="24"/>
          <w:szCs w:val="24"/>
        </w:rPr>
        <w:t>clock</w:t>
      </w:r>
      <w:proofErr w:type="spellEnd"/>
      <w:r w:rsidRPr="00CC1BE7">
        <w:rPr>
          <w:rFonts w:ascii="Times New Roman" w:hAnsi="Times New Roman" w:cs="Times New Roman"/>
          <w:sz w:val="24"/>
          <w:szCs w:val="24"/>
        </w:rPr>
        <w:t>“, bol prvým krokom k tomu, aby sa povinné spoločnosti a Slovenská republika pripravili na nové povinnosti vyplývajúce zo smernice CSDDD. SR víta kroky, ktoré smerujú k uvoľneniu administratívnej záťaže pre dotknuté podniky pri vykonávaní náležitej starostlivosti  v oblasti udržateľnosti, ako napríklad zúženie frekvencie pravidelného monitorovania a taktiež zúženie povinnosti identifikácie a posudzovania nepriaznivých vplyvov na priamych obchodných partnerov. Taktiež vo vzťahu odbremeniť malé a stredné podniky sa eliminuje možnosť tzv. „</w:t>
      </w:r>
      <w:proofErr w:type="spellStart"/>
      <w:r w:rsidRPr="00CC1BE7">
        <w:rPr>
          <w:rFonts w:ascii="Times New Roman" w:hAnsi="Times New Roman" w:cs="Times New Roman"/>
          <w:sz w:val="24"/>
          <w:szCs w:val="24"/>
        </w:rPr>
        <w:t>trickle-down</w:t>
      </w:r>
      <w:proofErr w:type="spellEnd"/>
      <w:r w:rsidRPr="00CC1BE7">
        <w:rPr>
          <w:rFonts w:ascii="Times New Roman" w:hAnsi="Times New Roman" w:cs="Times New Roman"/>
          <w:sz w:val="24"/>
          <w:szCs w:val="24"/>
        </w:rPr>
        <w:t>“ efektu.</w:t>
      </w:r>
    </w:p>
    <w:p w14:paraId="662C499A" w14:textId="77777777" w:rsidR="005844B4" w:rsidRDefault="005844B4" w:rsidP="005844B4">
      <w:pPr>
        <w:spacing w:after="0" w:line="240" w:lineRule="auto"/>
        <w:ind w:left="426" w:right="0" w:firstLine="0"/>
        <w:rPr>
          <w:szCs w:val="24"/>
        </w:rPr>
      </w:pPr>
    </w:p>
    <w:p w14:paraId="4C108045" w14:textId="77777777" w:rsidR="004549B9" w:rsidRDefault="004549B9" w:rsidP="005844B4">
      <w:pPr>
        <w:spacing w:after="0" w:line="240" w:lineRule="auto"/>
        <w:ind w:left="426" w:right="0" w:firstLine="0"/>
        <w:rPr>
          <w:szCs w:val="24"/>
        </w:rPr>
      </w:pPr>
    </w:p>
    <w:p w14:paraId="3015C36A" w14:textId="77777777" w:rsidR="004549B9" w:rsidRDefault="004549B9" w:rsidP="005844B4">
      <w:pPr>
        <w:spacing w:after="0" w:line="240" w:lineRule="auto"/>
        <w:ind w:left="426" w:right="0" w:firstLine="0"/>
        <w:rPr>
          <w:szCs w:val="24"/>
        </w:rPr>
      </w:pPr>
    </w:p>
    <w:p w14:paraId="4DF68602" w14:textId="77777777" w:rsidR="00C16228" w:rsidRDefault="00BD5E9B" w:rsidP="00B35497">
      <w:pPr>
        <w:numPr>
          <w:ilvl w:val="0"/>
          <w:numId w:val="17"/>
        </w:numPr>
        <w:spacing w:after="0" w:line="240" w:lineRule="auto"/>
        <w:ind w:left="426" w:right="0" w:hanging="426"/>
        <w:jc w:val="left"/>
      </w:pPr>
      <w:r>
        <w:rPr>
          <w:b/>
        </w:rPr>
        <w:t>Pozícia Slovenskej republiky</w:t>
      </w:r>
      <w:r w:rsidR="007D5844">
        <w:rPr>
          <w:b/>
        </w:rPr>
        <w:t xml:space="preserve"> </w:t>
      </w:r>
    </w:p>
    <w:p w14:paraId="057FE607" w14:textId="77777777" w:rsidR="00520DA1" w:rsidRDefault="00520DA1" w:rsidP="00C921CD">
      <w:pPr>
        <w:spacing w:after="0" w:line="240" w:lineRule="auto"/>
        <w:ind w:left="426" w:right="0" w:firstLine="0"/>
      </w:pPr>
      <w:r w:rsidRPr="00CC1BE7">
        <w:rPr>
          <w:szCs w:val="24"/>
          <w:u w:val="single"/>
        </w:rPr>
        <w:t>K návrhu smern</w:t>
      </w:r>
      <w:r>
        <w:rPr>
          <w:szCs w:val="24"/>
          <w:u w:val="single"/>
        </w:rPr>
        <w:t>ice týkajúceho sa smerníc 2006/43/ES, 2013/34/EÚ a smernice (EÚ) 2022/2464</w:t>
      </w:r>
    </w:p>
    <w:p w14:paraId="16A85238" w14:textId="77777777" w:rsidR="0078392E" w:rsidRDefault="00C85268" w:rsidP="00C921CD">
      <w:pPr>
        <w:spacing w:after="0" w:line="240" w:lineRule="auto"/>
        <w:ind w:left="426" w:right="0" w:firstLine="0"/>
        <w:rPr>
          <w:szCs w:val="24"/>
        </w:rPr>
      </w:pPr>
      <w:r w:rsidRPr="00C85268">
        <w:t>S</w:t>
      </w:r>
      <w:r w:rsidR="00520DA1">
        <w:t>lovenská republika</w:t>
      </w:r>
      <w:r w:rsidRPr="00C85268">
        <w:t xml:space="preserve"> v záujme čo najskoršieho schválenia </w:t>
      </w:r>
      <w:r w:rsidR="00A2235B">
        <w:t xml:space="preserve">návrhu </w:t>
      </w:r>
      <w:r w:rsidRPr="00C85268">
        <w:t xml:space="preserve">smernice podporuje </w:t>
      </w:r>
      <w:r w:rsidR="00A2235B">
        <w:t xml:space="preserve">jej </w:t>
      </w:r>
      <w:r w:rsidRPr="00C85268">
        <w:t>ciele týkajúce sa</w:t>
      </w:r>
      <w:r>
        <w:t xml:space="preserve"> </w:t>
      </w:r>
      <w:r w:rsidR="0056245C">
        <w:t xml:space="preserve">zníženia </w:t>
      </w:r>
      <w:r w:rsidR="00EF0D8D">
        <w:t>administratívnej záťaže podnikov</w:t>
      </w:r>
      <w:r w:rsidR="0078392E">
        <w:t xml:space="preserve">. </w:t>
      </w:r>
      <w:r w:rsidR="0078392E">
        <w:rPr>
          <w:szCs w:val="24"/>
        </w:rPr>
        <w:t>Z komplexného hľadiska je nevyhnutné v rámci rokovaní zodpovedať viacero otázok, ktoré môžu mať vplyv na praktické uplatňovanie návrhu smernice. Vzhľadom na nejasné ustanovenia návrhu smernice považujeme za dôležité upresniť niektoré špecifikácie návrhu smernice. Počas rokovaní o návrhu smernice budeme klásť dôraz na to, aby znenie smernice bolo jasné a zrozumiteľné, aby bolo možné jednoznačne stanoviť povinnosti a práva jednotlivých dotknutých subjektov a aby sa zároveň zabezpečilo splnenie cieľov návrhu smernice. Vo vzťahu k</w:t>
      </w:r>
      <w:r w:rsidR="00520DA1">
        <w:rPr>
          <w:szCs w:val="24"/>
        </w:rPr>
        <w:t xml:space="preserve"> navrhovaným zmenám smernice CSRD </w:t>
      </w:r>
      <w:r w:rsidR="0078392E">
        <w:rPr>
          <w:szCs w:val="24"/>
        </w:rPr>
        <w:t xml:space="preserve">je zároveň potrebné </w:t>
      </w:r>
      <w:r w:rsidR="009C2177" w:rsidRPr="009C2177">
        <w:rPr>
          <w:szCs w:val="24"/>
        </w:rPr>
        <w:t xml:space="preserve">v rámci rokovaní </w:t>
      </w:r>
      <w:r w:rsidR="00B83F60">
        <w:rPr>
          <w:szCs w:val="24"/>
        </w:rPr>
        <w:t>zdôrazňovať potrebu zachovania rovnakých pravidiel v rámci EÚ</w:t>
      </w:r>
      <w:r w:rsidR="0078392E">
        <w:rPr>
          <w:szCs w:val="24"/>
        </w:rPr>
        <w:t xml:space="preserve">, a to najmä vo vzťahu k podnikom z prvej vlny, ktorých sa súbežne predložený legislatívny návrh týkajúci sa odkladu začatia uplatňovania určitých požiadaviek smernice CSRD netýka. </w:t>
      </w:r>
    </w:p>
    <w:p w14:paraId="5266E03F" w14:textId="77777777" w:rsidR="005844B4" w:rsidRDefault="005844B4" w:rsidP="00C921CD">
      <w:pPr>
        <w:spacing w:after="0" w:line="240" w:lineRule="auto"/>
        <w:ind w:left="426" w:right="0" w:firstLine="0"/>
        <w:rPr>
          <w:szCs w:val="24"/>
        </w:rPr>
      </w:pPr>
    </w:p>
    <w:p w14:paraId="4FB5A9AD" w14:textId="77777777" w:rsidR="005844B4" w:rsidRPr="00CC1BE7" w:rsidRDefault="005844B4" w:rsidP="005844B4">
      <w:pPr>
        <w:spacing w:after="0" w:line="240" w:lineRule="auto"/>
        <w:ind w:left="426" w:right="0" w:firstLine="0"/>
        <w:rPr>
          <w:rFonts w:eastAsiaTheme="minorEastAsia"/>
          <w:color w:val="auto"/>
          <w:szCs w:val="24"/>
          <w:lang w:eastAsia="en-US"/>
        </w:rPr>
      </w:pPr>
      <w:r w:rsidRPr="00CC1BE7">
        <w:rPr>
          <w:szCs w:val="24"/>
          <w:u w:val="single"/>
        </w:rPr>
        <w:t>K návrhu smernice týkajúceho sa smernice CSDDD:</w:t>
      </w:r>
    </w:p>
    <w:p w14:paraId="073B350E" w14:textId="77777777" w:rsidR="00AC3B87" w:rsidRDefault="00A02322" w:rsidP="00A02322">
      <w:pPr>
        <w:spacing w:after="0" w:line="240" w:lineRule="auto"/>
        <w:ind w:left="426" w:right="0" w:firstLine="0"/>
        <w:rPr>
          <w:szCs w:val="24"/>
        </w:rPr>
      </w:pPr>
      <w:r w:rsidRPr="00CC1BE7">
        <w:rPr>
          <w:szCs w:val="24"/>
        </w:rPr>
        <w:t xml:space="preserve">Slovenská republika podporuje navrhnuté iniciatívy smerujúce k zníženiu administratívnej záťaže a </w:t>
      </w:r>
      <w:r w:rsidR="00B05BA9" w:rsidRPr="00CC1BE7">
        <w:rPr>
          <w:szCs w:val="24"/>
        </w:rPr>
        <w:t>zjednodušeniu</w:t>
      </w:r>
      <w:r w:rsidRPr="00CC1BE7">
        <w:rPr>
          <w:szCs w:val="24"/>
        </w:rPr>
        <w:t xml:space="preserve"> regulačných požiadaviek pre podniky pri dodržiavaní pravidiel</w:t>
      </w:r>
      <w:r w:rsidR="00EF1273" w:rsidRPr="00CC1BE7">
        <w:rPr>
          <w:szCs w:val="24"/>
        </w:rPr>
        <w:t xml:space="preserve"> v oblasti u</w:t>
      </w:r>
      <w:r w:rsidRPr="00CC1BE7">
        <w:rPr>
          <w:szCs w:val="24"/>
        </w:rPr>
        <w:t>držateľnos</w:t>
      </w:r>
      <w:r w:rsidR="00EF1273" w:rsidRPr="00CC1BE7">
        <w:rPr>
          <w:szCs w:val="24"/>
        </w:rPr>
        <w:t xml:space="preserve">ti. Zároveň </w:t>
      </w:r>
      <w:r w:rsidR="00B05BA9" w:rsidRPr="00CC1BE7">
        <w:rPr>
          <w:szCs w:val="24"/>
        </w:rPr>
        <w:t xml:space="preserve">by </w:t>
      </w:r>
      <w:r w:rsidR="00EF1273" w:rsidRPr="00CC1BE7">
        <w:rPr>
          <w:szCs w:val="24"/>
        </w:rPr>
        <w:t xml:space="preserve">SR </w:t>
      </w:r>
      <w:r w:rsidR="00B05BA9" w:rsidRPr="00CC1BE7">
        <w:rPr>
          <w:szCs w:val="24"/>
        </w:rPr>
        <w:t>uvítala aj ďalšie</w:t>
      </w:r>
      <w:r w:rsidR="00EF1273" w:rsidRPr="00CC1BE7">
        <w:rPr>
          <w:szCs w:val="24"/>
        </w:rPr>
        <w:t xml:space="preserve"> návrhy, ktoré by smerovali k uvoľneniu režimu nastaveného v smernici CSDDD a ktoré bude SR pri rokovaniach </w:t>
      </w:r>
      <w:r w:rsidR="00B05BA9" w:rsidRPr="00CC1BE7">
        <w:rPr>
          <w:szCs w:val="24"/>
        </w:rPr>
        <w:t>podporovať</w:t>
      </w:r>
      <w:r w:rsidR="00EF1273" w:rsidRPr="00CC1BE7">
        <w:rPr>
          <w:szCs w:val="24"/>
        </w:rPr>
        <w:t xml:space="preserve">. Je nevyhnutné, aby revízia smernice bola jasná a zrozumiteľná a na tento účel boli v rámci rokovaní vyjasnené </w:t>
      </w:r>
      <w:r w:rsidR="00B05BA9" w:rsidRPr="00CC1BE7">
        <w:rPr>
          <w:szCs w:val="24"/>
        </w:rPr>
        <w:t xml:space="preserve">viaceré </w:t>
      </w:r>
      <w:r w:rsidR="00EF1273" w:rsidRPr="00CC1BE7">
        <w:rPr>
          <w:szCs w:val="24"/>
        </w:rPr>
        <w:t>nové pojmy</w:t>
      </w:r>
      <w:r w:rsidR="00653840" w:rsidRPr="00CC1BE7">
        <w:rPr>
          <w:szCs w:val="24"/>
        </w:rPr>
        <w:t>, ktoré sa v</w:t>
      </w:r>
      <w:r w:rsidR="00EF1273" w:rsidRPr="00CC1BE7">
        <w:rPr>
          <w:szCs w:val="24"/>
        </w:rPr>
        <w:t> texte návrhu smernice vyskytu</w:t>
      </w:r>
      <w:r w:rsidR="00653840" w:rsidRPr="00CC1BE7">
        <w:rPr>
          <w:szCs w:val="24"/>
        </w:rPr>
        <w:t>jú.</w:t>
      </w:r>
      <w:r w:rsidR="00B05BA9" w:rsidRPr="00CC1BE7">
        <w:rPr>
          <w:szCs w:val="24"/>
        </w:rPr>
        <w:t xml:space="preserve"> Zrozumiteľnosť pojmov</w:t>
      </w:r>
      <w:r w:rsidR="00EF1273" w:rsidRPr="00CC1BE7">
        <w:rPr>
          <w:szCs w:val="24"/>
        </w:rPr>
        <w:t xml:space="preserve"> je kľúčová pre</w:t>
      </w:r>
      <w:r w:rsidR="00B05BA9" w:rsidRPr="00CC1BE7">
        <w:rPr>
          <w:szCs w:val="24"/>
        </w:rPr>
        <w:t xml:space="preserve"> správnu transpozíciu,</w:t>
      </w:r>
      <w:r w:rsidR="00EF1273" w:rsidRPr="00CC1BE7">
        <w:rPr>
          <w:szCs w:val="24"/>
        </w:rPr>
        <w:t xml:space="preserve"> zabezpečenie právnej istoty a predvídateľnosti pre slovenské podniky</w:t>
      </w:r>
      <w:r w:rsidR="00B05BA9" w:rsidRPr="00CC1BE7">
        <w:rPr>
          <w:szCs w:val="24"/>
        </w:rPr>
        <w:t>, ako aj harmonizáciu uplatňovaných pravidiel naprieč členskými štátmi</w:t>
      </w:r>
      <w:r w:rsidR="00653840" w:rsidRPr="00CC1BE7">
        <w:rPr>
          <w:szCs w:val="24"/>
        </w:rPr>
        <w:t xml:space="preserve">. </w:t>
      </w:r>
      <w:r w:rsidRPr="00CC1BE7">
        <w:rPr>
          <w:szCs w:val="24"/>
        </w:rPr>
        <w:t>Slovenská republika je pripravená aktívne sa podieľať na ďalšom legislatívnom procese s cieľom dosiahnuť finálne znenie smernice, ktoré bude vyvážené a zohľadní potreby všetkých zainteresovaných strán, vrátane podnikateľského prostredia.</w:t>
      </w:r>
    </w:p>
    <w:p w14:paraId="056F2073" w14:textId="77777777" w:rsidR="005844B4" w:rsidRDefault="005844B4" w:rsidP="00C921CD">
      <w:pPr>
        <w:spacing w:after="0" w:line="240" w:lineRule="auto"/>
        <w:ind w:left="426" w:right="0" w:firstLine="0"/>
        <w:rPr>
          <w:szCs w:val="24"/>
          <w:u w:val="single"/>
        </w:rPr>
      </w:pPr>
    </w:p>
    <w:p w14:paraId="133C7E66" w14:textId="77777777" w:rsidR="00CD406F" w:rsidRDefault="00BD5E9B" w:rsidP="003018E0">
      <w:pPr>
        <w:spacing w:after="0" w:line="240" w:lineRule="auto"/>
        <w:ind w:left="0" w:right="0" w:firstLine="0"/>
        <w:jc w:val="left"/>
      </w:pPr>
      <w:r>
        <w:rPr>
          <w:u w:val="single" w:color="000000"/>
        </w:rPr>
        <w:t>III. VPLYVY NA VYBRANÉ OBLASTI</w:t>
      </w:r>
      <w:r>
        <w:t xml:space="preserve"> </w:t>
      </w:r>
    </w:p>
    <w:p w14:paraId="12C9BF63" w14:textId="77777777" w:rsidR="00CD406F" w:rsidRDefault="00BD5E9B" w:rsidP="000C256C">
      <w:pPr>
        <w:spacing w:after="0" w:line="240" w:lineRule="auto"/>
        <w:ind w:left="77" w:right="0" w:firstLine="0"/>
        <w:jc w:val="left"/>
      </w:pPr>
      <w:r>
        <w:rPr>
          <w:sz w:val="22"/>
        </w:rPr>
        <w:t xml:space="preserve"> </w:t>
      </w:r>
    </w:p>
    <w:tbl>
      <w:tblPr>
        <w:tblStyle w:val="TableGrid"/>
        <w:tblW w:w="9178" w:type="dxa"/>
        <w:tblInd w:w="84" w:type="dxa"/>
        <w:tblCellMar>
          <w:top w:w="15" w:type="dxa"/>
        </w:tblCellMar>
        <w:tblLook w:val="04A0" w:firstRow="1" w:lastRow="0" w:firstColumn="1" w:lastColumn="0" w:noHBand="0" w:noVBand="1"/>
      </w:tblPr>
      <w:tblGrid>
        <w:gridCol w:w="3808"/>
        <w:gridCol w:w="651"/>
        <w:gridCol w:w="1388"/>
        <w:gridCol w:w="463"/>
        <w:gridCol w:w="1213"/>
        <w:gridCol w:w="502"/>
        <w:gridCol w:w="1153"/>
      </w:tblGrid>
      <w:tr w:rsidR="00CD406F" w14:paraId="513925AF" w14:textId="77777777" w:rsidTr="00C85268">
        <w:trPr>
          <w:trHeight w:val="292"/>
        </w:trPr>
        <w:tc>
          <w:tcPr>
            <w:tcW w:w="4459" w:type="dxa"/>
            <w:gridSpan w:val="2"/>
            <w:tcBorders>
              <w:top w:val="single" w:sz="4" w:space="0" w:color="000000"/>
              <w:left w:val="single" w:sz="4" w:space="0" w:color="000000"/>
              <w:bottom w:val="single" w:sz="4" w:space="0" w:color="000000"/>
              <w:right w:val="nil"/>
            </w:tcBorders>
            <w:shd w:val="clear" w:color="auto" w:fill="E2E2E2"/>
          </w:tcPr>
          <w:p w14:paraId="60BFF282" w14:textId="77777777" w:rsidR="00CD406F" w:rsidRDefault="00BD5E9B" w:rsidP="000C256C">
            <w:pPr>
              <w:spacing w:after="0" w:line="240" w:lineRule="auto"/>
              <w:ind w:left="175" w:right="0" w:firstLine="0"/>
              <w:jc w:val="left"/>
            </w:pPr>
            <w:r>
              <w:rPr>
                <w:b/>
              </w:rPr>
              <w:t>1.</w:t>
            </w:r>
            <w:r>
              <w:rPr>
                <w:rFonts w:ascii="Arial" w:eastAsia="Arial" w:hAnsi="Arial" w:cs="Arial"/>
                <w:b/>
              </w:rPr>
              <w:t xml:space="preserve"> </w:t>
            </w:r>
            <w:r>
              <w:rPr>
                <w:b/>
              </w:rPr>
              <w:t>Vybrané vplyvy</w:t>
            </w:r>
            <w:r w:rsidR="007D5844">
              <w:rPr>
                <w:b/>
              </w:rPr>
              <w:t xml:space="preserve"> </w:t>
            </w:r>
            <w:r>
              <w:rPr>
                <w:b/>
              </w:rPr>
              <w:t xml:space="preserve">materiálu </w:t>
            </w:r>
          </w:p>
        </w:tc>
        <w:tc>
          <w:tcPr>
            <w:tcW w:w="1388" w:type="dxa"/>
            <w:tcBorders>
              <w:top w:val="single" w:sz="4" w:space="0" w:color="000000"/>
              <w:left w:val="nil"/>
              <w:bottom w:val="single" w:sz="4" w:space="0" w:color="000000"/>
              <w:right w:val="nil"/>
            </w:tcBorders>
            <w:shd w:val="clear" w:color="auto" w:fill="E2E2E2"/>
          </w:tcPr>
          <w:p w14:paraId="3EC7523F" w14:textId="77777777" w:rsidR="00CD406F" w:rsidRDefault="00CD406F" w:rsidP="000C256C">
            <w:pPr>
              <w:spacing w:after="0" w:line="240" w:lineRule="auto"/>
              <w:ind w:left="0" w:right="0" w:firstLine="0"/>
              <w:jc w:val="left"/>
            </w:pPr>
          </w:p>
        </w:tc>
        <w:tc>
          <w:tcPr>
            <w:tcW w:w="463" w:type="dxa"/>
            <w:tcBorders>
              <w:top w:val="single" w:sz="4" w:space="0" w:color="000000"/>
              <w:left w:val="nil"/>
              <w:bottom w:val="single" w:sz="4" w:space="0" w:color="000000"/>
              <w:right w:val="nil"/>
            </w:tcBorders>
            <w:shd w:val="clear" w:color="auto" w:fill="E2E2E2"/>
          </w:tcPr>
          <w:p w14:paraId="7FAB1FBD" w14:textId="77777777" w:rsidR="00CD406F" w:rsidRDefault="00CD406F" w:rsidP="000C256C">
            <w:pPr>
              <w:spacing w:after="0" w:line="240" w:lineRule="auto"/>
              <w:ind w:left="0" w:right="0" w:firstLine="0"/>
              <w:jc w:val="left"/>
            </w:pPr>
          </w:p>
        </w:tc>
        <w:tc>
          <w:tcPr>
            <w:tcW w:w="1213" w:type="dxa"/>
            <w:tcBorders>
              <w:top w:val="single" w:sz="4" w:space="0" w:color="000000"/>
              <w:left w:val="nil"/>
              <w:bottom w:val="single" w:sz="4" w:space="0" w:color="000000"/>
              <w:right w:val="nil"/>
            </w:tcBorders>
            <w:shd w:val="clear" w:color="auto" w:fill="E2E2E2"/>
          </w:tcPr>
          <w:p w14:paraId="62ED823B" w14:textId="77777777" w:rsidR="00CD406F" w:rsidRDefault="00CD406F" w:rsidP="000C256C">
            <w:pPr>
              <w:spacing w:after="0" w:line="240" w:lineRule="auto"/>
              <w:ind w:left="0" w:right="0" w:firstLine="0"/>
              <w:jc w:val="left"/>
            </w:pPr>
          </w:p>
        </w:tc>
        <w:tc>
          <w:tcPr>
            <w:tcW w:w="502" w:type="dxa"/>
            <w:tcBorders>
              <w:top w:val="single" w:sz="4" w:space="0" w:color="000000"/>
              <w:left w:val="nil"/>
              <w:bottom w:val="single" w:sz="4" w:space="0" w:color="000000"/>
              <w:right w:val="nil"/>
            </w:tcBorders>
            <w:shd w:val="clear" w:color="auto" w:fill="E2E2E2"/>
          </w:tcPr>
          <w:p w14:paraId="4CA9F2EA" w14:textId="77777777" w:rsidR="00CD406F" w:rsidRDefault="00CD406F" w:rsidP="000C256C">
            <w:pPr>
              <w:spacing w:after="0" w:line="240" w:lineRule="auto"/>
              <w:ind w:left="0" w:right="0" w:firstLine="0"/>
              <w:jc w:val="left"/>
            </w:pPr>
          </w:p>
        </w:tc>
        <w:tc>
          <w:tcPr>
            <w:tcW w:w="1153" w:type="dxa"/>
            <w:tcBorders>
              <w:top w:val="single" w:sz="4" w:space="0" w:color="000000"/>
              <w:left w:val="nil"/>
              <w:bottom w:val="single" w:sz="4" w:space="0" w:color="000000"/>
              <w:right w:val="single" w:sz="4" w:space="0" w:color="000000"/>
            </w:tcBorders>
            <w:shd w:val="clear" w:color="auto" w:fill="E2E2E2"/>
          </w:tcPr>
          <w:p w14:paraId="2ED8E0E9" w14:textId="77777777" w:rsidR="00CD406F" w:rsidRDefault="00CD406F" w:rsidP="000C256C">
            <w:pPr>
              <w:spacing w:after="0" w:line="240" w:lineRule="auto"/>
              <w:ind w:left="0" w:right="0" w:firstLine="0"/>
              <w:jc w:val="left"/>
            </w:pPr>
          </w:p>
        </w:tc>
      </w:tr>
      <w:tr w:rsidR="00C85268" w14:paraId="72ADB32C" w14:textId="77777777" w:rsidTr="00C85268">
        <w:trPr>
          <w:trHeight w:val="276"/>
        </w:trPr>
        <w:tc>
          <w:tcPr>
            <w:tcW w:w="3808" w:type="dxa"/>
            <w:tcBorders>
              <w:top w:val="single" w:sz="4" w:space="0" w:color="000000"/>
              <w:left w:val="single" w:sz="4" w:space="0" w:color="000000"/>
              <w:bottom w:val="single" w:sz="4" w:space="0" w:color="E2E2E2"/>
              <w:right w:val="single" w:sz="4" w:space="0" w:color="000000"/>
            </w:tcBorders>
            <w:shd w:val="clear" w:color="auto" w:fill="E2E2E2"/>
          </w:tcPr>
          <w:p w14:paraId="186778A7" w14:textId="77777777" w:rsidR="00C85268" w:rsidRDefault="00C85268" w:rsidP="00C85268">
            <w:pPr>
              <w:spacing w:after="0" w:line="240" w:lineRule="auto"/>
              <w:ind w:left="108" w:right="0" w:firstLine="0"/>
              <w:jc w:val="left"/>
            </w:pPr>
            <w:r>
              <w:rPr>
                <w:b/>
                <w:sz w:val="20"/>
              </w:rPr>
              <w:t xml:space="preserve">Vplyvy na rozpočet verejnej správy </w:t>
            </w:r>
          </w:p>
        </w:tc>
        <w:tc>
          <w:tcPr>
            <w:tcW w:w="651" w:type="dxa"/>
            <w:tcBorders>
              <w:top w:val="single" w:sz="4" w:space="0" w:color="000000"/>
              <w:left w:val="single" w:sz="4" w:space="0" w:color="000000"/>
              <w:bottom w:val="dashed" w:sz="4" w:space="0" w:color="000000"/>
              <w:right w:val="nil"/>
            </w:tcBorders>
          </w:tcPr>
          <w:p w14:paraId="548C5C7C" w14:textId="77777777" w:rsidR="00C85268" w:rsidRPr="0059242C" w:rsidRDefault="00C85268" w:rsidP="00C85268">
            <w:pPr>
              <w:spacing w:after="0" w:line="240" w:lineRule="auto"/>
              <w:ind w:left="185" w:right="0" w:firstLine="0"/>
              <w:jc w:val="left"/>
              <w:rPr>
                <w:color w:val="auto"/>
              </w:rPr>
            </w:pPr>
            <w:r w:rsidRPr="0059242C">
              <w:rPr>
                <w:rFonts w:ascii="Segoe UI Symbol" w:eastAsia="Segoe UI Symbol" w:hAnsi="Segoe UI Symbol" w:cs="Segoe UI Symbol"/>
                <w:color w:val="auto"/>
                <w:sz w:val="20"/>
              </w:rPr>
              <w:t>☐</w:t>
            </w:r>
            <w:r w:rsidRPr="0059242C">
              <w:rPr>
                <w:b/>
                <w:color w:val="auto"/>
                <w:sz w:val="20"/>
              </w:rPr>
              <w:t xml:space="preserve"> </w:t>
            </w:r>
          </w:p>
        </w:tc>
        <w:tc>
          <w:tcPr>
            <w:tcW w:w="1388" w:type="dxa"/>
            <w:tcBorders>
              <w:top w:val="single" w:sz="4" w:space="0" w:color="000000"/>
              <w:left w:val="nil"/>
              <w:bottom w:val="dashed" w:sz="4" w:space="0" w:color="000000"/>
              <w:right w:val="nil"/>
            </w:tcBorders>
          </w:tcPr>
          <w:p w14:paraId="27C4D545" w14:textId="77777777" w:rsidR="00C85268" w:rsidRPr="0059242C" w:rsidRDefault="00C85268" w:rsidP="00C85268">
            <w:pPr>
              <w:spacing w:after="0" w:line="240" w:lineRule="auto"/>
              <w:ind w:left="0" w:right="0" w:firstLine="0"/>
              <w:jc w:val="left"/>
              <w:rPr>
                <w:color w:val="auto"/>
              </w:rPr>
            </w:pPr>
            <w:r w:rsidRPr="0059242C">
              <w:rPr>
                <w:b/>
                <w:color w:val="auto"/>
                <w:sz w:val="20"/>
              </w:rPr>
              <w:t xml:space="preserve">Pozitívne </w:t>
            </w:r>
          </w:p>
        </w:tc>
        <w:tc>
          <w:tcPr>
            <w:tcW w:w="463" w:type="dxa"/>
            <w:tcBorders>
              <w:top w:val="single" w:sz="4" w:space="0" w:color="000000"/>
              <w:left w:val="nil"/>
              <w:bottom w:val="dashed" w:sz="4" w:space="0" w:color="000000"/>
              <w:right w:val="nil"/>
            </w:tcBorders>
          </w:tcPr>
          <w:p w14:paraId="453671D6" w14:textId="77777777" w:rsidR="00C85268" w:rsidRPr="0059242C" w:rsidRDefault="00000000" w:rsidP="00C85268">
            <w:pPr>
              <w:spacing w:after="0" w:line="240" w:lineRule="auto"/>
              <w:ind w:left="0" w:right="0" w:firstLine="0"/>
              <w:jc w:val="left"/>
              <w:rPr>
                <w:color w:val="auto"/>
              </w:rPr>
            </w:pPr>
            <w:sdt>
              <w:sdtPr>
                <w:rPr>
                  <w:b/>
                  <w:color w:val="auto"/>
                  <w:sz w:val="20"/>
                  <w:szCs w:val="20"/>
                </w:rPr>
                <w:id w:val="195743016"/>
                <w14:checkbox>
                  <w14:checked w14:val="1"/>
                  <w14:checkedState w14:val="2612" w14:font="MS Gothic"/>
                  <w14:uncheckedState w14:val="2610" w14:font="MS Gothic"/>
                </w14:checkbox>
              </w:sdtPr>
              <w:sdtContent>
                <w:r w:rsidR="00C85268" w:rsidRPr="0059242C">
                  <w:rPr>
                    <w:rFonts w:ascii="MS Gothic" w:eastAsia="MS Gothic" w:hAnsi="MS Gothic" w:hint="eastAsia"/>
                    <w:b/>
                    <w:color w:val="auto"/>
                    <w:sz w:val="20"/>
                    <w:szCs w:val="20"/>
                  </w:rPr>
                  <w:t>☒</w:t>
                </w:r>
              </w:sdtContent>
            </w:sdt>
            <w:r w:rsidR="00C85268" w:rsidRPr="0059242C">
              <w:rPr>
                <w:b/>
                <w:color w:val="auto"/>
                <w:sz w:val="20"/>
              </w:rPr>
              <w:t xml:space="preserve"> </w:t>
            </w:r>
          </w:p>
        </w:tc>
        <w:tc>
          <w:tcPr>
            <w:tcW w:w="1213" w:type="dxa"/>
            <w:tcBorders>
              <w:top w:val="single" w:sz="4" w:space="0" w:color="000000"/>
              <w:left w:val="nil"/>
              <w:bottom w:val="dashed" w:sz="4" w:space="0" w:color="000000"/>
              <w:right w:val="nil"/>
            </w:tcBorders>
          </w:tcPr>
          <w:p w14:paraId="54B9FA4E" w14:textId="77777777" w:rsidR="00C85268" w:rsidRPr="0059242C" w:rsidRDefault="00C85268" w:rsidP="00C85268">
            <w:pPr>
              <w:spacing w:after="0" w:line="240" w:lineRule="auto"/>
              <w:ind w:left="0" w:right="0" w:firstLine="0"/>
              <w:jc w:val="left"/>
              <w:rPr>
                <w:color w:val="auto"/>
              </w:rPr>
            </w:pPr>
            <w:r w:rsidRPr="0059242C">
              <w:rPr>
                <w:b/>
                <w:color w:val="auto"/>
                <w:sz w:val="20"/>
              </w:rPr>
              <w:t xml:space="preserve">Žiadne </w:t>
            </w:r>
          </w:p>
        </w:tc>
        <w:tc>
          <w:tcPr>
            <w:tcW w:w="502" w:type="dxa"/>
            <w:tcBorders>
              <w:top w:val="single" w:sz="4" w:space="0" w:color="000000"/>
              <w:left w:val="nil"/>
              <w:bottom w:val="dashed" w:sz="4" w:space="0" w:color="000000"/>
              <w:right w:val="nil"/>
            </w:tcBorders>
          </w:tcPr>
          <w:p w14:paraId="7DC45AD3" w14:textId="77777777" w:rsidR="00C85268" w:rsidRPr="0059242C" w:rsidRDefault="00000000" w:rsidP="00C85268">
            <w:pPr>
              <w:spacing w:after="0" w:line="240" w:lineRule="auto"/>
              <w:ind w:left="0" w:right="0" w:firstLine="0"/>
              <w:jc w:val="left"/>
              <w:rPr>
                <w:color w:val="auto"/>
              </w:rPr>
            </w:pPr>
            <w:sdt>
              <w:sdtPr>
                <w:rPr>
                  <w:b/>
                  <w:color w:val="auto"/>
                  <w:sz w:val="20"/>
                  <w:szCs w:val="20"/>
                </w:rPr>
                <w:id w:val="-365677636"/>
                <w14:checkbox>
                  <w14:checked w14:val="0"/>
                  <w14:checkedState w14:val="2612" w14:font="MS Gothic"/>
                  <w14:uncheckedState w14:val="2610" w14:font="MS Gothic"/>
                </w14:checkbox>
              </w:sdtPr>
              <w:sdtContent>
                <w:r w:rsidR="00C85268">
                  <w:rPr>
                    <w:rFonts w:ascii="MS Gothic" w:eastAsia="MS Gothic" w:hAnsi="MS Gothic" w:hint="eastAsia"/>
                    <w:b/>
                    <w:color w:val="auto"/>
                    <w:sz w:val="20"/>
                    <w:szCs w:val="20"/>
                  </w:rPr>
                  <w:t>☐</w:t>
                </w:r>
              </w:sdtContent>
            </w:sdt>
            <w:r w:rsidR="00C85268" w:rsidRPr="0059242C">
              <w:rPr>
                <w:b/>
                <w:color w:val="auto"/>
                <w:sz w:val="20"/>
              </w:rPr>
              <w:t xml:space="preserve"> </w:t>
            </w:r>
          </w:p>
        </w:tc>
        <w:tc>
          <w:tcPr>
            <w:tcW w:w="1153" w:type="dxa"/>
            <w:tcBorders>
              <w:top w:val="single" w:sz="4" w:space="0" w:color="000000"/>
              <w:left w:val="nil"/>
              <w:bottom w:val="dashed" w:sz="4" w:space="0" w:color="000000"/>
              <w:right w:val="single" w:sz="4" w:space="0" w:color="000000"/>
            </w:tcBorders>
          </w:tcPr>
          <w:p w14:paraId="70DD3E58" w14:textId="77777777" w:rsidR="00C85268" w:rsidRPr="0059242C" w:rsidRDefault="00C85268" w:rsidP="00C85268">
            <w:pPr>
              <w:spacing w:after="0" w:line="240" w:lineRule="auto"/>
              <w:ind w:left="0" w:right="0" w:firstLine="0"/>
              <w:jc w:val="left"/>
              <w:rPr>
                <w:color w:val="auto"/>
              </w:rPr>
            </w:pPr>
            <w:r w:rsidRPr="0059242C">
              <w:rPr>
                <w:b/>
                <w:color w:val="auto"/>
                <w:sz w:val="20"/>
              </w:rPr>
              <w:t xml:space="preserve">Negatívne </w:t>
            </w:r>
          </w:p>
        </w:tc>
      </w:tr>
      <w:tr w:rsidR="00C85268" w14:paraId="3FEBFB43" w14:textId="77777777" w:rsidTr="00C85268">
        <w:trPr>
          <w:trHeight w:val="701"/>
        </w:trPr>
        <w:tc>
          <w:tcPr>
            <w:tcW w:w="3808" w:type="dxa"/>
            <w:tcBorders>
              <w:top w:val="single" w:sz="4" w:space="0" w:color="E2E2E2"/>
              <w:left w:val="single" w:sz="4" w:space="0" w:color="000000"/>
              <w:bottom w:val="single" w:sz="4" w:space="0" w:color="E2E2E2"/>
              <w:right w:val="single" w:sz="4" w:space="0" w:color="000000"/>
            </w:tcBorders>
            <w:shd w:val="clear" w:color="auto" w:fill="E2E2E2"/>
          </w:tcPr>
          <w:p w14:paraId="0CBF8CE8" w14:textId="77777777" w:rsidR="00C85268" w:rsidRDefault="00C85268" w:rsidP="00C85268">
            <w:pPr>
              <w:spacing w:after="0" w:line="240" w:lineRule="auto"/>
              <w:ind w:left="340" w:right="0" w:firstLine="0"/>
              <w:jc w:val="left"/>
            </w:pPr>
            <w:r>
              <w:rPr>
                <w:sz w:val="20"/>
              </w:rPr>
              <w:t>z toho rozpočtovo zabezpečené vplyvy,</w:t>
            </w:r>
            <w:r w:rsidR="008D173C">
              <w:rPr>
                <w:sz w:val="20"/>
              </w:rPr>
              <w:t xml:space="preserve"> </w:t>
            </w:r>
            <w:r w:rsidR="00C43561">
              <w:rPr>
                <w:sz w:val="20"/>
              </w:rPr>
              <w:t xml:space="preserve"> </w:t>
            </w:r>
            <w:r>
              <w:rPr>
                <w:sz w:val="20"/>
              </w:rPr>
              <w:t>v prípade identifikovaného negatívneho</w:t>
            </w:r>
            <w:r w:rsidR="008D173C">
              <w:rPr>
                <w:sz w:val="20"/>
              </w:rPr>
              <w:t xml:space="preserve"> </w:t>
            </w:r>
            <w:r>
              <w:rPr>
                <w:sz w:val="20"/>
              </w:rPr>
              <w:t xml:space="preserve">vplyvu </w:t>
            </w:r>
          </w:p>
        </w:tc>
        <w:tc>
          <w:tcPr>
            <w:tcW w:w="651" w:type="dxa"/>
            <w:tcBorders>
              <w:top w:val="dashed" w:sz="4" w:space="0" w:color="000000"/>
              <w:left w:val="single" w:sz="4" w:space="0" w:color="000000"/>
              <w:bottom w:val="dashed" w:sz="4" w:space="0" w:color="000000"/>
              <w:right w:val="nil"/>
            </w:tcBorders>
            <w:vAlign w:val="center"/>
          </w:tcPr>
          <w:p w14:paraId="2B8D65BE" w14:textId="77777777" w:rsidR="00C85268" w:rsidRPr="0059242C" w:rsidRDefault="00C85268" w:rsidP="00C85268">
            <w:pPr>
              <w:spacing w:after="0" w:line="240" w:lineRule="auto"/>
              <w:ind w:left="185" w:right="0" w:firstLine="0"/>
              <w:jc w:val="left"/>
              <w:rPr>
                <w:color w:val="auto"/>
              </w:rPr>
            </w:pPr>
            <w:r w:rsidRPr="0059242C">
              <w:rPr>
                <w:rFonts w:ascii="Segoe UI Symbol" w:eastAsia="Segoe UI Symbol" w:hAnsi="Segoe UI Symbol" w:cs="Segoe UI Symbol"/>
                <w:color w:val="auto"/>
                <w:sz w:val="20"/>
              </w:rPr>
              <w:t>☐</w:t>
            </w:r>
            <w:r w:rsidRPr="0059242C">
              <w:rPr>
                <w:color w:val="auto"/>
                <w:sz w:val="20"/>
              </w:rPr>
              <w:t xml:space="preserve"> </w:t>
            </w:r>
          </w:p>
        </w:tc>
        <w:tc>
          <w:tcPr>
            <w:tcW w:w="1388" w:type="dxa"/>
            <w:tcBorders>
              <w:top w:val="dashed" w:sz="4" w:space="0" w:color="000000"/>
              <w:left w:val="nil"/>
              <w:bottom w:val="dashed" w:sz="4" w:space="0" w:color="000000"/>
              <w:right w:val="nil"/>
            </w:tcBorders>
            <w:vAlign w:val="center"/>
          </w:tcPr>
          <w:p w14:paraId="6A84EC1C" w14:textId="77777777" w:rsidR="00C85268" w:rsidRPr="0059242C" w:rsidRDefault="00C85268" w:rsidP="00C85268">
            <w:pPr>
              <w:spacing w:after="0" w:line="240" w:lineRule="auto"/>
              <w:ind w:left="0" w:right="0" w:firstLine="0"/>
              <w:jc w:val="left"/>
              <w:rPr>
                <w:color w:val="auto"/>
              </w:rPr>
            </w:pPr>
            <w:r w:rsidRPr="0059242C">
              <w:rPr>
                <w:color w:val="auto"/>
                <w:sz w:val="20"/>
              </w:rPr>
              <w:t xml:space="preserve">Áno </w:t>
            </w:r>
          </w:p>
        </w:tc>
        <w:sdt>
          <w:sdtPr>
            <w:rPr>
              <w:b/>
              <w:color w:val="auto"/>
              <w:sz w:val="20"/>
              <w:szCs w:val="20"/>
            </w:rPr>
            <w:id w:val="-747504594"/>
            <w14:checkbox>
              <w14:checked w14:val="0"/>
              <w14:checkedState w14:val="2612" w14:font="MS Gothic"/>
              <w14:uncheckedState w14:val="2610" w14:font="MS Gothic"/>
            </w14:checkbox>
          </w:sdtPr>
          <w:sdtContent>
            <w:tc>
              <w:tcPr>
                <w:tcW w:w="463" w:type="dxa"/>
                <w:tcBorders>
                  <w:top w:val="dashed" w:sz="4" w:space="0" w:color="000000"/>
                  <w:left w:val="nil"/>
                  <w:bottom w:val="dashed" w:sz="4" w:space="0" w:color="000000"/>
                  <w:right w:val="nil"/>
                </w:tcBorders>
                <w:vAlign w:val="center"/>
              </w:tcPr>
              <w:p w14:paraId="0862CFF5" w14:textId="77777777" w:rsidR="00C85268" w:rsidRPr="0059242C" w:rsidRDefault="00C85268" w:rsidP="00C85268">
                <w:pPr>
                  <w:spacing w:after="0" w:line="240" w:lineRule="auto"/>
                  <w:ind w:left="0" w:right="0" w:firstLine="0"/>
                  <w:jc w:val="left"/>
                  <w:rPr>
                    <w:color w:val="auto"/>
                  </w:rPr>
                </w:pPr>
                <w:r>
                  <w:rPr>
                    <w:rFonts w:ascii="MS Gothic" w:eastAsia="MS Gothic" w:hAnsi="MS Gothic" w:hint="eastAsia"/>
                    <w:b/>
                    <w:color w:val="auto"/>
                    <w:sz w:val="20"/>
                    <w:szCs w:val="20"/>
                  </w:rPr>
                  <w:t>☐</w:t>
                </w:r>
              </w:p>
            </w:tc>
          </w:sdtContent>
        </w:sdt>
        <w:tc>
          <w:tcPr>
            <w:tcW w:w="1213" w:type="dxa"/>
            <w:tcBorders>
              <w:top w:val="dashed" w:sz="4" w:space="0" w:color="000000"/>
              <w:left w:val="nil"/>
              <w:bottom w:val="dashed" w:sz="4" w:space="0" w:color="000000"/>
              <w:right w:val="nil"/>
            </w:tcBorders>
            <w:vAlign w:val="center"/>
          </w:tcPr>
          <w:p w14:paraId="51D09F0D" w14:textId="77777777" w:rsidR="00C85268" w:rsidRPr="0059242C" w:rsidRDefault="00C85268" w:rsidP="00C85268">
            <w:pPr>
              <w:spacing w:after="0" w:line="240" w:lineRule="auto"/>
              <w:ind w:left="0" w:right="0" w:firstLine="0"/>
              <w:jc w:val="left"/>
              <w:rPr>
                <w:color w:val="auto"/>
              </w:rPr>
            </w:pPr>
            <w:r w:rsidRPr="0059242C">
              <w:rPr>
                <w:color w:val="auto"/>
                <w:sz w:val="20"/>
              </w:rPr>
              <w:t xml:space="preserve">Nie </w:t>
            </w:r>
          </w:p>
        </w:tc>
        <w:tc>
          <w:tcPr>
            <w:tcW w:w="502" w:type="dxa"/>
            <w:tcBorders>
              <w:top w:val="dashed" w:sz="4" w:space="0" w:color="000000"/>
              <w:left w:val="nil"/>
              <w:bottom w:val="dashed" w:sz="4" w:space="0" w:color="000000"/>
              <w:right w:val="nil"/>
            </w:tcBorders>
            <w:vAlign w:val="center"/>
          </w:tcPr>
          <w:p w14:paraId="4B72A6A4" w14:textId="77777777" w:rsidR="00C85268" w:rsidRPr="0059242C" w:rsidRDefault="00C85268" w:rsidP="00C85268">
            <w:pPr>
              <w:spacing w:after="0" w:line="240" w:lineRule="auto"/>
              <w:ind w:left="0" w:right="0" w:firstLine="0"/>
              <w:jc w:val="left"/>
              <w:rPr>
                <w:color w:val="auto"/>
              </w:rPr>
            </w:pPr>
            <w:r w:rsidRPr="0059242C">
              <w:rPr>
                <w:rFonts w:ascii="Segoe UI Symbol" w:eastAsia="Segoe UI Symbol" w:hAnsi="Segoe UI Symbol" w:cs="Segoe UI Symbol"/>
                <w:color w:val="auto"/>
                <w:sz w:val="20"/>
              </w:rPr>
              <w:t>☐</w:t>
            </w:r>
            <w:r w:rsidRPr="0059242C">
              <w:rPr>
                <w:color w:val="auto"/>
                <w:sz w:val="20"/>
              </w:rPr>
              <w:t xml:space="preserve"> </w:t>
            </w:r>
          </w:p>
        </w:tc>
        <w:tc>
          <w:tcPr>
            <w:tcW w:w="1153" w:type="dxa"/>
            <w:tcBorders>
              <w:top w:val="dashed" w:sz="4" w:space="0" w:color="000000"/>
              <w:left w:val="nil"/>
              <w:bottom w:val="dashed" w:sz="4" w:space="0" w:color="000000"/>
              <w:right w:val="single" w:sz="4" w:space="0" w:color="000000"/>
            </w:tcBorders>
            <w:vAlign w:val="center"/>
          </w:tcPr>
          <w:p w14:paraId="086FB128" w14:textId="77777777" w:rsidR="00C85268" w:rsidRPr="0059242C" w:rsidRDefault="00C85268" w:rsidP="00C85268">
            <w:pPr>
              <w:spacing w:after="0" w:line="240" w:lineRule="auto"/>
              <w:ind w:left="0" w:right="0" w:firstLine="0"/>
              <w:jc w:val="left"/>
              <w:rPr>
                <w:color w:val="auto"/>
              </w:rPr>
            </w:pPr>
            <w:r w:rsidRPr="0059242C">
              <w:rPr>
                <w:color w:val="auto"/>
                <w:sz w:val="20"/>
              </w:rPr>
              <w:t xml:space="preserve">Čiastočne </w:t>
            </w:r>
          </w:p>
        </w:tc>
      </w:tr>
      <w:tr w:rsidR="00C85268" w14:paraId="642CF2CA" w14:textId="77777777" w:rsidTr="00C85268">
        <w:trPr>
          <w:trHeight w:val="469"/>
        </w:trPr>
        <w:tc>
          <w:tcPr>
            <w:tcW w:w="3808" w:type="dxa"/>
            <w:tcBorders>
              <w:top w:val="single" w:sz="4" w:space="0" w:color="E2E2E2"/>
              <w:left w:val="single" w:sz="4" w:space="0" w:color="000000"/>
              <w:bottom w:val="single" w:sz="4" w:space="0" w:color="E2E2E2"/>
              <w:right w:val="single" w:sz="4" w:space="0" w:color="000000"/>
            </w:tcBorders>
            <w:shd w:val="clear" w:color="auto" w:fill="E2E2E2"/>
          </w:tcPr>
          <w:p w14:paraId="5B1307DD" w14:textId="77777777" w:rsidR="00C85268" w:rsidRDefault="00C85268" w:rsidP="00C85268">
            <w:pPr>
              <w:spacing w:after="0" w:line="240" w:lineRule="auto"/>
              <w:ind w:left="108" w:right="0" w:firstLine="0"/>
              <w:jc w:val="left"/>
            </w:pPr>
            <w:r>
              <w:rPr>
                <w:b/>
                <w:sz w:val="20"/>
              </w:rPr>
              <w:t xml:space="preserve">v tom vplyvy na rozpočty obcí a vyšších územných celkov </w:t>
            </w:r>
          </w:p>
        </w:tc>
        <w:tc>
          <w:tcPr>
            <w:tcW w:w="651" w:type="dxa"/>
            <w:tcBorders>
              <w:top w:val="dashed" w:sz="4" w:space="0" w:color="000000"/>
              <w:left w:val="single" w:sz="4" w:space="0" w:color="000000"/>
              <w:bottom w:val="dashed" w:sz="4" w:space="0" w:color="000000"/>
              <w:right w:val="nil"/>
            </w:tcBorders>
          </w:tcPr>
          <w:p w14:paraId="042190EA" w14:textId="77777777" w:rsidR="00C85268" w:rsidRPr="0059242C" w:rsidRDefault="00C85268" w:rsidP="00C85268">
            <w:pPr>
              <w:spacing w:after="0" w:line="240" w:lineRule="auto"/>
              <w:ind w:left="185" w:right="0" w:firstLine="0"/>
              <w:jc w:val="left"/>
              <w:rPr>
                <w:color w:val="auto"/>
              </w:rPr>
            </w:pPr>
            <w:r w:rsidRPr="0059242C">
              <w:rPr>
                <w:rFonts w:ascii="Segoe UI Symbol" w:eastAsia="Segoe UI Symbol" w:hAnsi="Segoe UI Symbol" w:cs="Segoe UI Symbol"/>
                <w:color w:val="auto"/>
                <w:sz w:val="20"/>
              </w:rPr>
              <w:t>☐</w:t>
            </w:r>
            <w:r w:rsidRPr="0059242C">
              <w:rPr>
                <w:b/>
                <w:color w:val="auto"/>
                <w:sz w:val="20"/>
              </w:rPr>
              <w:t xml:space="preserve"> </w:t>
            </w:r>
          </w:p>
        </w:tc>
        <w:tc>
          <w:tcPr>
            <w:tcW w:w="1388" w:type="dxa"/>
            <w:tcBorders>
              <w:top w:val="dashed" w:sz="4" w:space="0" w:color="000000"/>
              <w:left w:val="nil"/>
              <w:bottom w:val="dashed" w:sz="4" w:space="0" w:color="000000"/>
              <w:right w:val="nil"/>
            </w:tcBorders>
          </w:tcPr>
          <w:p w14:paraId="16C11C81" w14:textId="77777777" w:rsidR="00C85268" w:rsidRPr="0059242C" w:rsidRDefault="00C85268" w:rsidP="00C85268">
            <w:pPr>
              <w:spacing w:after="0" w:line="240" w:lineRule="auto"/>
              <w:ind w:left="0" w:right="0" w:firstLine="0"/>
              <w:jc w:val="left"/>
              <w:rPr>
                <w:color w:val="auto"/>
              </w:rPr>
            </w:pPr>
            <w:r w:rsidRPr="0059242C">
              <w:rPr>
                <w:b/>
                <w:color w:val="auto"/>
                <w:sz w:val="20"/>
              </w:rPr>
              <w:t xml:space="preserve">Pozitívne </w:t>
            </w:r>
          </w:p>
        </w:tc>
        <w:sdt>
          <w:sdtPr>
            <w:rPr>
              <w:b/>
              <w:color w:val="auto"/>
              <w:sz w:val="20"/>
              <w:szCs w:val="20"/>
            </w:rPr>
            <w:id w:val="-559713389"/>
            <w14:checkbox>
              <w14:checked w14:val="1"/>
              <w14:checkedState w14:val="2612" w14:font="MS Gothic"/>
              <w14:uncheckedState w14:val="2610" w14:font="MS Gothic"/>
            </w14:checkbox>
          </w:sdtPr>
          <w:sdtContent>
            <w:tc>
              <w:tcPr>
                <w:tcW w:w="463" w:type="dxa"/>
                <w:tcBorders>
                  <w:top w:val="dashed" w:sz="4" w:space="0" w:color="000000"/>
                  <w:left w:val="nil"/>
                  <w:bottom w:val="dashed" w:sz="4" w:space="0" w:color="000000"/>
                  <w:right w:val="nil"/>
                </w:tcBorders>
              </w:tcPr>
              <w:p w14:paraId="096F3CE2" w14:textId="77777777" w:rsidR="00C85268" w:rsidRPr="0059242C" w:rsidRDefault="00C85268" w:rsidP="00C85268">
                <w:pPr>
                  <w:spacing w:after="0" w:line="240" w:lineRule="auto"/>
                  <w:ind w:left="0" w:right="0" w:firstLine="0"/>
                  <w:jc w:val="left"/>
                  <w:rPr>
                    <w:color w:val="auto"/>
                  </w:rPr>
                </w:pPr>
                <w:r w:rsidRPr="0059242C">
                  <w:rPr>
                    <w:rFonts w:ascii="MS Gothic" w:eastAsia="MS Gothic" w:hAnsi="MS Gothic" w:hint="eastAsia"/>
                    <w:b/>
                    <w:color w:val="auto"/>
                    <w:sz w:val="20"/>
                    <w:szCs w:val="20"/>
                  </w:rPr>
                  <w:t>☒</w:t>
                </w:r>
              </w:p>
            </w:tc>
          </w:sdtContent>
        </w:sdt>
        <w:tc>
          <w:tcPr>
            <w:tcW w:w="1213" w:type="dxa"/>
            <w:tcBorders>
              <w:top w:val="dashed" w:sz="4" w:space="0" w:color="000000"/>
              <w:left w:val="nil"/>
              <w:bottom w:val="dashed" w:sz="4" w:space="0" w:color="000000"/>
              <w:right w:val="nil"/>
            </w:tcBorders>
          </w:tcPr>
          <w:p w14:paraId="0B7F708A" w14:textId="77777777" w:rsidR="00C85268" w:rsidRPr="0059242C" w:rsidRDefault="00C85268" w:rsidP="00C85268">
            <w:pPr>
              <w:spacing w:after="0" w:line="240" w:lineRule="auto"/>
              <w:ind w:left="0" w:right="0" w:firstLine="0"/>
              <w:jc w:val="left"/>
              <w:rPr>
                <w:color w:val="auto"/>
              </w:rPr>
            </w:pPr>
            <w:r w:rsidRPr="0059242C">
              <w:rPr>
                <w:b/>
                <w:color w:val="auto"/>
                <w:sz w:val="20"/>
              </w:rPr>
              <w:t xml:space="preserve">Žiadne </w:t>
            </w:r>
          </w:p>
        </w:tc>
        <w:tc>
          <w:tcPr>
            <w:tcW w:w="502" w:type="dxa"/>
            <w:tcBorders>
              <w:top w:val="dashed" w:sz="4" w:space="0" w:color="000000"/>
              <w:left w:val="nil"/>
              <w:bottom w:val="dashed" w:sz="4" w:space="0" w:color="000000"/>
              <w:right w:val="nil"/>
            </w:tcBorders>
          </w:tcPr>
          <w:p w14:paraId="330D07B8" w14:textId="77777777" w:rsidR="00C85268" w:rsidRPr="0059242C" w:rsidRDefault="00C85268" w:rsidP="00C85268">
            <w:pPr>
              <w:spacing w:after="0" w:line="240" w:lineRule="auto"/>
              <w:ind w:left="0" w:right="0" w:firstLine="0"/>
              <w:jc w:val="left"/>
              <w:rPr>
                <w:color w:val="auto"/>
              </w:rPr>
            </w:pPr>
            <w:r w:rsidRPr="0059242C">
              <w:rPr>
                <w:rFonts w:ascii="Segoe UI Symbol" w:eastAsia="Segoe UI Symbol" w:hAnsi="Segoe UI Symbol" w:cs="Segoe UI Symbol"/>
                <w:color w:val="auto"/>
                <w:sz w:val="20"/>
              </w:rPr>
              <w:t>☐</w:t>
            </w:r>
            <w:r w:rsidRPr="0059242C">
              <w:rPr>
                <w:b/>
                <w:color w:val="auto"/>
                <w:sz w:val="20"/>
              </w:rPr>
              <w:t xml:space="preserve"> </w:t>
            </w:r>
          </w:p>
        </w:tc>
        <w:tc>
          <w:tcPr>
            <w:tcW w:w="1153" w:type="dxa"/>
            <w:tcBorders>
              <w:top w:val="dashed" w:sz="4" w:space="0" w:color="000000"/>
              <w:left w:val="nil"/>
              <w:bottom w:val="dashed" w:sz="4" w:space="0" w:color="000000"/>
              <w:right w:val="single" w:sz="4" w:space="0" w:color="000000"/>
            </w:tcBorders>
          </w:tcPr>
          <w:p w14:paraId="15EDF06B" w14:textId="77777777" w:rsidR="00C85268" w:rsidRPr="0059242C" w:rsidRDefault="00C85268" w:rsidP="00C85268">
            <w:pPr>
              <w:spacing w:after="0" w:line="240" w:lineRule="auto"/>
              <w:ind w:left="0" w:right="0" w:firstLine="0"/>
              <w:jc w:val="left"/>
              <w:rPr>
                <w:color w:val="auto"/>
              </w:rPr>
            </w:pPr>
            <w:r w:rsidRPr="0059242C">
              <w:rPr>
                <w:b/>
                <w:color w:val="auto"/>
                <w:sz w:val="20"/>
              </w:rPr>
              <w:t xml:space="preserve">Negatívne </w:t>
            </w:r>
          </w:p>
        </w:tc>
      </w:tr>
      <w:tr w:rsidR="00C85268" w14:paraId="7A290336" w14:textId="77777777" w:rsidTr="00C85268">
        <w:trPr>
          <w:trHeight w:val="700"/>
        </w:trPr>
        <w:tc>
          <w:tcPr>
            <w:tcW w:w="3808" w:type="dxa"/>
            <w:tcBorders>
              <w:top w:val="single" w:sz="4" w:space="0" w:color="E2E2E2"/>
              <w:left w:val="single" w:sz="4" w:space="0" w:color="000000"/>
              <w:bottom w:val="single" w:sz="4" w:space="0" w:color="000000"/>
              <w:right w:val="single" w:sz="4" w:space="0" w:color="000000"/>
            </w:tcBorders>
            <w:shd w:val="clear" w:color="auto" w:fill="E2E2E2"/>
          </w:tcPr>
          <w:p w14:paraId="2B6B18E2" w14:textId="77777777" w:rsidR="00C85268" w:rsidRDefault="00C85268" w:rsidP="00C85268">
            <w:pPr>
              <w:spacing w:after="0" w:line="240" w:lineRule="auto"/>
              <w:ind w:left="278" w:right="220" w:firstLine="0"/>
              <w:jc w:val="left"/>
            </w:pPr>
            <w:r>
              <w:rPr>
                <w:sz w:val="20"/>
              </w:rPr>
              <w:t xml:space="preserve">z toho rozpočtovo zabezpečené vplyvy, v prípade identifikovaného negatívneho vplyvu </w:t>
            </w:r>
          </w:p>
        </w:tc>
        <w:tc>
          <w:tcPr>
            <w:tcW w:w="651" w:type="dxa"/>
            <w:tcBorders>
              <w:top w:val="dashed" w:sz="4" w:space="0" w:color="000000"/>
              <w:left w:val="single" w:sz="4" w:space="0" w:color="000000"/>
              <w:bottom w:val="single" w:sz="4" w:space="0" w:color="000000"/>
              <w:right w:val="nil"/>
            </w:tcBorders>
            <w:vAlign w:val="center"/>
          </w:tcPr>
          <w:p w14:paraId="46A6665A" w14:textId="77777777" w:rsidR="00C85268" w:rsidRPr="0059242C" w:rsidRDefault="00C85268" w:rsidP="00C85268">
            <w:pPr>
              <w:spacing w:after="0" w:line="240" w:lineRule="auto"/>
              <w:ind w:left="185" w:right="0" w:firstLine="0"/>
              <w:jc w:val="left"/>
              <w:rPr>
                <w:color w:val="auto"/>
              </w:rPr>
            </w:pPr>
            <w:r w:rsidRPr="0059242C">
              <w:rPr>
                <w:rFonts w:ascii="Segoe UI Symbol" w:eastAsia="Segoe UI Symbol" w:hAnsi="Segoe UI Symbol" w:cs="Segoe UI Symbol"/>
                <w:color w:val="auto"/>
                <w:sz w:val="20"/>
              </w:rPr>
              <w:t>☐</w:t>
            </w:r>
            <w:r w:rsidRPr="0059242C">
              <w:rPr>
                <w:color w:val="auto"/>
                <w:sz w:val="20"/>
              </w:rPr>
              <w:t xml:space="preserve"> </w:t>
            </w:r>
          </w:p>
        </w:tc>
        <w:tc>
          <w:tcPr>
            <w:tcW w:w="1388" w:type="dxa"/>
            <w:tcBorders>
              <w:top w:val="dashed" w:sz="4" w:space="0" w:color="000000"/>
              <w:left w:val="nil"/>
              <w:bottom w:val="single" w:sz="4" w:space="0" w:color="000000"/>
              <w:right w:val="nil"/>
            </w:tcBorders>
            <w:vAlign w:val="center"/>
          </w:tcPr>
          <w:p w14:paraId="78B152C6" w14:textId="77777777" w:rsidR="00C85268" w:rsidRPr="0059242C" w:rsidRDefault="00C85268" w:rsidP="00C85268">
            <w:pPr>
              <w:spacing w:after="0" w:line="240" w:lineRule="auto"/>
              <w:ind w:left="0" w:right="0" w:firstLine="0"/>
              <w:jc w:val="left"/>
              <w:rPr>
                <w:color w:val="auto"/>
              </w:rPr>
            </w:pPr>
            <w:r w:rsidRPr="0059242C">
              <w:rPr>
                <w:color w:val="auto"/>
                <w:sz w:val="20"/>
              </w:rPr>
              <w:t xml:space="preserve">Áno </w:t>
            </w:r>
          </w:p>
        </w:tc>
        <w:tc>
          <w:tcPr>
            <w:tcW w:w="463" w:type="dxa"/>
            <w:tcBorders>
              <w:top w:val="dashed" w:sz="4" w:space="0" w:color="000000"/>
              <w:left w:val="nil"/>
              <w:bottom w:val="single" w:sz="4" w:space="0" w:color="000000"/>
              <w:right w:val="nil"/>
            </w:tcBorders>
            <w:vAlign w:val="center"/>
          </w:tcPr>
          <w:p w14:paraId="45C16C17" w14:textId="77777777" w:rsidR="00C85268" w:rsidRPr="0059242C" w:rsidRDefault="00C85268" w:rsidP="00C85268">
            <w:pPr>
              <w:spacing w:after="0" w:line="240" w:lineRule="auto"/>
              <w:ind w:left="0" w:right="0" w:firstLine="0"/>
              <w:jc w:val="left"/>
              <w:rPr>
                <w:color w:val="auto"/>
              </w:rPr>
            </w:pPr>
            <w:r w:rsidRPr="0059242C">
              <w:rPr>
                <w:rFonts w:ascii="Segoe UI Symbol" w:eastAsia="Segoe UI Symbol" w:hAnsi="Segoe UI Symbol" w:cs="Segoe UI Symbol"/>
                <w:color w:val="auto"/>
                <w:sz w:val="20"/>
              </w:rPr>
              <w:t>☐</w:t>
            </w:r>
            <w:r w:rsidRPr="0059242C">
              <w:rPr>
                <w:color w:val="auto"/>
                <w:sz w:val="20"/>
              </w:rPr>
              <w:t xml:space="preserve"> </w:t>
            </w:r>
          </w:p>
        </w:tc>
        <w:tc>
          <w:tcPr>
            <w:tcW w:w="1213" w:type="dxa"/>
            <w:tcBorders>
              <w:top w:val="dashed" w:sz="4" w:space="0" w:color="000000"/>
              <w:left w:val="nil"/>
              <w:bottom w:val="single" w:sz="4" w:space="0" w:color="000000"/>
              <w:right w:val="nil"/>
            </w:tcBorders>
            <w:vAlign w:val="center"/>
          </w:tcPr>
          <w:p w14:paraId="285C996E" w14:textId="77777777" w:rsidR="00C85268" w:rsidRPr="0059242C" w:rsidRDefault="00C85268" w:rsidP="00C85268">
            <w:pPr>
              <w:spacing w:after="0" w:line="240" w:lineRule="auto"/>
              <w:ind w:left="0" w:right="0" w:firstLine="0"/>
              <w:jc w:val="left"/>
              <w:rPr>
                <w:color w:val="auto"/>
              </w:rPr>
            </w:pPr>
            <w:r w:rsidRPr="0059242C">
              <w:rPr>
                <w:color w:val="auto"/>
                <w:sz w:val="20"/>
              </w:rPr>
              <w:t xml:space="preserve">Nie </w:t>
            </w:r>
          </w:p>
        </w:tc>
        <w:tc>
          <w:tcPr>
            <w:tcW w:w="502" w:type="dxa"/>
            <w:tcBorders>
              <w:top w:val="dashed" w:sz="4" w:space="0" w:color="000000"/>
              <w:left w:val="nil"/>
              <w:bottom w:val="single" w:sz="4" w:space="0" w:color="000000"/>
              <w:right w:val="nil"/>
            </w:tcBorders>
            <w:vAlign w:val="center"/>
          </w:tcPr>
          <w:p w14:paraId="0376DA18" w14:textId="77777777" w:rsidR="00C85268" w:rsidRPr="0059242C" w:rsidRDefault="00C85268" w:rsidP="00C85268">
            <w:pPr>
              <w:spacing w:after="0" w:line="240" w:lineRule="auto"/>
              <w:ind w:left="0" w:right="0" w:firstLine="0"/>
              <w:jc w:val="left"/>
              <w:rPr>
                <w:color w:val="auto"/>
              </w:rPr>
            </w:pPr>
            <w:r w:rsidRPr="0059242C">
              <w:rPr>
                <w:rFonts w:ascii="Segoe UI Symbol" w:eastAsia="Segoe UI Symbol" w:hAnsi="Segoe UI Symbol" w:cs="Segoe UI Symbol"/>
                <w:color w:val="auto"/>
                <w:sz w:val="20"/>
              </w:rPr>
              <w:t>☐</w:t>
            </w:r>
            <w:r w:rsidRPr="0059242C">
              <w:rPr>
                <w:color w:val="auto"/>
                <w:sz w:val="20"/>
              </w:rPr>
              <w:t xml:space="preserve"> </w:t>
            </w:r>
          </w:p>
        </w:tc>
        <w:tc>
          <w:tcPr>
            <w:tcW w:w="1153" w:type="dxa"/>
            <w:tcBorders>
              <w:top w:val="dashed" w:sz="4" w:space="0" w:color="000000"/>
              <w:left w:val="nil"/>
              <w:bottom w:val="single" w:sz="4" w:space="0" w:color="000000"/>
              <w:right w:val="single" w:sz="4" w:space="0" w:color="000000"/>
            </w:tcBorders>
            <w:vAlign w:val="center"/>
          </w:tcPr>
          <w:p w14:paraId="019988FD" w14:textId="77777777" w:rsidR="00C85268" w:rsidRPr="0059242C" w:rsidRDefault="00C85268" w:rsidP="00C85268">
            <w:pPr>
              <w:spacing w:after="0" w:line="240" w:lineRule="auto"/>
              <w:ind w:left="0" w:right="0" w:firstLine="0"/>
              <w:jc w:val="left"/>
              <w:rPr>
                <w:color w:val="auto"/>
              </w:rPr>
            </w:pPr>
            <w:r w:rsidRPr="0059242C">
              <w:rPr>
                <w:color w:val="auto"/>
                <w:sz w:val="20"/>
              </w:rPr>
              <w:t xml:space="preserve">Čiastočne </w:t>
            </w:r>
          </w:p>
        </w:tc>
      </w:tr>
      <w:tr w:rsidR="00C85268" w14:paraId="0E65FE6F" w14:textId="77777777" w:rsidTr="00C85268">
        <w:trPr>
          <w:trHeight w:val="701"/>
        </w:trPr>
        <w:tc>
          <w:tcPr>
            <w:tcW w:w="3808" w:type="dxa"/>
            <w:tcBorders>
              <w:top w:val="single" w:sz="4" w:space="0" w:color="000000"/>
              <w:left w:val="single" w:sz="4" w:space="0" w:color="000000"/>
              <w:bottom w:val="single" w:sz="4" w:space="0" w:color="000000"/>
              <w:right w:val="single" w:sz="4" w:space="0" w:color="000000"/>
            </w:tcBorders>
            <w:shd w:val="clear" w:color="auto" w:fill="E2E2E2"/>
          </w:tcPr>
          <w:p w14:paraId="126D1C64" w14:textId="77777777" w:rsidR="00C85268" w:rsidRDefault="00C85268" w:rsidP="00C85268">
            <w:pPr>
              <w:spacing w:after="0" w:line="240" w:lineRule="auto"/>
              <w:ind w:left="278" w:right="67" w:firstLine="0"/>
              <w:jc w:val="left"/>
            </w:pPr>
            <w:r>
              <w:rPr>
                <w:sz w:val="20"/>
              </w:rPr>
              <w:t xml:space="preserve">Vplyv na dlhodobú udržateľnosť verejných financií v prípade vybraných opatrení *** </w:t>
            </w:r>
          </w:p>
        </w:tc>
        <w:tc>
          <w:tcPr>
            <w:tcW w:w="651" w:type="dxa"/>
            <w:tcBorders>
              <w:top w:val="single" w:sz="4" w:space="0" w:color="000000"/>
              <w:left w:val="single" w:sz="4" w:space="0" w:color="000000"/>
              <w:bottom w:val="single" w:sz="4" w:space="0" w:color="000000"/>
              <w:right w:val="nil"/>
            </w:tcBorders>
            <w:vAlign w:val="center"/>
          </w:tcPr>
          <w:p w14:paraId="7EE6EB63" w14:textId="77777777" w:rsidR="00C85268" w:rsidRPr="0059242C" w:rsidRDefault="00C85268" w:rsidP="00C85268">
            <w:pPr>
              <w:spacing w:after="0" w:line="240" w:lineRule="auto"/>
              <w:ind w:left="185" w:right="0" w:firstLine="0"/>
              <w:jc w:val="left"/>
              <w:rPr>
                <w:color w:val="auto"/>
              </w:rPr>
            </w:pPr>
            <w:r w:rsidRPr="0059242C">
              <w:rPr>
                <w:rFonts w:ascii="Segoe UI Symbol" w:eastAsia="Segoe UI Symbol" w:hAnsi="Segoe UI Symbol" w:cs="Segoe UI Symbol"/>
                <w:color w:val="auto"/>
                <w:sz w:val="20"/>
              </w:rPr>
              <w:t>☐</w:t>
            </w:r>
            <w:r w:rsidRPr="0059242C">
              <w:rPr>
                <w:color w:val="auto"/>
                <w:sz w:val="20"/>
              </w:rPr>
              <w:t xml:space="preserve"> </w:t>
            </w:r>
          </w:p>
        </w:tc>
        <w:tc>
          <w:tcPr>
            <w:tcW w:w="1388" w:type="dxa"/>
            <w:tcBorders>
              <w:top w:val="single" w:sz="4" w:space="0" w:color="000000"/>
              <w:left w:val="nil"/>
              <w:bottom w:val="single" w:sz="4" w:space="0" w:color="000000"/>
              <w:right w:val="nil"/>
            </w:tcBorders>
            <w:vAlign w:val="center"/>
          </w:tcPr>
          <w:p w14:paraId="7BE1249B" w14:textId="77777777" w:rsidR="00C85268" w:rsidRPr="0059242C" w:rsidRDefault="00C85268" w:rsidP="00C85268">
            <w:pPr>
              <w:spacing w:after="0" w:line="240" w:lineRule="auto"/>
              <w:ind w:left="0" w:right="0" w:firstLine="0"/>
              <w:jc w:val="left"/>
              <w:rPr>
                <w:color w:val="auto"/>
              </w:rPr>
            </w:pPr>
            <w:r w:rsidRPr="0059242C">
              <w:rPr>
                <w:color w:val="auto"/>
                <w:sz w:val="20"/>
              </w:rPr>
              <w:t xml:space="preserve">Áno </w:t>
            </w:r>
          </w:p>
        </w:tc>
        <w:tc>
          <w:tcPr>
            <w:tcW w:w="463" w:type="dxa"/>
            <w:tcBorders>
              <w:top w:val="single" w:sz="4" w:space="0" w:color="000000"/>
              <w:left w:val="nil"/>
              <w:bottom w:val="single" w:sz="4" w:space="0" w:color="000000"/>
              <w:right w:val="nil"/>
            </w:tcBorders>
            <w:vAlign w:val="center"/>
          </w:tcPr>
          <w:p w14:paraId="07464107" w14:textId="77777777" w:rsidR="00C85268" w:rsidRPr="0059242C" w:rsidRDefault="00C85268" w:rsidP="00C85268">
            <w:pPr>
              <w:spacing w:after="0" w:line="240" w:lineRule="auto"/>
              <w:ind w:left="86" w:right="0" w:firstLine="0"/>
              <w:jc w:val="left"/>
              <w:rPr>
                <w:color w:val="auto"/>
              </w:rPr>
            </w:pPr>
            <w:r w:rsidRPr="0059242C">
              <w:rPr>
                <w:color w:val="auto"/>
                <w:sz w:val="20"/>
              </w:rPr>
              <w:t xml:space="preserve"> </w:t>
            </w:r>
          </w:p>
        </w:tc>
        <w:tc>
          <w:tcPr>
            <w:tcW w:w="1213" w:type="dxa"/>
            <w:tcBorders>
              <w:top w:val="single" w:sz="4" w:space="0" w:color="000000"/>
              <w:left w:val="nil"/>
              <w:bottom w:val="single" w:sz="4" w:space="0" w:color="000000"/>
              <w:right w:val="nil"/>
            </w:tcBorders>
            <w:vAlign w:val="center"/>
          </w:tcPr>
          <w:p w14:paraId="2D39609E" w14:textId="77777777" w:rsidR="00C85268" w:rsidRPr="0059242C" w:rsidRDefault="00C85268" w:rsidP="00C85268">
            <w:pPr>
              <w:spacing w:after="0" w:line="240" w:lineRule="auto"/>
              <w:ind w:left="0" w:right="0" w:firstLine="0"/>
              <w:jc w:val="left"/>
              <w:rPr>
                <w:color w:val="auto"/>
              </w:rPr>
            </w:pPr>
            <w:r w:rsidRPr="0059242C">
              <w:rPr>
                <w:color w:val="auto"/>
                <w:sz w:val="20"/>
              </w:rPr>
              <w:t xml:space="preserve"> </w:t>
            </w:r>
          </w:p>
        </w:tc>
        <w:tc>
          <w:tcPr>
            <w:tcW w:w="502" w:type="dxa"/>
            <w:tcBorders>
              <w:top w:val="single" w:sz="4" w:space="0" w:color="000000"/>
              <w:left w:val="nil"/>
              <w:bottom w:val="single" w:sz="4" w:space="0" w:color="000000"/>
              <w:right w:val="nil"/>
            </w:tcBorders>
            <w:vAlign w:val="center"/>
          </w:tcPr>
          <w:p w14:paraId="0D3C5449" w14:textId="77777777" w:rsidR="00C85268" w:rsidRPr="0059242C" w:rsidRDefault="00000000" w:rsidP="00C85268">
            <w:pPr>
              <w:spacing w:after="0" w:line="240" w:lineRule="auto"/>
              <w:ind w:left="0" w:right="0" w:firstLine="0"/>
              <w:jc w:val="left"/>
              <w:rPr>
                <w:color w:val="auto"/>
              </w:rPr>
            </w:pPr>
            <w:sdt>
              <w:sdtPr>
                <w:rPr>
                  <w:b/>
                  <w:color w:val="auto"/>
                  <w:sz w:val="20"/>
                  <w:szCs w:val="20"/>
                </w:rPr>
                <w:id w:val="1047950912"/>
                <w14:checkbox>
                  <w14:checked w14:val="0"/>
                  <w14:checkedState w14:val="2612" w14:font="MS Gothic"/>
                  <w14:uncheckedState w14:val="2610" w14:font="MS Gothic"/>
                </w14:checkbox>
              </w:sdtPr>
              <w:sdtContent>
                <w:r w:rsidR="00C85268">
                  <w:rPr>
                    <w:rFonts w:ascii="MS Gothic" w:eastAsia="MS Gothic" w:hAnsi="MS Gothic" w:hint="eastAsia"/>
                    <w:b/>
                    <w:color w:val="auto"/>
                    <w:sz w:val="20"/>
                    <w:szCs w:val="20"/>
                  </w:rPr>
                  <w:t>☐</w:t>
                </w:r>
              </w:sdtContent>
            </w:sdt>
            <w:r w:rsidR="00C85268" w:rsidRPr="0059242C">
              <w:rPr>
                <w:color w:val="auto"/>
                <w:sz w:val="20"/>
              </w:rPr>
              <w:t xml:space="preserve"> </w:t>
            </w:r>
          </w:p>
        </w:tc>
        <w:tc>
          <w:tcPr>
            <w:tcW w:w="1153" w:type="dxa"/>
            <w:tcBorders>
              <w:top w:val="single" w:sz="4" w:space="0" w:color="000000"/>
              <w:left w:val="nil"/>
              <w:bottom w:val="single" w:sz="4" w:space="0" w:color="000000"/>
              <w:right w:val="single" w:sz="4" w:space="0" w:color="000000"/>
            </w:tcBorders>
            <w:vAlign w:val="center"/>
          </w:tcPr>
          <w:p w14:paraId="5E7A218D" w14:textId="77777777" w:rsidR="00C85268" w:rsidRPr="0059242C" w:rsidRDefault="00C85268" w:rsidP="00C85268">
            <w:pPr>
              <w:spacing w:after="0" w:line="240" w:lineRule="auto"/>
              <w:ind w:left="0" w:right="0" w:firstLine="0"/>
              <w:jc w:val="left"/>
              <w:rPr>
                <w:color w:val="auto"/>
              </w:rPr>
            </w:pPr>
            <w:r w:rsidRPr="0059242C">
              <w:rPr>
                <w:color w:val="auto"/>
                <w:sz w:val="20"/>
              </w:rPr>
              <w:t xml:space="preserve">Nie </w:t>
            </w:r>
          </w:p>
        </w:tc>
      </w:tr>
      <w:tr w:rsidR="00C85268" w14:paraId="614EF07B" w14:textId="77777777" w:rsidTr="00C85268">
        <w:trPr>
          <w:trHeight w:val="277"/>
        </w:trPr>
        <w:tc>
          <w:tcPr>
            <w:tcW w:w="3808" w:type="dxa"/>
            <w:tcBorders>
              <w:top w:val="single" w:sz="4" w:space="0" w:color="000000"/>
              <w:left w:val="single" w:sz="4" w:space="0" w:color="000000"/>
              <w:bottom w:val="single" w:sz="4" w:space="0" w:color="000000"/>
              <w:right w:val="single" w:sz="4" w:space="0" w:color="000000"/>
            </w:tcBorders>
            <w:shd w:val="clear" w:color="auto" w:fill="E2E2E2"/>
          </w:tcPr>
          <w:p w14:paraId="79DEA47D" w14:textId="77777777" w:rsidR="00C85268" w:rsidRDefault="00C85268" w:rsidP="00C85268">
            <w:pPr>
              <w:spacing w:after="0" w:line="240" w:lineRule="auto"/>
              <w:ind w:left="108" w:right="0" w:firstLine="0"/>
              <w:jc w:val="left"/>
            </w:pPr>
            <w:r>
              <w:rPr>
                <w:b/>
                <w:sz w:val="20"/>
              </w:rPr>
              <w:t xml:space="preserve">Vplyvy na limit verejných výdavkov </w:t>
            </w:r>
          </w:p>
        </w:tc>
        <w:tc>
          <w:tcPr>
            <w:tcW w:w="651" w:type="dxa"/>
            <w:tcBorders>
              <w:top w:val="single" w:sz="4" w:space="0" w:color="000000"/>
              <w:left w:val="single" w:sz="4" w:space="0" w:color="000000"/>
              <w:bottom w:val="single" w:sz="4" w:space="0" w:color="000000"/>
              <w:right w:val="nil"/>
            </w:tcBorders>
          </w:tcPr>
          <w:p w14:paraId="6D594A24" w14:textId="77777777" w:rsidR="00C85268" w:rsidRPr="0059242C" w:rsidRDefault="00C85268" w:rsidP="00C85268">
            <w:pPr>
              <w:spacing w:after="0" w:line="240" w:lineRule="auto"/>
              <w:ind w:left="185" w:right="0" w:firstLine="0"/>
              <w:jc w:val="left"/>
              <w:rPr>
                <w:color w:val="auto"/>
              </w:rPr>
            </w:pPr>
            <w:r w:rsidRPr="0059242C">
              <w:rPr>
                <w:rFonts w:ascii="Segoe UI Symbol" w:eastAsia="Segoe UI Symbol" w:hAnsi="Segoe UI Symbol" w:cs="Segoe UI Symbol"/>
                <w:color w:val="auto"/>
                <w:sz w:val="20"/>
              </w:rPr>
              <w:t>☐</w:t>
            </w:r>
            <w:r w:rsidRPr="0059242C">
              <w:rPr>
                <w:b/>
                <w:color w:val="auto"/>
                <w:sz w:val="20"/>
              </w:rPr>
              <w:t xml:space="preserve"> </w:t>
            </w:r>
          </w:p>
        </w:tc>
        <w:tc>
          <w:tcPr>
            <w:tcW w:w="1388" w:type="dxa"/>
            <w:tcBorders>
              <w:top w:val="single" w:sz="4" w:space="0" w:color="000000"/>
              <w:left w:val="nil"/>
              <w:bottom w:val="single" w:sz="4" w:space="0" w:color="000000"/>
              <w:right w:val="nil"/>
            </w:tcBorders>
          </w:tcPr>
          <w:p w14:paraId="157E354D" w14:textId="77777777" w:rsidR="00C85268" w:rsidRPr="0059242C" w:rsidRDefault="00C85268" w:rsidP="00C85268">
            <w:pPr>
              <w:spacing w:after="0" w:line="240" w:lineRule="auto"/>
              <w:ind w:left="0" w:right="0" w:firstLine="0"/>
              <w:jc w:val="left"/>
              <w:rPr>
                <w:color w:val="auto"/>
              </w:rPr>
            </w:pPr>
            <w:r w:rsidRPr="0059242C">
              <w:rPr>
                <w:b/>
                <w:color w:val="auto"/>
                <w:sz w:val="20"/>
              </w:rPr>
              <w:t>Pozitívne</w:t>
            </w:r>
            <w:r w:rsidRPr="0059242C">
              <w:rPr>
                <w:color w:val="auto"/>
                <w:sz w:val="20"/>
              </w:rPr>
              <w:t xml:space="preserve"> </w:t>
            </w:r>
          </w:p>
        </w:tc>
        <w:tc>
          <w:tcPr>
            <w:tcW w:w="463" w:type="dxa"/>
            <w:tcBorders>
              <w:top w:val="single" w:sz="4" w:space="0" w:color="000000"/>
              <w:left w:val="nil"/>
              <w:bottom w:val="single" w:sz="4" w:space="0" w:color="000000"/>
              <w:right w:val="nil"/>
            </w:tcBorders>
          </w:tcPr>
          <w:p w14:paraId="25CF85F1" w14:textId="77777777" w:rsidR="00C85268" w:rsidRPr="0059242C" w:rsidRDefault="00000000" w:rsidP="00C85268">
            <w:pPr>
              <w:spacing w:after="0" w:line="240" w:lineRule="auto"/>
              <w:ind w:left="0" w:right="0" w:firstLine="0"/>
              <w:jc w:val="left"/>
              <w:rPr>
                <w:color w:val="auto"/>
              </w:rPr>
            </w:pPr>
            <w:sdt>
              <w:sdtPr>
                <w:rPr>
                  <w:b/>
                  <w:color w:val="auto"/>
                  <w:sz w:val="20"/>
                  <w:szCs w:val="20"/>
                </w:rPr>
                <w:id w:val="-985477876"/>
                <w14:checkbox>
                  <w14:checked w14:val="1"/>
                  <w14:checkedState w14:val="2612" w14:font="MS Gothic"/>
                  <w14:uncheckedState w14:val="2610" w14:font="MS Gothic"/>
                </w14:checkbox>
              </w:sdtPr>
              <w:sdtContent>
                <w:r w:rsidR="00C85268" w:rsidRPr="0059242C">
                  <w:rPr>
                    <w:rFonts w:ascii="MS Gothic" w:eastAsia="MS Gothic" w:hAnsi="MS Gothic" w:hint="eastAsia"/>
                    <w:b/>
                    <w:color w:val="auto"/>
                    <w:sz w:val="20"/>
                    <w:szCs w:val="20"/>
                  </w:rPr>
                  <w:t>☒</w:t>
                </w:r>
              </w:sdtContent>
            </w:sdt>
            <w:r w:rsidR="00C85268" w:rsidRPr="0059242C">
              <w:rPr>
                <w:b/>
                <w:color w:val="auto"/>
                <w:sz w:val="20"/>
              </w:rPr>
              <w:t xml:space="preserve"> </w:t>
            </w:r>
          </w:p>
        </w:tc>
        <w:tc>
          <w:tcPr>
            <w:tcW w:w="1213" w:type="dxa"/>
            <w:tcBorders>
              <w:top w:val="single" w:sz="4" w:space="0" w:color="000000"/>
              <w:left w:val="nil"/>
              <w:bottom w:val="single" w:sz="4" w:space="0" w:color="000000"/>
              <w:right w:val="nil"/>
            </w:tcBorders>
          </w:tcPr>
          <w:p w14:paraId="25524685" w14:textId="77777777" w:rsidR="00C85268" w:rsidRPr="0059242C" w:rsidRDefault="00C85268" w:rsidP="00C85268">
            <w:pPr>
              <w:spacing w:after="0" w:line="240" w:lineRule="auto"/>
              <w:ind w:left="0" w:right="0" w:firstLine="0"/>
              <w:jc w:val="left"/>
              <w:rPr>
                <w:color w:val="auto"/>
              </w:rPr>
            </w:pPr>
            <w:r w:rsidRPr="0059242C">
              <w:rPr>
                <w:b/>
                <w:color w:val="auto"/>
                <w:sz w:val="20"/>
              </w:rPr>
              <w:t>Žiadne</w:t>
            </w:r>
            <w:r w:rsidRPr="0059242C">
              <w:rPr>
                <w:color w:val="auto"/>
                <w:sz w:val="20"/>
              </w:rPr>
              <w:t xml:space="preserve"> </w:t>
            </w:r>
          </w:p>
        </w:tc>
        <w:tc>
          <w:tcPr>
            <w:tcW w:w="502" w:type="dxa"/>
            <w:tcBorders>
              <w:top w:val="single" w:sz="4" w:space="0" w:color="000000"/>
              <w:left w:val="nil"/>
              <w:bottom w:val="single" w:sz="4" w:space="0" w:color="000000"/>
              <w:right w:val="nil"/>
            </w:tcBorders>
          </w:tcPr>
          <w:p w14:paraId="6068193B" w14:textId="77777777" w:rsidR="00C85268" w:rsidRPr="0059242C" w:rsidRDefault="00C85268" w:rsidP="00C85268">
            <w:pPr>
              <w:spacing w:after="0" w:line="240" w:lineRule="auto"/>
              <w:ind w:left="0" w:right="0" w:firstLine="0"/>
              <w:jc w:val="left"/>
              <w:rPr>
                <w:color w:val="auto"/>
              </w:rPr>
            </w:pPr>
            <w:r w:rsidRPr="0059242C">
              <w:rPr>
                <w:rFonts w:ascii="Segoe UI Symbol" w:eastAsia="Segoe UI Symbol" w:hAnsi="Segoe UI Symbol" w:cs="Segoe UI Symbol"/>
                <w:color w:val="auto"/>
                <w:sz w:val="20"/>
              </w:rPr>
              <w:t>☐</w:t>
            </w:r>
            <w:r w:rsidRPr="0059242C">
              <w:rPr>
                <w:b/>
                <w:color w:val="auto"/>
                <w:sz w:val="20"/>
              </w:rPr>
              <w:t xml:space="preserve"> </w:t>
            </w:r>
          </w:p>
        </w:tc>
        <w:tc>
          <w:tcPr>
            <w:tcW w:w="1153" w:type="dxa"/>
            <w:tcBorders>
              <w:top w:val="single" w:sz="4" w:space="0" w:color="000000"/>
              <w:left w:val="nil"/>
              <w:bottom w:val="single" w:sz="4" w:space="0" w:color="000000"/>
              <w:right w:val="single" w:sz="4" w:space="0" w:color="000000"/>
            </w:tcBorders>
          </w:tcPr>
          <w:p w14:paraId="149CE020" w14:textId="77777777" w:rsidR="00C85268" w:rsidRPr="0059242C" w:rsidRDefault="00C85268" w:rsidP="00C85268">
            <w:pPr>
              <w:spacing w:after="0" w:line="240" w:lineRule="auto"/>
              <w:ind w:left="0" w:right="0" w:firstLine="0"/>
              <w:jc w:val="left"/>
              <w:rPr>
                <w:color w:val="auto"/>
              </w:rPr>
            </w:pPr>
            <w:r w:rsidRPr="0059242C">
              <w:rPr>
                <w:b/>
                <w:color w:val="auto"/>
                <w:sz w:val="20"/>
              </w:rPr>
              <w:t>Negatívne</w:t>
            </w:r>
            <w:r w:rsidRPr="0059242C">
              <w:rPr>
                <w:color w:val="auto"/>
                <w:sz w:val="20"/>
              </w:rPr>
              <w:t xml:space="preserve"> </w:t>
            </w:r>
          </w:p>
        </w:tc>
      </w:tr>
      <w:tr w:rsidR="00C85268" w14:paraId="7A699526" w14:textId="77777777" w:rsidTr="00C85268">
        <w:trPr>
          <w:trHeight w:val="276"/>
        </w:trPr>
        <w:tc>
          <w:tcPr>
            <w:tcW w:w="3808" w:type="dxa"/>
            <w:tcBorders>
              <w:top w:val="single" w:sz="4" w:space="0" w:color="000000"/>
              <w:left w:val="single" w:sz="4" w:space="0" w:color="000000"/>
              <w:bottom w:val="single" w:sz="4" w:space="0" w:color="E2E2E2"/>
              <w:right w:val="single" w:sz="4" w:space="0" w:color="000000"/>
            </w:tcBorders>
            <w:shd w:val="clear" w:color="auto" w:fill="E2E2E2"/>
          </w:tcPr>
          <w:p w14:paraId="2C6C9C1D" w14:textId="77777777" w:rsidR="00C85268" w:rsidRDefault="00C85268" w:rsidP="00C85268">
            <w:pPr>
              <w:spacing w:after="0" w:line="240" w:lineRule="auto"/>
              <w:ind w:left="108" w:right="0" w:firstLine="0"/>
              <w:jc w:val="left"/>
            </w:pPr>
            <w:r>
              <w:rPr>
                <w:b/>
                <w:sz w:val="20"/>
              </w:rPr>
              <w:t xml:space="preserve">Vplyvy na podnikateľské prostredie </w:t>
            </w:r>
          </w:p>
        </w:tc>
        <w:tc>
          <w:tcPr>
            <w:tcW w:w="651" w:type="dxa"/>
            <w:tcBorders>
              <w:top w:val="single" w:sz="4" w:space="0" w:color="000000"/>
              <w:left w:val="single" w:sz="4" w:space="0" w:color="000000"/>
              <w:bottom w:val="dashed" w:sz="4" w:space="0" w:color="000000"/>
              <w:right w:val="nil"/>
            </w:tcBorders>
          </w:tcPr>
          <w:p w14:paraId="5DADE0EC" w14:textId="77777777" w:rsidR="00C85268" w:rsidRPr="0059242C" w:rsidRDefault="00000000" w:rsidP="00C85268">
            <w:pPr>
              <w:spacing w:after="0" w:line="240" w:lineRule="auto"/>
              <w:ind w:left="185" w:right="0" w:firstLine="0"/>
              <w:jc w:val="left"/>
              <w:rPr>
                <w:color w:val="auto"/>
              </w:rPr>
            </w:pPr>
            <w:sdt>
              <w:sdtPr>
                <w:rPr>
                  <w:b/>
                  <w:color w:val="auto"/>
                  <w:sz w:val="20"/>
                  <w:szCs w:val="20"/>
                </w:rPr>
                <w:id w:val="-1164084622"/>
                <w14:checkbox>
                  <w14:checked w14:val="1"/>
                  <w14:checkedState w14:val="2612" w14:font="MS Gothic"/>
                  <w14:uncheckedState w14:val="2610" w14:font="MS Gothic"/>
                </w14:checkbox>
              </w:sdtPr>
              <w:sdtContent>
                <w:r w:rsidR="001432F0">
                  <w:rPr>
                    <w:rFonts w:ascii="MS Gothic" w:eastAsia="MS Gothic" w:hAnsi="MS Gothic" w:hint="eastAsia"/>
                    <w:b/>
                    <w:color w:val="auto"/>
                    <w:sz w:val="20"/>
                    <w:szCs w:val="20"/>
                  </w:rPr>
                  <w:t>☒</w:t>
                </w:r>
              </w:sdtContent>
            </w:sdt>
            <w:r w:rsidR="00C85268" w:rsidRPr="0059242C">
              <w:rPr>
                <w:b/>
                <w:color w:val="auto"/>
                <w:sz w:val="20"/>
              </w:rPr>
              <w:t xml:space="preserve"> </w:t>
            </w:r>
          </w:p>
        </w:tc>
        <w:tc>
          <w:tcPr>
            <w:tcW w:w="1388" w:type="dxa"/>
            <w:tcBorders>
              <w:top w:val="single" w:sz="4" w:space="0" w:color="000000"/>
              <w:left w:val="nil"/>
              <w:bottom w:val="dashed" w:sz="4" w:space="0" w:color="000000"/>
              <w:right w:val="nil"/>
            </w:tcBorders>
          </w:tcPr>
          <w:p w14:paraId="729A9626" w14:textId="77777777" w:rsidR="00C85268" w:rsidRPr="0059242C" w:rsidRDefault="00C85268" w:rsidP="00C85268">
            <w:pPr>
              <w:spacing w:after="0" w:line="240" w:lineRule="auto"/>
              <w:ind w:left="0" w:right="0" w:firstLine="0"/>
              <w:jc w:val="left"/>
              <w:rPr>
                <w:color w:val="auto"/>
              </w:rPr>
            </w:pPr>
            <w:r w:rsidRPr="0059242C">
              <w:rPr>
                <w:b/>
                <w:color w:val="auto"/>
                <w:sz w:val="20"/>
              </w:rPr>
              <w:t xml:space="preserve">Pozitívne </w:t>
            </w:r>
          </w:p>
        </w:tc>
        <w:tc>
          <w:tcPr>
            <w:tcW w:w="463" w:type="dxa"/>
            <w:tcBorders>
              <w:top w:val="single" w:sz="4" w:space="0" w:color="000000"/>
              <w:left w:val="nil"/>
              <w:bottom w:val="dashed" w:sz="4" w:space="0" w:color="000000"/>
              <w:right w:val="nil"/>
            </w:tcBorders>
          </w:tcPr>
          <w:p w14:paraId="2F7F1688" w14:textId="77777777" w:rsidR="00C85268" w:rsidRPr="0059242C" w:rsidRDefault="00000000" w:rsidP="00C85268">
            <w:pPr>
              <w:spacing w:after="0" w:line="240" w:lineRule="auto"/>
              <w:ind w:left="0" w:right="0" w:firstLine="0"/>
              <w:jc w:val="left"/>
              <w:rPr>
                <w:color w:val="auto"/>
              </w:rPr>
            </w:pPr>
            <w:sdt>
              <w:sdtPr>
                <w:rPr>
                  <w:b/>
                  <w:color w:val="auto"/>
                  <w:sz w:val="20"/>
                  <w:szCs w:val="20"/>
                </w:rPr>
                <w:id w:val="1512485678"/>
                <w14:checkbox>
                  <w14:checked w14:val="0"/>
                  <w14:checkedState w14:val="2612" w14:font="MS Gothic"/>
                  <w14:uncheckedState w14:val="2610" w14:font="MS Gothic"/>
                </w14:checkbox>
              </w:sdtPr>
              <w:sdtContent>
                <w:r w:rsidR="001432F0">
                  <w:rPr>
                    <w:rFonts w:ascii="MS Gothic" w:eastAsia="MS Gothic" w:hAnsi="MS Gothic" w:hint="eastAsia"/>
                    <w:b/>
                    <w:color w:val="auto"/>
                    <w:sz w:val="20"/>
                    <w:szCs w:val="20"/>
                  </w:rPr>
                  <w:t>☐</w:t>
                </w:r>
              </w:sdtContent>
            </w:sdt>
          </w:p>
        </w:tc>
        <w:tc>
          <w:tcPr>
            <w:tcW w:w="1213" w:type="dxa"/>
            <w:tcBorders>
              <w:top w:val="single" w:sz="4" w:space="0" w:color="000000"/>
              <w:left w:val="nil"/>
              <w:bottom w:val="dashed" w:sz="4" w:space="0" w:color="000000"/>
              <w:right w:val="nil"/>
            </w:tcBorders>
          </w:tcPr>
          <w:p w14:paraId="39903A72" w14:textId="77777777" w:rsidR="00C85268" w:rsidRPr="0059242C" w:rsidRDefault="00C85268" w:rsidP="00C85268">
            <w:pPr>
              <w:spacing w:after="0" w:line="240" w:lineRule="auto"/>
              <w:ind w:left="0" w:right="0" w:firstLine="0"/>
              <w:jc w:val="left"/>
              <w:rPr>
                <w:color w:val="auto"/>
              </w:rPr>
            </w:pPr>
            <w:r w:rsidRPr="0059242C">
              <w:rPr>
                <w:b/>
                <w:color w:val="auto"/>
                <w:sz w:val="20"/>
              </w:rPr>
              <w:t xml:space="preserve">Žiadne </w:t>
            </w:r>
          </w:p>
        </w:tc>
        <w:sdt>
          <w:sdtPr>
            <w:rPr>
              <w:b/>
              <w:color w:val="auto"/>
              <w:sz w:val="20"/>
              <w:szCs w:val="20"/>
            </w:rPr>
            <w:id w:val="-776486865"/>
            <w14:checkbox>
              <w14:checked w14:val="0"/>
              <w14:checkedState w14:val="2612" w14:font="MS Gothic"/>
              <w14:uncheckedState w14:val="2610" w14:font="MS Gothic"/>
            </w14:checkbox>
          </w:sdtPr>
          <w:sdtContent>
            <w:tc>
              <w:tcPr>
                <w:tcW w:w="502" w:type="dxa"/>
                <w:tcBorders>
                  <w:top w:val="single" w:sz="4" w:space="0" w:color="000000"/>
                  <w:left w:val="nil"/>
                  <w:bottom w:val="dashed" w:sz="4" w:space="0" w:color="000000"/>
                  <w:right w:val="nil"/>
                </w:tcBorders>
              </w:tcPr>
              <w:p w14:paraId="6D1EF57D" w14:textId="77777777" w:rsidR="00C85268" w:rsidRPr="0059242C" w:rsidRDefault="00AF220B" w:rsidP="00C85268">
                <w:pPr>
                  <w:spacing w:after="0" w:line="240" w:lineRule="auto"/>
                  <w:ind w:left="0" w:right="0" w:firstLine="0"/>
                  <w:jc w:val="left"/>
                  <w:rPr>
                    <w:color w:val="auto"/>
                  </w:rPr>
                </w:pPr>
                <w:r>
                  <w:rPr>
                    <w:rFonts w:ascii="MS Gothic" w:eastAsia="MS Gothic" w:hAnsi="MS Gothic" w:hint="eastAsia"/>
                    <w:b/>
                    <w:color w:val="auto"/>
                    <w:sz w:val="20"/>
                    <w:szCs w:val="20"/>
                  </w:rPr>
                  <w:t>☐</w:t>
                </w:r>
              </w:p>
            </w:tc>
          </w:sdtContent>
        </w:sdt>
        <w:tc>
          <w:tcPr>
            <w:tcW w:w="1153" w:type="dxa"/>
            <w:tcBorders>
              <w:top w:val="single" w:sz="4" w:space="0" w:color="000000"/>
              <w:left w:val="nil"/>
              <w:bottom w:val="dashed" w:sz="4" w:space="0" w:color="000000"/>
              <w:right w:val="single" w:sz="4" w:space="0" w:color="000000"/>
            </w:tcBorders>
          </w:tcPr>
          <w:p w14:paraId="57BCA097" w14:textId="77777777" w:rsidR="00C85268" w:rsidRPr="0059242C" w:rsidRDefault="00C85268" w:rsidP="00C85268">
            <w:pPr>
              <w:spacing w:after="0" w:line="240" w:lineRule="auto"/>
              <w:ind w:left="19" w:right="0" w:firstLine="0"/>
              <w:jc w:val="left"/>
              <w:rPr>
                <w:color w:val="auto"/>
              </w:rPr>
            </w:pPr>
            <w:r w:rsidRPr="0059242C">
              <w:rPr>
                <w:b/>
                <w:color w:val="auto"/>
                <w:sz w:val="20"/>
              </w:rPr>
              <w:t xml:space="preserve">Negatívne </w:t>
            </w:r>
          </w:p>
        </w:tc>
      </w:tr>
      <w:tr w:rsidR="00C85268" w14:paraId="6665D486" w14:textId="77777777" w:rsidTr="00C85268">
        <w:trPr>
          <w:trHeight w:val="469"/>
        </w:trPr>
        <w:tc>
          <w:tcPr>
            <w:tcW w:w="3808" w:type="dxa"/>
            <w:tcBorders>
              <w:top w:val="single" w:sz="4" w:space="0" w:color="E2E2E2"/>
              <w:left w:val="single" w:sz="4" w:space="0" w:color="000000"/>
              <w:bottom w:val="single" w:sz="4" w:space="0" w:color="E2E2E2"/>
              <w:right w:val="single" w:sz="4" w:space="0" w:color="000000"/>
            </w:tcBorders>
            <w:shd w:val="clear" w:color="auto" w:fill="E2E2E2"/>
          </w:tcPr>
          <w:p w14:paraId="3F8BB9E8" w14:textId="77777777" w:rsidR="00C85268" w:rsidRDefault="00C43561" w:rsidP="00C85268">
            <w:pPr>
              <w:spacing w:after="0" w:line="240" w:lineRule="auto"/>
              <w:ind w:left="108" w:right="0" w:firstLine="0"/>
              <w:jc w:val="left"/>
            </w:pPr>
            <w:r>
              <w:rPr>
                <w:sz w:val="20"/>
              </w:rPr>
              <w:t xml:space="preserve"> </w:t>
            </w:r>
            <w:r w:rsidR="00C85268">
              <w:rPr>
                <w:sz w:val="20"/>
              </w:rPr>
              <w:t xml:space="preserve">z toho vplyvy na MSP </w:t>
            </w:r>
          </w:p>
          <w:p w14:paraId="6E67D0B8" w14:textId="77777777" w:rsidR="00C85268" w:rsidRDefault="00C85268" w:rsidP="00C85268">
            <w:pPr>
              <w:spacing w:after="0" w:line="240" w:lineRule="auto"/>
              <w:ind w:left="108" w:right="0" w:firstLine="0"/>
              <w:jc w:val="left"/>
            </w:pPr>
            <w:r>
              <w:rPr>
                <w:sz w:val="20"/>
              </w:rPr>
              <w:t xml:space="preserve"> </w:t>
            </w:r>
          </w:p>
        </w:tc>
        <w:tc>
          <w:tcPr>
            <w:tcW w:w="651" w:type="dxa"/>
            <w:tcBorders>
              <w:top w:val="dashed" w:sz="4" w:space="0" w:color="000000"/>
              <w:left w:val="single" w:sz="4" w:space="0" w:color="000000"/>
              <w:bottom w:val="dashed" w:sz="4" w:space="0" w:color="000000"/>
              <w:right w:val="nil"/>
            </w:tcBorders>
            <w:vAlign w:val="center"/>
          </w:tcPr>
          <w:p w14:paraId="1FBF2213" w14:textId="77777777" w:rsidR="00C85268" w:rsidRPr="0059242C" w:rsidRDefault="00000000" w:rsidP="00C85268">
            <w:pPr>
              <w:spacing w:after="0" w:line="240" w:lineRule="auto"/>
              <w:ind w:left="185" w:right="0" w:firstLine="0"/>
              <w:jc w:val="left"/>
              <w:rPr>
                <w:color w:val="auto"/>
              </w:rPr>
            </w:pPr>
            <w:sdt>
              <w:sdtPr>
                <w:rPr>
                  <w:b/>
                  <w:color w:val="auto"/>
                  <w:sz w:val="20"/>
                  <w:szCs w:val="20"/>
                </w:rPr>
                <w:id w:val="1203908715"/>
                <w14:checkbox>
                  <w14:checked w14:val="1"/>
                  <w14:checkedState w14:val="2612" w14:font="MS Gothic"/>
                  <w14:uncheckedState w14:val="2610" w14:font="MS Gothic"/>
                </w14:checkbox>
              </w:sdtPr>
              <w:sdtContent>
                <w:r w:rsidR="000D3319">
                  <w:rPr>
                    <w:rFonts w:ascii="MS Gothic" w:eastAsia="MS Gothic" w:hAnsi="MS Gothic" w:hint="eastAsia"/>
                    <w:b/>
                    <w:color w:val="auto"/>
                    <w:sz w:val="20"/>
                    <w:szCs w:val="20"/>
                  </w:rPr>
                  <w:t>☒</w:t>
                </w:r>
              </w:sdtContent>
            </w:sdt>
            <w:r w:rsidR="00C85268" w:rsidRPr="0059242C">
              <w:rPr>
                <w:color w:val="auto"/>
                <w:sz w:val="20"/>
              </w:rPr>
              <w:t xml:space="preserve"> </w:t>
            </w:r>
          </w:p>
        </w:tc>
        <w:tc>
          <w:tcPr>
            <w:tcW w:w="1388" w:type="dxa"/>
            <w:tcBorders>
              <w:top w:val="dashed" w:sz="4" w:space="0" w:color="000000"/>
              <w:left w:val="nil"/>
              <w:bottom w:val="dashed" w:sz="4" w:space="0" w:color="000000"/>
              <w:right w:val="nil"/>
            </w:tcBorders>
            <w:vAlign w:val="center"/>
          </w:tcPr>
          <w:p w14:paraId="028AF6DE" w14:textId="77777777" w:rsidR="00C85268" w:rsidRPr="0059242C" w:rsidRDefault="00C85268" w:rsidP="00C85268">
            <w:pPr>
              <w:spacing w:after="0" w:line="240" w:lineRule="auto"/>
              <w:ind w:left="0" w:right="0" w:firstLine="0"/>
              <w:jc w:val="left"/>
              <w:rPr>
                <w:color w:val="auto"/>
              </w:rPr>
            </w:pPr>
            <w:r w:rsidRPr="0059242C">
              <w:rPr>
                <w:color w:val="auto"/>
                <w:sz w:val="20"/>
              </w:rPr>
              <w:t xml:space="preserve">Pozitívne </w:t>
            </w:r>
          </w:p>
        </w:tc>
        <w:tc>
          <w:tcPr>
            <w:tcW w:w="463" w:type="dxa"/>
            <w:tcBorders>
              <w:top w:val="dashed" w:sz="4" w:space="0" w:color="000000"/>
              <w:left w:val="nil"/>
              <w:bottom w:val="dashed" w:sz="4" w:space="0" w:color="000000"/>
              <w:right w:val="nil"/>
            </w:tcBorders>
            <w:vAlign w:val="center"/>
          </w:tcPr>
          <w:p w14:paraId="282D4C76" w14:textId="77777777" w:rsidR="00C85268" w:rsidRPr="0059242C" w:rsidRDefault="00000000" w:rsidP="00C85268">
            <w:pPr>
              <w:spacing w:after="0" w:line="240" w:lineRule="auto"/>
              <w:ind w:left="0" w:right="0" w:firstLine="0"/>
              <w:jc w:val="left"/>
              <w:rPr>
                <w:color w:val="auto"/>
              </w:rPr>
            </w:pPr>
            <w:sdt>
              <w:sdtPr>
                <w:rPr>
                  <w:b/>
                  <w:color w:val="auto"/>
                  <w:sz w:val="20"/>
                  <w:szCs w:val="20"/>
                </w:rPr>
                <w:id w:val="865107089"/>
                <w14:checkbox>
                  <w14:checked w14:val="0"/>
                  <w14:checkedState w14:val="2612" w14:font="MS Gothic"/>
                  <w14:uncheckedState w14:val="2610" w14:font="MS Gothic"/>
                </w14:checkbox>
              </w:sdtPr>
              <w:sdtContent>
                <w:r w:rsidR="000D3319">
                  <w:rPr>
                    <w:rFonts w:ascii="MS Gothic" w:eastAsia="MS Gothic" w:hAnsi="MS Gothic" w:hint="eastAsia"/>
                    <w:b/>
                    <w:color w:val="auto"/>
                    <w:sz w:val="20"/>
                    <w:szCs w:val="20"/>
                  </w:rPr>
                  <w:t>☐</w:t>
                </w:r>
              </w:sdtContent>
            </w:sdt>
            <w:r w:rsidR="00C85268" w:rsidRPr="0059242C">
              <w:rPr>
                <w:color w:val="auto"/>
                <w:sz w:val="20"/>
              </w:rPr>
              <w:t xml:space="preserve"> </w:t>
            </w:r>
          </w:p>
        </w:tc>
        <w:tc>
          <w:tcPr>
            <w:tcW w:w="1213" w:type="dxa"/>
            <w:tcBorders>
              <w:top w:val="dashed" w:sz="4" w:space="0" w:color="000000"/>
              <w:left w:val="nil"/>
              <w:bottom w:val="dashed" w:sz="4" w:space="0" w:color="000000"/>
              <w:right w:val="nil"/>
            </w:tcBorders>
            <w:vAlign w:val="center"/>
          </w:tcPr>
          <w:p w14:paraId="6CDB0BFB" w14:textId="77777777" w:rsidR="00C85268" w:rsidRPr="0059242C" w:rsidRDefault="00C85268" w:rsidP="00C85268">
            <w:pPr>
              <w:spacing w:after="0" w:line="240" w:lineRule="auto"/>
              <w:ind w:left="0" w:right="0" w:firstLine="0"/>
              <w:jc w:val="left"/>
              <w:rPr>
                <w:color w:val="auto"/>
              </w:rPr>
            </w:pPr>
            <w:r w:rsidRPr="0059242C">
              <w:rPr>
                <w:color w:val="auto"/>
                <w:sz w:val="20"/>
              </w:rPr>
              <w:t xml:space="preserve">Žiadne </w:t>
            </w:r>
          </w:p>
        </w:tc>
        <w:tc>
          <w:tcPr>
            <w:tcW w:w="502" w:type="dxa"/>
            <w:tcBorders>
              <w:top w:val="dashed" w:sz="4" w:space="0" w:color="000000"/>
              <w:left w:val="nil"/>
              <w:bottom w:val="dashed" w:sz="4" w:space="0" w:color="000000"/>
              <w:right w:val="nil"/>
            </w:tcBorders>
            <w:vAlign w:val="center"/>
          </w:tcPr>
          <w:p w14:paraId="2A67871C" w14:textId="77777777" w:rsidR="00C85268" w:rsidRPr="0059242C" w:rsidRDefault="00C85268" w:rsidP="00C85268">
            <w:pPr>
              <w:spacing w:after="0" w:line="240" w:lineRule="auto"/>
              <w:ind w:left="0" w:right="0" w:firstLine="0"/>
              <w:jc w:val="left"/>
              <w:rPr>
                <w:color w:val="auto"/>
              </w:rPr>
            </w:pPr>
            <w:r w:rsidRPr="0059242C">
              <w:rPr>
                <w:rFonts w:ascii="Segoe UI Symbol" w:eastAsia="Segoe UI Symbol" w:hAnsi="Segoe UI Symbol" w:cs="Segoe UI Symbol"/>
                <w:color w:val="auto"/>
                <w:sz w:val="20"/>
              </w:rPr>
              <w:t>☐</w:t>
            </w:r>
            <w:r w:rsidRPr="0059242C">
              <w:rPr>
                <w:color w:val="auto"/>
                <w:sz w:val="20"/>
              </w:rPr>
              <w:t xml:space="preserve"> </w:t>
            </w:r>
          </w:p>
        </w:tc>
        <w:tc>
          <w:tcPr>
            <w:tcW w:w="1153" w:type="dxa"/>
            <w:tcBorders>
              <w:top w:val="dashed" w:sz="4" w:space="0" w:color="000000"/>
              <w:left w:val="nil"/>
              <w:bottom w:val="dashed" w:sz="4" w:space="0" w:color="000000"/>
              <w:right w:val="single" w:sz="4" w:space="0" w:color="000000"/>
            </w:tcBorders>
            <w:vAlign w:val="center"/>
          </w:tcPr>
          <w:p w14:paraId="60B6F870" w14:textId="77777777" w:rsidR="00C85268" w:rsidRPr="0059242C" w:rsidRDefault="00C85268" w:rsidP="00C85268">
            <w:pPr>
              <w:spacing w:after="0" w:line="240" w:lineRule="auto"/>
              <w:ind w:left="19" w:right="0" w:firstLine="0"/>
              <w:jc w:val="left"/>
              <w:rPr>
                <w:color w:val="auto"/>
              </w:rPr>
            </w:pPr>
            <w:r w:rsidRPr="0059242C">
              <w:rPr>
                <w:color w:val="auto"/>
                <w:sz w:val="20"/>
              </w:rPr>
              <w:t xml:space="preserve">Negatívne </w:t>
            </w:r>
          </w:p>
        </w:tc>
      </w:tr>
      <w:tr w:rsidR="00C85268" w14:paraId="6141772C" w14:textId="77777777" w:rsidTr="00C85268">
        <w:trPr>
          <w:trHeight w:val="469"/>
        </w:trPr>
        <w:tc>
          <w:tcPr>
            <w:tcW w:w="3808" w:type="dxa"/>
            <w:tcBorders>
              <w:top w:val="single" w:sz="4" w:space="0" w:color="E2E2E2"/>
              <w:left w:val="single" w:sz="4" w:space="0" w:color="000000"/>
              <w:bottom w:val="single" w:sz="4" w:space="0" w:color="000000"/>
              <w:right w:val="single" w:sz="4" w:space="0" w:color="000000"/>
            </w:tcBorders>
            <w:shd w:val="clear" w:color="auto" w:fill="E2E2E2"/>
          </w:tcPr>
          <w:p w14:paraId="6B9711D6" w14:textId="77777777" w:rsidR="00C85268" w:rsidRDefault="00C85268" w:rsidP="00C85268">
            <w:pPr>
              <w:spacing w:after="0" w:line="240" w:lineRule="auto"/>
              <w:ind w:left="340" w:right="219" w:firstLine="0"/>
              <w:jc w:val="left"/>
            </w:pPr>
            <w:r>
              <w:rPr>
                <w:sz w:val="20"/>
              </w:rPr>
              <w:t>Mechanizmus znižovania byrokracie</w:t>
            </w:r>
            <w:r w:rsidR="008D173C">
              <w:rPr>
                <w:sz w:val="20"/>
              </w:rPr>
              <w:t xml:space="preserve"> </w:t>
            </w:r>
            <w:r>
              <w:rPr>
                <w:sz w:val="20"/>
              </w:rPr>
              <w:t xml:space="preserve"> a nákladov sa uplatňuje:</w:t>
            </w:r>
            <w:r>
              <w:rPr>
                <w:b/>
                <w:sz w:val="20"/>
              </w:rPr>
              <w:t xml:space="preserve"> </w:t>
            </w:r>
          </w:p>
        </w:tc>
        <w:tc>
          <w:tcPr>
            <w:tcW w:w="651" w:type="dxa"/>
            <w:tcBorders>
              <w:top w:val="dashed" w:sz="4" w:space="0" w:color="000000"/>
              <w:left w:val="single" w:sz="4" w:space="0" w:color="000000"/>
              <w:bottom w:val="single" w:sz="4" w:space="0" w:color="000000"/>
              <w:right w:val="nil"/>
            </w:tcBorders>
            <w:vAlign w:val="center"/>
          </w:tcPr>
          <w:p w14:paraId="1D9433EF" w14:textId="77777777" w:rsidR="00C85268" w:rsidRPr="0059242C" w:rsidRDefault="00C85268" w:rsidP="00C85268">
            <w:pPr>
              <w:spacing w:after="0" w:line="240" w:lineRule="auto"/>
              <w:ind w:left="185" w:right="0" w:firstLine="0"/>
              <w:jc w:val="left"/>
              <w:rPr>
                <w:color w:val="auto"/>
              </w:rPr>
            </w:pPr>
            <w:r w:rsidRPr="0059242C">
              <w:rPr>
                <w:rFonts w:ascii="Segoe UI Symbol" w:eastAsia="Segoe UI Symbol" w:hAnsi="Segoe UI Symbol" w:cs="Segoe UI Symbol"/>
                <w:color w:val="auto"/>
                <w:sz w:val="20"/>
              </w:rPr>
              <w:t>☐</w:t>
            </w:r>
            <w:r w:rsidRPr="0059242C">
              <w:rPr>
                <w:b/>
                <w:color w:val="auto"/>
                <w:sz w:val="20"/>
              </w:rPr>
              <w:t xml:space="preserve"> </w:t>
            </w:r>
          </w:p>
        </w:tc>
        <w:tc>
          <w:tcPr>
            <w:tcW w:w="1388" w:type="dxa"/>
            <w:tcBorders>
              <w:top w:val="dashed" w:sz="4" w:space="0" w:color="000000"/>
              <w:left w:val="nil"/>
              <w:bottom w:val="single" w:sz="4" w:space="0" w:color="000000"/>
              <w:right w:val="nil"/>
            </w:tcBorders>
            <w:vAlign w:val="center"/>
          </w:tcPr>
          <w:p w14:paraId="59990E98" w14:textId="77777777" w:rsidR="00C85268" w:rsidRPr="0059242C" w:rsidRDefault="00C85268" w:rsidP="00C85268">
            <w:pPr>
              <w:spacing w:after="0" w:line="240" w:lineRule="auto"/>
              <w:ind w:left="0" w:right="0" w:firstLine="0"/>
              <w:jc w:val="left"/>
              <w:rPr>
                <w:color w:val="auto"/>
              </w:rPr>
            </w:pPr>
            <w:r w:rsidRPr="0059242C">
              <w:rPr>
                <w:color w:val="auto"/>
                <w:sz w:val="20"/>
              </w:rPr>
              <w:t>Áno</w:t>
            </w:r>
            <w:r w:rsidRPr="0059242C">
              <w:rPr>
                <w:b/>
                <w:color w:val="auto"/>
                <w:sz w:val="20"/>
              </w:rPr>
              <w:t xml:space="preserve"> </w:t>
            </w:r>
          </w:p>
        </w:tc>
        <w:tc>
          <w:tcPr>
            <w:tcW w:w="463" w:type="dxa"/>
            <w:tcBorders>
              <w:top w:val="dashed" w:sz="4" w:space="0" w:color="000000"/>
              <w:left w:val="nil"/>
              <w:bottom w:val="single" w:sz="4" w:space="0" w:color="000000"/>
              <w:right w:val="nil"/>
            </w:tcBorders>
            <w:vAlign w:val="center"/>
          </w:tcPr>
          <w:p w14:paraId="5FD1D4F4" w14:textId="77777777" w:rsidR="00C85268" w:rsidRPr="0059242C" w:rsidRDefault="00C85268" w:rsidP="00C85268">
            <w:pPr>
              <w:spacing w:after="0" w:line="240" w:lineRule="auto"/>
              <w:ind w:left="43" w:right="0" w:firstLine="0"/>
              <w:jc w:val="center"/>
              <w:rPr>
                <w:color w:val="auto"/>
              </w:rPr>
            </w:pPr>
            <w:r w:rsidRPr="0059242C">
              <w:rPr>
                <w:b/>
                <w:color w:val="auto"/>
                <w:sz w:val="20"/>
              </w:rPr>
              <w:t xml:space="preserve"> </w:t>
            </w:r>
          </w:p>
        </w:tc>
        <w:tc>
          <w:tcPr>
            <w:tcW w:w="1213" w:type="dxa"/>
            <w:tcBorders>
              <w:top w:val="dashed" w:sz="4" w:space="0" w:color="000000"/>
              <w:left w:val="nil"/>
              <w:bottom w:val="single" w:sz="4" w:space="0" w:color="000000"/>
              <w:right w:val="nil"/>
            </w:tcBorders>
            <w:vAlign w:val="center"/>
          </w:tcPr>
          <w:p w14:paraId="0FE37886" w14:textId="77777777" w:rsidR="00C85268" w:rsidRPr="0059242C" w:rsidRDefault="00C85268" w:rsidP="00C85268">
            <w:pPr>
              <w:spacing w:after="0" w:line="240" w:lineRule="auto"/>
              <w:ind w:left="458" w:right="0" w:firstLine="0"/>
              <w:jc w:val="left"/>
              <w:rPr>
                <w:color w:val="auto"/>
              </w:rPr>
            </w:pPr>
            <w:r w:rsidRPr="0059242C">
              <w:rPr>
                <w:b/>
                <w:color w:val="auto"/>
                <w:sz w:val="20"/>
              </w:rPr>
              <w:t xml:space="preserve"> </w:t>
            </w:r>
          </w:p>
        </w:tc>
        <w:sdt>
          <w:sdtPr>
            <w:rPr>
              <w:b/>
              <w:color w:val="auto"/>
              <w:sz w:val="20"/>
              <w:szCs w:val="20"/>
            </w:rPr>
            <w:id w:val="-1288499756"/>
            <w14:checkbox>
              <w14:checked w14:val="1"/>
              <w14:checkedState w14:val="2612" w14:font="MS Gothic"/>
              <w14:uncheckedState w14:val="2610" w14:font="MS Gothic"/>
            </w14:checkbox>
          </w:sdtPr>
          <w:sdtContent>
            <w:tc>
              <w:tcPr>
                <w:tcW w:w="502" w:type="dxa"/>
                <w:tcBorders>
                  <w:top w:val="dashed" w:sz="4" w:space="0" w:color="000000"/>
                  <w:left w:val="nil"/>
                  <w:bottom w:val="single" w:sz="4" w:space="0" w:color="000000"/>
                  <w:right w:val="nil"/>
                </w:tcBorders>
                <w:vAlign w:val="center"/>
              </w:tcPr>
              <w:p w14:paraId="24936507" w14:textId="77777777" w:rsidR="00C85268" w:rsidRPr="0059242C" w:rsidRDefault="00C85268" w:rsidP="00C85268">
                <w:pPr>
                  <w:spacing w:after="0" w:line="240" w:lineRule="auto"/>
                  <w:ind w:left="0" w:right="0" w:firstLine="0"/>
                  <w:jc w:val="left"/>
                  <w:rPr>
                    <w:color w:val="auto"/>
                  </w:rPr>
                </w:pPr>
                <w:r w:rsidRPr="0059242C">
                  <w:rPr>
                    <w:rFonts w:ascii="MS Gothic" w:eastAsia="MS Gothic" w:hAnsi="MS Gothic" w:hint="eastAsia"/>
                    <w:b/>
                    <w:color w:val="auto"/>
                    <w:sz w:val="20"/>
                    <w:szCs w:val="20"/>
                  </w:rPr>
                  <w:t>☒</w:t>
                </w:r>
              </w:p>
            </w:tc>
          </w:sdtContent>
        </w:sdt>
        <w:tc>
          <w:tcPr>
            <w:tcW w:w="1153" w:type="dxa"/>
            <w:tcBorders>
              <w:top w:val="dashed" w:sz="4" w:space="0" w:color="000000"/>
              <w:left w:val="nil"/>
              <w:bottom w:val="single" w:sz="4" w:space="0" w:color="000000"/>
              <w:right w:val="single" w:sz="4" w:space="0" w:color="000000"/>
            </w:tcBorders>
            <w:vAlign w:val="center"/>
          </w:tcPr>
          <w:p w14:paraId="459787CC" w14:textId="77777777" w:rsidR="00C85268" w:rsidRPr="0059242C" w:rsidRDefault="00C85268" w:rsidP="00C85268">
            <w:pPr>
              <w:spacing w:after="0" w:line="240" w:lineRule="auto"/>
              <w:ind w:left="19" w:right="0" w:firstLine="0"/>
              <w:jc w:val="left"/>
              <w:rPr>
                <w:color w:val="auto"/>
              </w:rPr>
            </w:pPr>
            <w:r w:rsidRPr="0059242C">
              <w:rPr>
                <w:color w:val="auto"/>
                <w:sz w:val="20"/>
              </w:rPr>
              <w:t>Nie</w:t>
            </w:r>
            <w:r w:rsidRPr="0059242C">
              <w:rPr>
                <w:b/>
                <w:color w:val="auto"/>
                <w:sz w:val="20"/>
              </w:rPr>
              <w:t xml:space="preserve"> </w:t>
            </w:r>
          </w:p>
        </w:tc>
      </w:tr>
      <w:tr w:rsidR="00C85268" w14:paraId="65254CA4" w14:textId="77777777" w:rsidTr="00C85268">
        <w:trPr>
          <w:trHeight w:val="276"/>
        </w:trPr>
        <w:tc>
          <w:tcPr>
            <w:tcW w:w="3808" w:type="dxa"/>
            <w:tcBorders>
              <w:top w:val="single" w:sz="4" w:space="0" w:color="000000"/>
              <w:left w:val="single" w:sz="4" w:space="0" w:color="000000"/>
              <w:bottom w:val="single" w:sz="4" w:space="0" w:color="000000"/>
              <w:right w:val="single" w:sz="4" w:space="0" w:color="000000"/>
            </w:tcBorders>
            <w:shd w:val="clear" w:color="auto" w:fill="E2E2E2"/>
          </w:tcPr>
          <w:p w14:paraId="2785B990" w14:textId="77777777" w:rsidR="00C85268" w:rsidRDefault="00C85268" w:rsidP="00C85268">
            <w:pPr>
              <w:spacing w:after="0" w:line="240" w:lineRule="auto"/>
              <w:ind w:left="108" w:right="0" w:firstLine="0"/>
              <w:jc w:val="left"/>
            </w:pPr>
            <w:r>
              <w:rPr>
                <w:b/>
                <w:sz w:val="20"/>
              </w:rPr>
              <w:t xml:space="preserve">Sociálne vplyvy </w:t>
            </w:r>
          </w:p>
        </w:tc>
        <w:tc>
          <w:tcPr>
            <w:tcW w:w="651" w:type="dxa"/>
            <w:tcBorders>
              <w:top w:val="single" w:sz="4" w:space="0" w:color="000000"/>
              <w:left w:val="single" w:sz="4" w:space="0" w:color="000000"/>
              <w:bottom w:val="single" w:sz="4" w:space="0" w:color="000000"/>
              <w:right w:val="nil"/>
            </w:tcBorders>
          </w:tcPr>
          <w:p w14:paraId="502C9657" w14:textId="77777777" w:rsidR="00C85268" w:rsidRPr="0059242C" w:rsidRDefault="00C85268" w:rsidP="00C85268">
            <w:pPr>
              <w:spacing w:after="0" w:line="240" w:lineRule="auto"/>
              <w:ind w:left="185" w:right="0" w:firstLine="0"/>
              <w:jc w:val="left"/>
              <w:rPr>
                <w:color w:val="auto"/>
              </w:rPr>
            </w:pPr>
            <w:r w:rsidRPr="0059242C">
              <w:rPr>
                <w:rFonts w:ascii="Segoe UI Symbol" w:eastAsia="Segoe UI Symbol" w:hAnsi="Segoe UI Symbol" w:cs="Segoe UI Symbol"/>
                <w:color w:val="auto"/>
                <w:sz w:val="20"/>
              </w:rPr>
              <w:t>☐</w:t>
            </w:r>
            <w:r w:rsidRPr="0059242C">
              <w:rPr>
                <w:b/>
                <w:color w:val="auto"/>
                <w:sz w:val="20"/>
              </w:rPr>
              <w:t xml:space="preserve"> </w:t>
            </w:r>
          </w:p>
        </w:tc>
        <w:tc>
          <w:tcPr>
            <w:tcW w:w="1388" w:type="dxa"/>
            <w:tcBorders>
              <w:top w:val="single" w:sz="4" w:space="0" w:color="000000"/>
              <w:left w:val="nil"/>
              <w:bottom w:val="single" w:sz="4" w:space="0" w:color="000000"/>
              <w:right w:val="nil"/>
            </w:tcBorders>
          </w:tcPr>
          <w:p w14:paraId="599056F4" w14:textId="77777777" w:rsidR="00C85268" w:rsidRPr="0059242C" w:rsidRDefault="00C85268" w:rsidP="00C85268">
            <w:pPr>
              <w:spacing w:after="0" w:line="240" w:lineRule="auto"/>
              <w:ind w:left="0" w:right="0" w:firstLine="0"/>
              <w:jc w:val="left"/>
              <w:rPr>
                <w:color w:val="auto"/>
              </w:rPr>
            </w:pPr>
            <w:r w:rsidRPr="0059242C">
              <w:rPr>
                <w:b/>
                <w:color w:val="auto"/>
                <w:sz w:val="20"/>
              </w:rPr>
              <w:t xml:space="preserve">Pozitívne </w:t>
            </w:r>
          </w:p>
        </w:tc>
        <w:sdt>
          <w:sdtPr>
            <w:rPr>
              <w:b/>
              <w:color w:val="auto"/>
              <w:sz w:val="20"/>
              <w:szCs w:val="20"/>
            </w:rPr>
            <w:id w:val="318318201"/>
            <w14:checkbox>
              <w14:checked w14:val="1"/>
              <w14:checkedState w14:val="2612" w14:font="MS Gothic"/>
              <w14:uncheckedState w14:val="2610" w14:font="MS Gothic"/>
            </w14:checkbox>
          </w:sdtPr>
          <w:sdtContent>
            <w:tc>
              <w:tcPr>
                <w:tcW w:w="463" w:type="dxa"/>
                <w:tcBorders>
                  <w:top w:val="single" w:sz="4" w:space="0" w:color="000000"/>
                  <w:left w:val="nil"/>
                  <w:bottom w:val="single" w:sz="4" w:space="0" w:color="000000"/>
                  <w:right w:val="nil"/>
                </w:tcBorders>
              </w:tcPr>
              <w:p w14:paraId="1164B632" w14:textId="77777777" w:rsidR="00C85268" w:rsidRPr="0059242C" w:rsidRDefault="00C85268" w:rsidP="00C85268">
                <w:pPr>
                  <w:spacing w:after="0" w:line="240" w:lineRule="auto"/>
                  <w:ind w:left="0" w:right="0" w:firstLine="0"/>
                  <w:jc w:val="left"/>
                  <w:rPr>
                    <w:color w:val="auto"/>
                  </w:rPr>
                </w:pPr>
                <w:r w:rsidRPr="0059242C">
                  <w:rPr>
                    <w:rFonts w:ascii="MS Gothic" w:eastAsia="MS Gothic" w:hAnsi="MS Gothic" w:hint="eastAsia"/>
                    <w:b/>
                    <w:color w:val="auto"/>
                    <w:sz w:val="20"/>
                    <w:szCs w:val="20"/>
                  </w:rPr>
                  <w:t>☒</w:t>
                </w:r>
              </w:p>
            </w:tc>
          </w:sdtContent>
        </w:sdt>
        <w:tc>
          <w:tcPr>
            <w:tcW w:w="1213" w:type="dxa"/>
            <w:tcBorders>
              <w:top w:val="single" w:sz="4" w:space="0" w:color="000000"/>
              <w:left w:val="nil"/>
              <w:bottom w:val="single" w:sz="4" w:space="0" w:color="000000"/>
              <w:right w:val="nil"/>
            </w:tcBorders>
          </w:tcPr>
          <w:p w14:paraId="5FAE50B0" w14:textId="77777777" w:rsidR="00C85268" w:rsidRPr="0059242C" w:rsidRDefault="00C85268" w:rsidP="00C85268">
            <w:pPr>
              <w:spacing w:after="0" w:line="240" w:lineRule="auto"/>
              <w:ind w:left="0" w:right="0" w:firstLine="0"/>
              <w:jc w:val="left"/>
              <w:rPr>
                <w:color w:val="auto"/>
              </w:rPr>
            </w:pPr>
            <w:r w:rsidRPr="0059242C">
              <w:rPr>
                <w:b/>
                <w:color w:val="auto"/>
                <w:sz w:val="20"/>
              </w:rPr>
              <w:t xml:space="preserve">Žiadne </w:t>
            </w:r>
          </w:p>
        </w:tc>
        <w:tc>
          <w:tcPr>
            <w:tcW w:w="502" w:type="dxa"/>
            <w:tcBorders>
              <w:top w:val="single" w:sz="4" w:space="0" w:color="000000"/>
              <w:left w:val="nil"/>
              <w:bottom w:val="single" w:sz="4" w:space="0" w:color="000000"/>
              <w:right w:val="nil"/>
            </w:tcBorders>
          </w:tcPr>
          <w:p w14:paraId="3D5A5671" w14:textId="77777777" w:rsidR="00C85268" w:rsidRPr="0059242C" w:rsidRDefault="00C85268" w:rsidP="00C85268">
            <w:pPr>
              <w:spacing w:after="0" w:line="240" w:lineRule="auto"/>
              <w:ind w:left="0" w:right="0" w:firstLine="0"/>
              <w:jc w:val="left"/>
              <w:rPr>
                <w:color w:val="auto"/>
              </w:rPr>
            </w:pPr>
            <w:r w:rsidRPr="0059242C">
              <w:rPr>
                <w:rFonts w:ascii="Segoe UI Symbol" w:eastAsia="Segoe UI Symbol" w:hAnsi="Segoe UI Symbol" w:cs="Segoe UI Symbol"/>
                <w:color w:val="auto"/>
                <w:sz w:val="20"/>
              </w:rPr>
              <w:t>☐</w:t>
            </w:r>
            <w:r w:rsidRPr="0059242C">
              <w:rPr>
                <w:b/>
                <w:color w:val="auto"/>
                <w:sz w:val="20"/>
              </w:rPr>
              <w:t xml:space="preserve"> </w:t>
            </w:r>
          </w:p>
        </w:tc>
        <w:tc>
          <w:tcPr>
            <w:tcW w:w="1153" w:type="dxa"/>
            <w:tcBorders>
              <w:top w:val="single" w:sz="4" w:space="0" w:color="000000"/>
              <w:left w:val="nil"/>
              <w:bottom w:val="single" w:sz="4" w:space="0" w:color="000000"/>
              <w:right w:val="single" w:sz="4" w:space="0" w:color="000000"/>
            </w:tcBorders>
          </w:tcPr>
          <w:p w14:paraId="4DB2F31C" w14:textId="77777777" w:rsidR="00C85268" w:rsidRPr="0059242C" w:rsidRDefault="00C85268" w:rsidP="00C85268">
            <w:pPr>
              <w:spacing w:after="0" w:line="240" w:lineRule="auto"/>
              <w:ind w:left="19" w:right="0" w:firstLine="0"/>
              <w:jc w:val="left"/>
              <w:rPr>
                <w:color w:val="auto"/>
              </w:rPr>
            </w:pPr>
            <w:r w:rsidRPr="0059242C">
              <w:rPr>
                <w:b/>
                <w:color w:val="auto"/>
                <w:sz w:val="20"/>
              </w:rPr>
              <w:t xml:space="preserve">Negatívne </w:t>
            </w:r>
          </w:p>
        </w:tc>
      </w:tr>
      <w:tr w:rsidR="00C85268" w14:paraId="3159D4E7" w14:textId="77777777" w:rsidTr="00C85268">
        <w:trPr>
          <w:trHeight w:val="276"/>
        </w:trPr>
        <w:tc>
          <w:tcPr>
            <w:tcW w:w="3808" w:type="dxa"/>
            <w:tcBorders>
              <w:top w:val="single" w:sz="4" w:space="0" w:color="000000"/>
              <w:left w:val="single" w:sz="4" w:space="0" w:color="000000"/>
              <w:bottom w:val="single" w:sz="4" w:space="0" w:color="E2E2E2"/>
              <w:right w:val="single" w:sz="4" w:space="0" w:color="000000"/>
            </w:tcBorders>
            <w:shd w:val="clear" w:color="auto" w:fill="E2E2E2"/>
          </w:tcPr>
          <w:p w14:paraId="62FA16C1" w14:textId="77777777" w:rsidR="00C85268" w:rsidRDefault="00C85268" w:rsidP="00C85268">
            <w:pPr>
              <w:spacing w:after="0" w:line="240" w:lineRule="auto"/>
              <w:ind w:left="108" w:right="0" w:firstLine="0"/>
              <w:jc w:val="left"/>
            </w:pPr>
            <w:r>
              <w:rPr>
                <w:b/>
                <w:sz w:val="20"/>
              </w:rPr>
              <w:t xml:space="preserve">Vplyvy na životné prostredie </w:t>
            </w:r>
          </w:p>
        </w:tc>
        <w:tc>
          <w:tcPr>
            <w:tcW w:w="651" w:type="dxa"/>
            <w:tcBorders>
              <w:top w:val="single" w:sz="4" w:space="0" w:color="000000"/>
              <w:left w:val="single" w:sz="4" w:space="0" w:color="000000"/>
              <w:bottom w:val="single" w:sz="4" w:space="0" w:color="000000"/>
              <w:right w:val="nil"/>
            </w:tcBorders>
          </w:tcPr>
          <w:p w14:paraId="2F47C886" w14:textId="77777777" w:rsidR="00C85268" w:rsidRPr="0059242C" w:rsidRDefault="00C85268" w:rsidP="00C85268">
            <w:pPr>
              <w:spacing w:after="0" w:line="240" w:lineRule="auto"/>
              <w:ind w:left="185" w:right="0" w:firstLine="0"/>
              <w:jc w:val="left"/>
              <w:rPr>
                <w:color w:val="auto"/>
              </w:rPr>
            </w:pPr>
            <w:r w:rsidRPr="0059242C">
              <w:rPr>
                <w:rFonts w:ascii="Segoe UI Symbol" w:eastAsia="Segoe UI Symbol" w:hAnsi="Segoe UI Symbol" w:cs="Segoe UI Symbol"/>
                <w:color w:val="auto"/>
                <w:sz w:val="20"/>
              </w:rPr>
              <w:t>☐</w:t>
            </w:r>
            <w:r w:rsidRPr="0059242C">
              <w:rPr>
                <w:b/>
                <w:color w:val="auto"/>
                <w:sz w:val="20"/>
              </w:rPr>
              <w:t xml:space="preserve"> </w:t>
            </w:r>
          </w:p>
        </w:tc>
        <w:tc>
          <w:tcPr>
            <w:tcW w:w="1388" w:type="dxa"/>
            <w:tcBorders>
              <w:top w:val="single" w:sz="4" w:space="0" w:color="000000"/>
              <w:left w:val="nil"/>
              <w:bottom w:val="single" w:sz="4" w:space="0" w:color="000000"/>
              <w:right w:val="nil"/>
            </w:tcBorders>
          </w:tcPr>
          <w:p w14:paraId="6FE4916C" w14:textId="77777777" w:rsidR="00C85268" w:rsidRPr="0059242C" w:rsidRDefault="00C85268" w:rsidP="00C85268">
            <w:pPr>
              <w:spacing w:after="0" w:line="240" w:lineRule="auto"/>
              <w:ind w:left="0" w:right="0" w:firstLine="0"/>
              <w:jc w:val="left"/>
              <w:rPr>
                <w:color w:val="auto"/>
              </w:rPr>
            </w:pPr>
            <w:r w:rsidRPr="0059242C">
              <w:rPr>
                <w:b/>
                <w:color w:val="auto"/>
                <w:sz w:val="20"/>
              </w:rPr>
              <w:t xml:space="preserve">Pozitívne </w:t>
            </w:r>
          </w:p>
        </w:tc>
        <w:sdt>
          <w:sdtPr>
            <w:rPr>
              <w:b/>
              <w:color w:val="auto"/>
              <w:sz w:val="20"/>
              <w:szCs w:val="20"/>
            </w:rPr>
            <w:id w:val="50205787"/>
            <w14:checkbox>
              <w14:checked w14:val="1"/>
              <w14:checkedState w14:val="2612" w14:font="MS Gothic"/>
              <w14:uncheckedState w14:val="2610" w14:font="MS Gothic"/>
            </w14:checkbox>
          </w:sdtPr>
          <w:sdtContent>
            <w:tc>
              <w:tcPr>
                <w:tcW w:w="463" w:type="dxa"/>
                <w:tcBorders>
                  <w:top w:val="single" w:sz="4" w:space="0" w:color="000000"/>
                  <w:left w:val="nil"/>
                  <w:bottom w:val="single" w:sz="4" w:space="0" w:color="000000"/>
                  <w:right w:val="nil"/>
                </w:tcBorders>
              </w:tcPr>
              <w:p w14:paraId="2EABC6C9" w14:textId="77777777" w:rsidR="00C85268" w:rsidRPr="0059242C" w:rsidRDefault="00C85268" w:rsidP="00C85268">
                <w:pPr>
                  <w:spacing w:after="0" w:line="240" w:lineRule="auto"/>
                  <w:ind w:left="0" w:right="0" w:firstLine="0"/>
                  <w:jc w:val="left"/>
                  <w:rPr>
                    <w:color w:val="auto"/>
                  </w:rPr>
                </w:pPr>
                <w:r w:rsidRPr="0059242C">
                  <w:rPr>
                    <w:rFonts w:ascii="MS Gothic" w:eastAsia="MS Gothic" w:hAnsi="MS Gothic" w:hint="eastAsia"/>
                    <w:b/>
                    <w:color w:val="auto"/>
                    <w:sz w:val="20"/>
                    <w:szCs w:val="20"/>
                  </w:rPr>
                  <w:t>☒</w:t>
                </w:r>
              </w:p>
            </w:tc>
          </w:sdtContent>
        </w:sdt>
        <w:tc>
          <w:tcPr>
            <w:tcW w:w="1213" w:type="dxa"/>
            <w:tcBorders>
              <w:top w:val="single" w:sz="4" w:space="0" w:color="000000"/>
              <w:left w:val="nil"/>
              <w:bottom w:val="single" w:sz="4" w:space="0" w:color="000000"/>
              <w:right w:val="nil"/>
            </w:tcBorders>
          </w:tcPr>
          <w:p w14:paraId="0EF5CBE3" w14:textId="77777777" w:rsidR="00C85268" w:rsidRPr="0059242C" w:rsidRDefault="00C85268" w:rsidP="00C85268">
            <w:pPr>
              <w:spacing w:after="0" w:line="240" w:lineRule="auto"/>
              <w:ind w:left="0" w:right="0" w:firstLine="0"/>
              <w:jc w:val="left"/>
              <w:rPr>
                <w:color w:val="auto"/>
              </w:rPr>
            </w:pPr>
            <w:r w:rsidRPr="0059242C">
              <w:rPr>
                <w:b/>
                <w:color w:val="auto"/>
                <w:sz w:val="20"/>
              </w:rPr>
              <w:t xml:space="preserve">Žiadne </w:t>
            </w:r>
          </w:p>
        </w:tc>
        <w:tc>
          <w:tcPr>
            <w:tcW w:w="502" w:type="dxa"/>
            <w:tcBorders>
              <w:top w:val="single" w:sz="4" w:space="0" w:color="000000"/>
              <w:left w:val="nil"/>
              <w:bottom w:val="single" w:sz="4" w:space="0" w:color="000000"/>
              <w:right w:val="nil"/>
            </w:tcBorders>
          </w:tcPr>
          <w:p w14:paraId="069B8628" w14:textId="77777777" w:rsidR="00C85268" w:rsidRPr="0059242C" w:rsidRDefault="00C85268" w:rsidP="00C85268">
            <w:pPr>
              <w:spacing w:after="0" w:line="240" w:lineRule="auto"/>
              <w:ind w:left="0" w:right="0" w:firstLine="0"/>
              <w:jc w:val="left"/>
              <w:rPr>
                <w:color w:val="auto"/>
              </w:rPr>
            </w:pPr>
            <w:r w:rsidRPr="0059242C">
              <w:rPr>
                <w:rFonts w:ascii="Segoe UI Symbol" w:eastAsia="Segoe UI Symbol" w:hAnsi="Segoe UI Symbol" w:cs="Segoe UI Symbol"/>
                <w:color w:val="auto"/>
                <w:sz w:val="20"/>
              </w:rPr>
              <w:t>☐</w:t>
            </w:r>
            <w:r w:rsidRPr="0059242C">
              <w:rPr>
                <w:b/>
                <w:color w:val="auto"/>
                <w:sz w:val="20"/>
              </w:rPr>
              <w:t xml:space="preserve"> </w:t>
            </w:r>
          </w:p>
        </w:tc>
        <w:tc>
          <w:tcPr>
            <w:tcW w:w="1153" w:type="dxa"/>
            <w:tcBorders>
              <w:top w:val="single" w:sz="4" w:space="0" w:color="000000"/>
              <w:left w:val="nil"/>
              <w:bottom w:val="single" w:sz="4" w:space="0" w:color="000000"/>
              <w:right w:val="single" w:sz="4" w:space="0" w:color="000000"/>
            </w:tcBorders>
          </w:tcPr>
          <w:p w14:paraId="177652F9" w14:textId="77777777" w:rsidR="00C85268" w:rsidRPr="0059242C" w:rsidRDefault="00C85268" w:rsidP="00C85268">
            <w:pPr>
              <w:spacing w:after="0" w:line="240" w:lineRule="auto"/>
              <w:ind w:left="19" w:right="0" w:firstLine="0"/>
              <w:jc w:val="left"/>
              <w:rPr>
                <w:color w:val="auto"/>
              </w:rPr>
            </w:pPr>
            <w:r w:rsidRPr="0059242C">
              <w:rPr>
                <w:b/>
                <w:color w:val="auto"/>
                <w:sz w:val="20"/>
              </w:rPr>
              <w:t xml:space="preserve">Negatívne </w:t>
            </w:r>
          </w:p>
        </w:tc>
      </w:tr>
      <w:tr w:rsidR="00C85268" w14:paraId="0028E660" w14:textId="77777777" w:rsidTr="00C85268">
        <w:trPr>
          <w:trHeight w:val="1391"/>
        </w:trPr>
        <w:tc>
          <w:tcPr>
            <w:tcW w:w="3808" w:type="dxa"/>
            <w:tcBorders>
              <w:top w:val="single" w:sz="4" w:space="0" w:color="E2E2E2"/>
              <w:left w:val="single" w:sz="4" w:space="0" w:color="000000"/>
              <w:bottom w:val="single" w:sz="4" w:space="0" w:color="000000"/>
              <w:right w:val="single" w:sz="4" w:space="0" w:color="000000"/>
            </w:tcBorders>
            <w:shd w:val="clear" w:color="auto" w:fill="E2E2E2"/>
          </w:tcPr>
          <w:p w14:paraId="5E496F78" w14:textId="77777777" w:rsidR="00C85268" w:rsidRDefault="00C85268" w:rsidP="00C85268">
            <w:pPr>
              <w:spacing w:after="0" w:line="240" w:lineRule="auto"/>
              <w:ind w:left="108" w:right="0" w:firstLine="0"/>
              <w:jc w:val="left"/>
            </w:pPr>
            <w:r>
              <w:rPr>
                <w:sz w:val="20"/>
              </w:rPr>
              <w:t xml:space="preserve"> </w:t>
            </w:r>
          </w:p>
          <w:p w14:paraId="4246285C" w14:textId="77777777" w:rsidR="00C85268" w:rsidRDefault="00C85268" w:rsidP="00C85268">
            <w:pPr>
              <w:spacing w:after="0" w:line="240" w:lineRule="auto"/>
              <w:ind w:left="271" w:right="0" w:firstLine="0"/>
              <w:jc w:val="left"/>
            </w:pPr>
            <w:r>
              <w:rPr>
                <w:sz w:val="20"/>
              </w:rPr>
              <w:t>Materiál je posudzovaný podľa zákona č. 24/2006 Z. z. o posudzovaní vplyvov na životné prostredie a o zmene a doplnení niektorých zákonov v znení neskorších predpisov</w:t>
            </w:r>
            <w:r>
              <w:rPr>
                <w:b/>
                <w:sz w:val="20"/>
              </w:rPr>
              <w:t xml:space="preserve"> </w:t>
            </w:r>
          </w:p>
        </w:tc>
        <w:tc>
          <w:tcPr>
            <w:tcW w:w="651" w:type="dxa"/>
            <w:tcBorders>
              <w:top w:val="single" w:sz="4" w:space="0" w:color="000000"/>
              <w:left w:val="single" w:sz="4" w:space="0" w:color="000000"/>
              <w:bottom w:val="single" w:sz="4" w:space="0" w:color="000000"/>
              <w:right w:val="nil"/>
            </w:tcBorders>
            <w:vAlign w:val="center"/>
          </w:tcPr>
          <w:p w14:paraId="18871C21" w14:textId="77777777" w:rsidR="00C85268" w:rsidRPr="0059242C" w:rsidRDefault="00C85268" w:rsidP="00C85268">
            <w:pPr>
              <w:spacing w:after="0" w:line="240" w:lineRule="auto"/>
              <w:ind w:left="185" w:right="0" w:firstLine="0"/>
              <w:jc w:val="left"/>
              <w:rPr>
                <w:color w:val="auto"/>
              </w:rPr>
            </w:pPr>
            <w:r w:rsidRPr="0059242C">
              <w:rPr>
                <w:rFonts w:ascii="Segoe UI Symbol" w:eastAsia="Segoe UI Symbol" w:hAnsi="Segoe UI Symbol" w:cs="Segoe UI Symbol"/>
                <w:color w:val="auto"/>
                <w:sz w:val="20"/>
              </w:rPr>
              <w:t>☐</w:t>
            </w:r>
            <w:r w:rsidRPr="0059242C">
              <w:rPr>
                <w:b/>
                <w:color w:val="auto"/>
                <w:sz w:val="20"/>
              </w:rPr>
              <w:t xml:space="preserve"> </w:t>
            </w:r>
          </w:p>
        </w:tc>
        <w:tc>
          <w:tcPr>
            <w:tcW w:w="1388" w:type="dxa"/>
            <w:tcBorders>
              <w:top w:val="single" w:sz="4" w:space="0" w:color="000000"/>
              <w:left w:val="nil"/>
              <w:bottom w:val="single" w:sz="4" w:space="0" w:color="000000"/>
              <w:right w:val="nil"/>
            </w:tcBorders>
            <w:vAlign w:val="center"/>
          </w:tcPr>
          <w:p w14:paraId="124ED523" w14:textId="77777777" w:rsidR="00C85268" w:rsidRPr="0059242C" w:rsidRDefault="00C85268" w:rsidP="00C85268">
            <w:pPr>
              <w:spacing w:after="0" w:line="240" w:lineRule="auto"/>
              <w:ind w:left="0" w:right="0" w:firstLine="0"/>
              <w:jc w:val="left"/>
              <w:rPr>
                <w:color w:val="auto"/>
              </w:rPr>
            </w:pPr>
            <w:r w:rsidRPr="0059242C">
              <w:rPr>
                <w:color w:val="auto"/>
                <w:sz w:val="20"/>
              </w:rPr>
              <w:t>Áno</w:t>
            </w:r>
            <w:r w:rsidRPr="0059242C">
              <w:rPr>
                <w:b/>
                <w:color w:val="auto"/>
                <w:sz w:val="20"/>
              </w:rPr>
              <w:t xml:space="preserve"> </w:t>
            </w:r>
          </w:p>
        </w:tc>
        <w:tc>
          <w:tcPr>
            <w:tcW w:w="463" w:type="dxa"/>
            <w:tcBorders>
              <w:top w:val="single" w:sz="4" w:space="0" w:color="000000"/>
              <w:left w:val="nil"/>
              <w:bottom w:val="single" w:sz="4" w:space="0" w:color="000000"/>
              <w:right w:val="nil"/>
            </w:tcBorders>
            <w:vAlign w:val="center"/>
          </w:tcPr>
          <w:p w14:paraId="75536D90" w14:textId="77777777" w:rsidR="00C85268" w:rsidRPr="0059242C" w:rsidRDefault="00C85268" w:rsidP="00C85268">
            <w:pPr>
              <w:spacing w:after="0" w:line="240" w:lineRule="auto"/>
              <w:ind w:left="86" w:right="0" w:firstLine="0"/>
              <w:jc w:val="left"/>
              <w:rPr>
                <w:color w:val="auto"/>
              </w:rPr>
            </w:pPr>
            <w:r w:rsidRPr="0059242C">
              <w:rPr>
                <w:b/>
                <w:color w:val="auto"/>
                <w:sz w:val="20"/>
              </w:rPr>
              <w:t xml:space="preserve"> </w:t>
            </w:r>
          </w:p>
        </w:tc>
        <w:tc>
          <w:tcPr>
            <w:tcW w:w="1213" w:type="dxa"/>
            <w:tcBorders>
              <w:top w:val="single" w:sz="4" w:space="0" w:color="000000"/>
              <w:left w:val="nil"/>
              <w:bottom w:val="single" w:sz="4" w:space="0" w:color="000000"/>
              <w:right w:val="nil"/>
            </w:tcBorders>
            <w:vAlign w:val="center"/>
          </w:tcPr>
          <w:p w14:paraId="1C9F22F4" w14:textId="77777777" w:rsidR="00C85268" w:rsidRPr="0059242C" w:rsidRDefault="00C85268" w:rsidP="00C85268">
            <w:pPr>
              <w:spacing w:after="0" w:line="240" w:lineRule="auto"/>
              <w:ind w:left="458" w:right="0" w:firstLine="0"/>
              <w:jc w:val="left"/>
              <w:rPr>
                <w:color w:val="auto"/>
              </w:rPr>
            </w:pPr>
            <w:r w:rsidRPr="0059242C">
              <w:rPr>
                <w:b/>
                <w:color w:val="auto"/>
                <w:sz w:val="20"/>
              </w:rPr>
              <w:t xml:space="preserve"> </w:t>
            </w:r>
          </w:p>
        </w:tc>
        <w:sdt>
          <w:sdtPr>
            <w:rPr>
              <w:b/>
              <w:color w:val="auto"/>
              <w:sz w:val="20"/>
              <w:szCs w:val="20"/>
            </w:rPr>
            <w:id w:val="826102194"/>
            <w14:checkbox>
              <w14:checked w14:val="0"/>
              <w14:checkedState w14:val="2612" w14:font="MS Gothic"/>
              <w14:uncheckedState w14:val="2610" w14:font="MS Gothic"/>
            </w14:checkbox>
          </w:sdtPr>
          <w:sdtContent>
            <w:tc>
              <w:tcPr>
                <w:tcW w:w="502" w:type="dxa"/>
                <w:tcBorders>
                  <w:top w:val="single" w:sz="4" w:space="0" w:color="000000"/>
                  <w:left w:val="nil"/>
                  <w:bottom w:val="single" w:sz="4" w:space="0" w:color="000000"/>
                  <w:right w:val="nil"/>
                </w:tcBorders>
                <w:vAlign w:val="center"/>
              </w:tcPr>
              <w:p w14:paraId="200CA503" w14:textId="77777777" w:rsidR="00C85268" w:rsidRPr="0059242C" w:rsidRDefault="00E14728" w:rsidP="00C85268">
                <w:pPr>
                  <w:spacing w:after="0" w:line="240" w:lineRule="auto"/>
                  <w:ind w:left="0" w:right="0" w:firstLine="0"/>
                  <w:jc w:val="left"/>
                  <w:rPr>
                    <w:color w:val="auto"/>
                  </w:rPr>
                </w:pPr>
                <w:r>
                  <w:rPr>
                    <w:rFonts w:ascii="MS Gothic" w:eastAsia="MS Gothic" w:hAnsi="MS Gothic" w:hint="eastAsia"/>
                    <w:b/>
                    <w:color w:val="auto"/>
                    <w:sz w:val="20"/>
                    <w:szCs w:val="20"/>
                  </w:rPr>
                  <w:t>☐</w:t>
                </w:r>
              </w:p>
            </w:tc>
          </w:sdtContent>
        </w:sdt>
        <w:tc>
          <w:tcPr>
            <w:tcW w:w="1153" w:type="dxa"/>
            <w:tcBorders>
              <w:top w:val="single" w:sz="4" w:space="0" w:color="000000"/>
              <w:left w:val="nil"/>
              <w:bottom w:val="single" w:sz="4" w:space="0" w:color="000000"/>
              <w:right w:val="single" w:sz="4" w:space="0" w:color="000000"/>
            </w:tcBorders>
            <w:vAlign w:val="center"/>
          </w:tcPr>
          <w:p w14:paraId="20232AAD" w14:textId="77777777" w:rsidR="00C85268" w:rsidRPr="0059242C" w:rsidRDefault="00C85268" w:rsidP="00C85268">
            <w:pPr>
              <w:spacing w:after="0" w:line="240" w:lineRule="auto"/>
              <w:ind w:left="19" w:right="0" w:firstLine="0"/>
              <w:jc w:val="left"/>
              <w:rPr>
                <w:color w:val="auto"/>
              </w:rPr>
            </w:pPr>
            <w:r w:rsidRPr="0059242C">
              <w:rPr>
                <w:color w:val="auto"/>
                <w:sz w:val="20"/>
              </w:rPr>
              <w:t>Nie</w:t>
            </w:r>
            <w:r w:rsidRPr="0059242C">
              <w:rPr>
                <w:b/>
                <w:color w:val="auto"/>
                <w:sz w:val="20"/>
              </w:rPr>
              <w:t xml:space="preserve"> </w:t>
            </w:r>
          </w:p>
        </w:tc>
      </w:tr>
      <w:tr w:rsidR="00C85268" w14:paraId="497AC86C" w14:textId="77777777" w:rsidTr="00C85268">
        <w:trPr>
          <w:trHeight w:val="281"/>
        </w:trPr>
        <w:tc>
          <w:tcPr>
            <w:tcW w:w="3808" w:type="dxa"/>
            <w:tcBorders>
              <w:top w:val="single" w:sz="4" w:space="0" w:color="000000"/>
              <w:left w:val="single" w:sz="4" w:space="0" w:color="000000"/>
              <w:bottom w:val="single" w:sz="8" w:space="0" w:color="000000"/>
              <w:right w:val="single" w:sz="4" w:space="0" w:color="000000"/>
            </w:tcBorders>
            <w:shd w:val="clear" w:color="auto" w:fill="E2E2E2"/>
          </w:tcPr>
          <w:p w14:paraId="3C1A94D7" w14:textId="77777777" w:rsidR="00C85268" w:rsidRDefault="00C85268" w:rsidP="00C85268">
            <w:pPr>
              <w:spacing w:after="0" w:line="240" w:lineRule="auto"/>
              <w:ind w:left="108" w:right="0" w:firstLine="0"/>
              <w:jc w:val="left"/>
            </w:pPr>
            <w:r>
              <w:rPr>
                <w:b/>
                <w:sz w:val="20"/>
              </w:rPr>
              <w:t xml:space="preserve">Vplyvy na informatizáciu spoločnosti </w:t>
            </w:r>
          </w:p>
        </w:tc>
        <w:tc>
          <w:tcPr>
            <w:tcW w:w="651" w:type="dxa"/>
            <w:tcBorders>
              <w:top w:val="single" w:sz="4" w:space="0" w:color="000000"/>
              <w:left w:val="single" w:sz="4" w:space="0" w:color="000000"/>
              <w:bottom w:val="single" w:sz="8" w:space="0" w:color="000000"/>
              <w:right w:val="nil"/>
            </w:tcBorders>
          </w:tcPr>
          <w:p w14:paraId="62CCDD23" w14:textId="77777777" w:rsidR="00C85268" w:rsidRPr="0059242C" w:rsidRDefault="00000000" w:rsidP="00C85268">
            <w:pPr>
              <w:spacing w:after="0" w:line="240" w:lineRule="auto"/>
              <w:ind w:left="185" w:right="0" w:firstLine="0"/>
              <w:jc w:val="left"/>
              <w:rPr>
                <w:color w:val="auto"/>
              </w:rPr>
            </w:pPr>
            <w:sdt>
              <w:sdtPr>
                <w:rPr>
                  <w:b/>
                  <w:color w:val="auto"/>
                  <w:sz w:val="20"/>
                  <w:szCs w:val="20"/>
                </w:rPr>
                <w:id w:val="-2126223921"/>
                <w14:checkbox>
                  <w14:checked w14:val="0"/>
                  <w14:checkedState w14:val="2612" w14:font="MS Gothic"/>
                  <w14:uncheckedState w14:val="2610" w14:font="MS Gothic"/>
                </w14:checkbox>
              </w:sdtPr>
              <w:sdtContent>
                <w:r w:rsidR="00C85268">
                  <w:rPr>
                    <w:rFonts w:ascii="MS Gothic" w:eastAsia="MS Gothic" w:hAnsi="MS Gothic" w:hint="eastAsia"/>
                    <w:b/>
                    <w:color w:val="auto"/>
                    <w:sz w:val="20"/>
                    <w:szCs w:val="20"/>
                  </w:rPr>
                  <w:t>☐</w:t>
                </w:r>
              </w:sdtContent>
            </w:sdt>
            <w:r w:rsidR="00C85268" w:rsidRPr="0059242C">
              <w:rPr>
                <w:b/>
                <w:color w:val="auto"/>
                <w:sz w:val="20"/>
              </w:rPr>
              <w:t xml:space="preserve"> </w:t>
            </w:r>
          </w:p>
        </w:tc>
        <w:tc>
          <w:tcPr>
            <w:tcW w:w="1388" w:type="dxa"/>
            <w:tcBorders>
              <w:top w:val="single" w:sz="4" w:space="0" w:color="000000"/>
              <w:left w:val="nil"/>
              <w:bottom w:val="single" w:sz="8" w:space="0" w:color="000000"/>
              <w:right w:val="nil"/>
            </w:tcBorders>
          </w:tcPr>
          <w:p w14:paraId="684C788E" w14:textId="77777777" w:rsidR="00C85268" w:rsidRPr="0059242C" w:rsidRDefault="00C85268" w:rsidP="00C85268">
            <w:pPr>
              <w:spacing w:after="0" w:line="240" w:lineRule="auto"/>
              <w:ind w:left="0" w:right="0" w:firstLine="0"/>
              <w:jc w:val="left"/>
              <w:rPr>
                <w:color w:val="auto"/>
              </w:rPr>
            </w:pPr>
            <w:r w:rsidRPr="0059242C">
              <w:rPr>
                <w:b/>
                <w:color w:val="auto"/>
                <w:sz w:val="20"/>
              </w:rPr>
              <w:t xml:space="preserve">Pozitívne </w:t>
            </w:r>
          </w:p>
        </w:tc>
        <w:tc>
          <w:tcPr>
            <w:tcW w:w="463" w:type="dxa"/>
            <w:tcBorders>
              <w:top w:val="single" w:sz="4" w:space="0" w:color="000000"/>
              <w:left w:val="nil"/>
              <w:bottom w:val="single" w:sz="8" w:space="0" w:color="000000"/>
              <w:right w:val="nil"/>
            </w:tcBorders>
          </w:tcPr>
          <w:sdt>
            <w:sdtPr>
              <w:rPr>
                <w:b/>
                <w:color w:val="auto"/>
                <w:sz w:val="20"/>
                <w:szCs w:val="20"/>
              </w:rPr>
              <w:id w:val="-2109956275"/>
              <w14:checkbox>
                <w14:checked w14:val="1"/>
                <w14:checkedState w14:val="2612" w14:font="MS Gothic"/>
                <w14:uncheckedState w14:val="2610" w14:font="MS Gothic"/>
              </w14:checkbox>
            </w:sdtPr>
            <w:sdtContent>
              <w:p w14:paraId="58B9CE8E" w14:textId="77777777" w:rsidR="00C85268" w:rsidRDefault="00C85268" w:rsidP="00C85268">
                <w:pPr>
                  <w:spacing w:after="0" w:line="240" w:lineRule="auto"/>
                  <w:rPr>
                    <w:b/>
                    <w:sz w:val="20"/>
                    <w:szCs w:val="20"/>
                  </w:rPr>
                </w:pPr>
                <w:r w:rsidRPr="0059242C">
                  <w:rPr>
                    <w:rFonts w:ascii="MS Gothic" w:eastAsia="MS Gothic" w:hAnsi="MS Gothic" w:hint="eastAsia"/>
                    <w:b/>
                    <w:color w:val="auto"/>
                    <w:sz w:val="20"/>
                    <w:szCs w:val="20"/>
                  </w:rPr>
                  <w:t>☒</w:t>
                </w:r>
              </w:p>
            </w:sdtContent>
          </w:sdt>
          <w:p w14:paraId="6B35F7CC" w14:textId="77777777" w:rsidR="00C85268" w:rsidRPr="0059242C" w:rsidRDefault="00C85268" w:rsidP="00C85268">
            <w:pPr>
              <w:spacing w:after="0" w:line="240" w:lineRule="auto"/>
              <w:ind w:left="0" w:right="0" w:firstLine="0"/>
              <w:jc w:val="left"/>
              <w:rPr>
                <w:color w:val="auto"/>
              </w:rPr>
            </w:pPr>
          </w:p>
        </w:tc>
        <w:tc>
          <w:tcPr>
            <w:tcW w:w="1213" w:type="dxa"/>
            <w:tcBorders>
              <w:top w:val="single" w:sz="4" w:space="0" w:color="000000"/>
              <w:left w:val="nil"/>
              <w:bottom w:val="single" w:sz="8" w:space="0" w:color="000000"/>
              <w:right w:val="nil"/>
            </w:tcBorders>
          </w:tcPr>
          <w:p w14:paraId="107041A0" w14:textId="77777777" w:rsidR="00C85268" w:rsidRPr="0059242C" w:rsidRDefault="00C85268" w:rsidP="00C85268">
            <w:pPr>
              <w:spacing w:after="0" w:line="240" w:lineRule="auto"/>
              <w:ind w:left="0" w:right="0" w:firstLine="0"/>
              <w:jc w:val="left"/>
              <w:rPr>
                <w:color w:val="auto"/>
              </w:rPr>
            </w:pPr>
            <w:r w:rsidRPr="0059242C">
              <w:rPr>
                <w:b/>
                <w:color w:val="auto"/>
                <w:sz w:val="20"/>
              </w:rPr>
              <w:t xml:space="preserve">Žiadne </w:t>
            </w:r>
          </w:p>
        </w:tc>
        <w:tc>
          <w:tcPr>
            <w:tcW w:w="502" w:type="dxa"/>
            <w:tcBorders>
              <w:top w:val="single" w:sz="4" w:space="0" w:color="000000"/>
              <w:left w:val="nil"/>
              <w:bottom w:val="single" w:sz="8" w:space="0" w:color="000000"/>
              <w:right w:val="nil"/>
            </w:tcBorders>
          </w:tcPr>
          <w:p w14:paraId="3D925BFC" w14:textId="77777777" w:rsidR="00C85268" w:rsidRPr="0059242C" w:rsidRDefault="00C85268" w:rsidP="00C85268">
            <w:pPr>
              <w:spacing w:after="0" w:line="240" w:lineRule="auto"/>
              <w:ind w:left="0" w:right="0" w:firstLine="0"/>
              <w:jc w:val="left"/>
              <w:rPr>
                <w:color w:val="auto"/>
              </w:rPr>
            </w:pPr>
            <w:r w:rsidRPr="0059242C">
              <w:rPr>
                <w:rFonts w:ascii="Segoe UI Symbol" w:eastAsia="Segoe UI Symbol" w:hAnsi="Segoe UI Symbol" w:cs="Segoe UI Symbol"/>
                <w:color w:val="auto"/>
                <w:sz w:val="20"/>
              </w:rPr>
              <w:t>☐</w:t>
            </w:r>
            <w:r w:rsidRPr="0059242C">
              <w:rPr>
                <w:b/>
                <w:color w:val="auto"/>
                <w:sz w:val="20"/>
              </w:rPr>
              <w:t xml:space="preserve"> </w:t>
            </w:r>
          </w:p>
        </w:tc>
        <w:tc>
          <w:tcPr>
            <w:tcW w:w="1153" w:type="dxa"/>
            <w:tcBorders>
              <w:top w:val="single" w:sz="4" w:space="0" w:color="000000"/>
              <w:left w:val="nil"/>
              <w:bottom w:val="single" w:sz="8" w:space="0" w:color="000000"/>
              <w:right w:val="single" w:sz="4" w:space="0" w:color="000000"/>
            </w:tcBorders>
          </w:tcPr>
          <w:p w14:paraId="32DFA99D" w14:textId="77777777" w:rsidR="00C85268" w:rsidRPr="0059242C" w:rsidRDefault="00C85268" w:rsidP="00C85268">
            <w:pPr>
              <w:spacing w:after="0" w:line="240" w:lineRule="auto"/>
              <w:ind w:left="19" w:right="0" w:firstLine="0"/>
              <w:jc w:val="left"/>
              <w:rPr>
                <w:color w:val="auto"/>
              </w:rPr>
            </w:pPr>
            <w:r w:rsidRPr="0059242C">
              <w:rPr>
                <w:b/>
                <w:color w:val="auto"/>
                <w:sz w:val="20"/>
              </w:rPr>
              <w:t xml:space="preserve">Negatívne </w:t>
            </w:r>
          </w:p>
        </w:tc>
      </w:tr>
      <w:tr w:rsidR="00C85268" w14:paraId="5AC7E179" w14:textId="77777777" w:rsidTr="00C85268">
        <w:trPr>
          <w:trHeight w:val="935"/>
        </w:trPr>
        <w:tc>
          <w:tcPr>
            <w:tcW w:w="3808" w:type="dxa"/>
            <w:tcBorders>
              <w:top w:val="single" w:sz="8" w:space="0" w:color="000000"/>
              <w:left w:val="single" w:sz="4" w:space="0" w:color="000000"/>
              <w:bottom w:val="single" w:sz="4" w:space="0" w:color="E2E2E2"/>
              <w:right w:val="single" w:sz="4" w:space="0" w:color="000000"/>
            </w:tcBorders>
            <w:shd w:val="clear" w:color="auto" w:fill="E2E2E2"/>
          </w:tcPr>
          <w:p w14:paraId="0667AFA7" w14:textId="77777777" w:rsidR="00C85268" w:rsidRDefault="00C85268" w:rsidP="00C85268">
            <w:pPr>
              <w:spacing w:after="0" w:line="240" w:lineRule="auto"/>
              <w:ind w:left="108" w:right="0" w:firstLine="0"/>
              <w:jc w:val="left"/>
            </w:pPr>
            <w:r>
              <w:rPr>
                <w:b/>
                <w:sz w:val="20"/>
              </w:rPr>
              <w:t xml:space="preserve">Vplyvy na služby verejnej správy pre občana, z toho </w:t>
            </w:r>
          </w:p>
          <w:p w14:paraId="52CA5A08" w14:textId="77777777" w:rsidR="00C85268" w:rsidRDefault="00C43561" w:rsidP="00C85268">
            <w:pPr>
              <w:spacing w:after="0" w:line="240" w:lineRule="auto"/>
              <w:ind w:left="305" w:right="0" w:hanging="197"/>
              <w:jc w:val="left"/>
            </w:pPr>
            <w:r>
              <w:rPr>
                <w:b/>
                <w:sz w:val="20"/>
              </w:rPr>
              <w:t xml:space="preserve"> </w:t>
            </w:r>
            <w:r w:rsidR="00C85268">
              <w:rPr>
                <w:b/>
                <w:sz w:val="20"/>
              </w:rPr>
              <w:t xml:space="preserve">vplyvy služieb verejnej správy na občana </w:t>
            </w:r>
          </w:p>
        </w:tc>
        <w:tc>
          <w:tcPr>
            <w:tcW w:w="651" w:type="dxa"/>
            <w:tcBorders>
              <w:top w:val="single" w:sz="8" w:space="0" w:color="000000"/>
              <w:left w:val="single" w:sz="4" w:space="0" w:color="000000"/>
              <w:bottom w:val="dashed" w:sz="4" w:space="0" w:color="000000"/>
              <w:right w:val="nil"/>
            </w:tcBorders>
          </w:tcPr>
          <w:p w14:paraId="37ECBFDF" w14:textId="77777777" w:rsidR="00C85268" w:rsidRPr="0059242C" w:rsidRDefault="00C85268" w:rsidP="00C85268">
            <w:pPr>
              <w:spacing w:after="0" w:line="240" w:lineRule="auto"/>
              <w:ind w:left="0" w:right="58" w:firstLine="0"/>
              <w:jc w:val="center"/>
              <w:rPr>
                <w:color w:val="auto"/>
              </w:rPr>
            </w:pPr>
            <w:r w:rsidRPr="0059242C">
              <w:rPr>
                <w:b/>
                <w:color w:val="auto"/>
                <w:sz w:val="20"/>
              </w:rPr>
              <w:t xml:space="preserve"> </w:t>
            </w:r>
          </w:p>
          <w:p w14:paraId="1089951F" w14:textId="77777777" w:rsidR="00C85268" w:rsidRPr="0059242C" w:rsidRDefault="00C85268" w:rsidP="00C85268">
            <w:pPr>
              <w:spacing w:after="0" w:line="240" w:lineRule="auto"/>
              <w:ind w:left="185" w:right="0" w:firstLine="0"/>
              <w:jc w:val="left"/>
              <w:rPr>
                <w:color w:val="auto"/>
              </w:rPr>
            </w:pPr>
            <w:r w:rsidRPr="0059242C">
              <w:rPr>
                <w:rFonts w:ascii="Segoe UI Symbol" w:eastAsia="Segoe UI Symbol" w:hAnsi="Segoe UI Symbol" w:cs="Segoe UI Symbol"/>
                <w:color w:val="auto"/>
                <w:sz w:val="20"/>
              </w:rPr>
              <w:t>☐</w:t>
            </w:r>
            <w:r w:rsidRPr="0059242C">
              <w:rPr>
                <w:b/>
                <w:color w:val="auto"/>
                <w:sz w:val="20"/>
              </w:rPr>
              <w:t xml:space="preserve"> </w:t>
            </w:r>
          </w:p>
        </w:tc>
        <w:tc>
          <w:tcPr>
            <w:tcW w:w="1388" w:type="dxa"/>
            <w:tcBorders>
              <w:top w:val="single" w:sz="8" w:space="0" w:color="000000"/>
              <w:left w:val="nil"/>
              <w:bottom w:val="dashed" w:sz="4" w:space="0" w:color="000000"/>
              <w:right w:val="nil"/>
            </w:tcBorders>
          </w:tcPr>
          <w:p w14:paraId="092A8834" w14:textId="77777777" w:rsidR="00C85268" w:rsidRPr="0059242C" w:rsidRDefault="00C85268" w:rsidP="00C85268">
            <w:pPr>
              <w:spacing w:after="0" w:line="240" w:lineRule="auto"/>
              <w:ind w:left="0" w:right="0" w:firstLine="0"/>
              <w:jc w:val="left"/>
              <w:rPr>
                <w:color w:val="auto"/>
              </w:rPr>
            </w:pPr>
            <w:r w:rsidRPr="0059242C">
              <w:rPr>
                <w:b/>
                <w:color w:val="auto"/>
                <w:sz w:val="20"/>
              </w:rPr>
              <w:t xml:space="preserve"> </w:t>
            </w:r>
          </w:p>
          <w:p w14:paraId="3FB7E05F" w14:textId="77777777" w:rsidR="00C85268" w:rsidRPr="0059242C" w:rsidRDefault="00C85268" w:rsidP="00C85268">
            <w:pPr>
              <w:spacing w:after="0" w:line="240" w:lineRule="auto"/>
              <w:ind w:left="0" w:right="0" w:firstLine="0"/>
              <w:jc w:val="left"/>
              <w:rPr>
                <w:color w:val="auto"/>
              </w:rPr>
            </w:pPr>
            <w:r w:rsidRPr="0059242C">
              <w:rPr>
                <w:b/>
                <w:color w:val="auto"/>
                <w:sz w:val="20"/>
              </w:rPr>
              <w:t xml:space="preserve">Pozitívne </w:t>
            </w:r>
          </w:p>
        </w:tc>
        <w:tc>
          <w:tcPr>
            <w:tcW w:w="463" w:type="dxa"/>
            <w:tcBorders>
              <w:top w:val="single" w:sz="8" w:space="0" w:color="000000"/>
              <w:left w:val="nil"/>
              <w:bottom w:val="dashed" w:sz="4" w:space="0" w:color="000000"/>
              <w:right w:val="nil"/>
            </w:tcBorders>
          </w:tcPr>
          <w:p w14:paraId="0C27802B" w14:textId="77777777" w:rsidR="00C85268" w:rsidRPr="0059242C" w:rsidRDefault="00C85268" w:rsidP="00C85268">
            <w:pPr>
              <w:spacing w:after="0" w:line="240" w:lineRule="auto"/>
              <w:ind w:left="70" w:right="0" w:firstLine="0"/>
              <w:jc w:val="left"/>
              <w:rPr>
                <w:color w:val="auto"/>
              </w:rPr>
            </w:pPr>
            <w:r w:rsidRPr="0059242C">
              <w:rPr>
                <w:b/>
                <w:color w:val="auto"/>
                <w:sz w:val="20"/>
              </w:rPr>
              <w:t xml:space="preserve"> </w:t>
            </w:r>
          </w:p>
          <w:sdt>
            <w:sdtPr>
              <w:rPr>
                <w:b/>
                <w:color w:val="auto"/>
                <w:sz w:val="20"/>
                <w:szCs w:val="20"/>
              </w:rPr>
              <w:id w:val="-810173306"/>
              <w14:checkbox>
                <w14:checked w14:val="1"/>
                <w14:checkedState w14:val="2612" w14:font="MS Gothic"/>
                <w14:uncheckedState w14:val="2610" w14:font="MS Gothic"/>
              </w14:checkbox>
            </w:sdtPr>
            <w:sdtContent>
              <w:p w14:paraId="626CBB6C" w14:textId="77777777" w:rsidR="00C85268" w:rsidRPr="0059242C" w:rsidRDefault="00C85268" w:rsidP="00C85268">
                <w:pPr>
                  <w:spacing w:after="0" w:line="240" w:lineRule="auto"/>
                  <w:ind w:left="0" w:right="0" w:firstLine="0"/>
                  <w:jc w:val="left"/>
                  <w:rPr>
                    <w:color w:val="auto"/>
                  </w:rPr>
                </w:pPr>
                <w:r w:rsidRPr="0059242C">
                  <w:rPr>
                    <w:rFonts w:ascii="MS Gothic" w:eastAsia="MS Gothic" w:hAnsi="MS Gothic" w:hint="eastAsia"/>
                    <w:b/>
                    <w:color w:val="auto"/>
                    <w:sz w:val="20"/>
                    <w:szCs w:val="20"/>
                  </w:rPr>
                  <w:t>☒</w:t>
                </w:r>
              </w:p>
            </w:sdtContent>
          </w:sdt>
        </w:tc>
        <w:tc>
          <w:tcPr>
            <w:tcW w:w="1213" w:type="dxa"/>
            <w:tcBorders>
              <w:top w:val="single" w:sz="8" w:space="0" w:color="000000"/>
              <w:left w:val="nil"/>
              <w:bottom w:val="dashed" w:sz="4" w:space="0" w:color="000000"/>
              <w:right w:val="nil"/>
            </w:tcBorders>
          </w:tcPr>
          <w:p w14:paraId="005F1B38" w14:textId="77777777" w:rsidR="00C85268" w:rsidRPr="0059242C" w:rsidRDefault="00C85268" w:rsidP="00C85268">
            <w:pPr>
              <w:spacing w:after="0" w:line="240" w:lineRule="auto"/>
              <w:ind w:left="0" w:right="0" w:firstLine="0"/>
              <w:jc w:val="left"/>
              <w:rPr>
                <w:color w:val="auto"/>
              </w:rPr>
            </w:pPr>
            <w:r w:rsidRPr="0059242C">
              <w:rPr>
                <w:b/>
                <w:color w:val="auto"/>
                <w:sz w:val="20"/>
              </w:rPr>
              <w:t xml:space="preserve"> </w:t>
            </w:r>
          </w:p>
          <w:p w14:paraId="5BA3E5EB" w14:textId="77777777" w:rsidR="00C85268" w:rsidRPr="0059242C" w:rsidRDefault="00C85268" w:rsidP="00C85268">
            <w:pPr>
              <w:spacing w:after="0" w:line="240" w:lineRule="auto"/>
              <w:ind w:left="0" w:right="0" w:firstLine="0"/>
              <w:jc w:val="left"/>
              <w:rPr>
                <w:color w:val="auto"/>
              </w:rPr>
            </w:pPr>
            <w:r w:rsidRPr="0059242C">
              <w:rPr>
                <w:b/>
                <w:color w:val="auto"/>
                <w:sz w:val="20"/>
              </w:rPr>
              <w:t xml:space="preserve">Žiadne </w:t>
            </w:r>
          </w:p>
        </w:tc>
        <w:tc>
          <w:tcPr>
            <w:tcW w:w="502" w:type="dxa"/>
            <w:tcBorders>
              <w:top w:val="single" w:sz="8" w:space="0" w:color="000000"/>
              <w:left w:val="nil"/>
              <w:bottom w:val="dashed" w:sz="4" w:space="0" w:color="000000"/>
              <w:right w:val="nil"/>
            </w:tcBorders>
          </w:tcPr>
          <w:p w14:paraId="39B85984" w14:textId="77777777" w:rsidR="00C85268" w:rsidRPr="0059242C" w:rsidRDefault="00C85268" w:rsidP="00C85268">
            <w:pPr>
              <w:spacing w:after="0" w:line="240" w:lineRule="auto"/>
              <w:ind w:left="86" w:right="0" w:firstLine="0"/>
              <w:jc w:val="left"/>
              <w:rPr>
                <w:color w:val="auto"/>
              </w:rPr>
            </w:pPr>
            <w:r w:rsidRPr="0059242C">
              <w:rPr>
                <w:b/>
                <w:color w:val="auto"/>
                <w:sz w:val="20"/>
              </w:rPr>
              <w:t xml:space="preserve"> </w:t>
            </w:r>
          </w:p>
          <w:p w14:paraId="704EE974" w14:textId="77777777" w:rsidR="00C85268" w:rsidRPr="0059242C" w:rsidRDefault="00C85268" w:rsidP="00C85268">
            <w:pPr>
              <w:spacing w:after="0" w:line="240" w:lineRule="auto"/>
              <w:ind w:left="0" w:right="0" w:firstLine="0"/>
              <w:jc w:val="left"/>
              <w:rPr>
                <w:color w:val="auto"/>
              </w:rPr>
            </w:pPr>
            <w:r w:rsidRPr="0059242C">
              <w:rPr>
                <w:rFonts w:ascii="Segoe UI Symbol" w:eastAsia="Segoe UI Symbol" w:hAnsi="Segoe UI Symbol" w:cs="Segoe UI Symbol"/>
                <w:color w:val="auto"/>
                <w:sz w:val="20"/>
              </w:rPr>
              <w:t>☐</w:t>
            </w:r>
            <w:r w:rsidRPr="0059242C">
              <w:rPr>
                <w:b/>
                <w:color w:val="auto"/>
                <w:sz w:val="20"/>
              </w:rPr>
              <w:t xml:space="preserve"> </w:t>
            </w:r>
          </w:p>
        </w:tc>
        <w:tc>
          <w:tcPr>
            <w:tcW w:w="1153" w:type="dxa"/>
            <w:tcBorders>
              <w:top w:val="single" w:sz="8" w:space="0" w:color="000000"/>
              <w:left w:val="nil"/>
              <w:bottom w:val="dashed" w:sz="4" w:space="0" w:color="000000"/>
              <w:right w:val="single" w:sz="4" w:space="0" w:color="000000"/>
            </w:tcBorders>
          </w:tcPr>
          <w:p w14:paraId="1E5EF271" w14:textId="77777777" w:rsidR="00C85268" w:rsidRPr="0059242C" w:rsidRDefault="00C85268" w:rsidP="00C85268">
            <w:pPr>
              <w:spacing w:after="0" w:line="240" w:lineRule="auto"/>
              <w:ind w:left="19" w:right="0" w:firstLine="0"/>
              <w:jc w:val="left"/>
              <w:rPr>
                <w:color w:val="auto"/>
              </w:rPr>
            </w:pPr>
            <w:r w:rsidRPr="0059242C">
              <w:rPr>
                <w:b/>
                <w:color w:val="auto"/>
                <w:sz w:val="20"/>
              </w:rPr>
              <w:t xml:space="preserve"> </w:t>
            </w:r>
          </w:p>
          <w:p w14:paraId="3B8790B9" w14:textId="77777777" w:rsidR="00C85268" w:rsidRPr="0059242C" w:rsidRDefault="00C85268" w:rsidP="00C85268">
            <w:pPr>
              <w:spacing w:after="0" w:line="240" w:lineRule="auto"/>
              <w:ind w:left="19" w:right="0" w:firstLine="0"/>
              <w:jc w:val="left"/>
              <w:rPr>
                <w:color w:val="auto"/>
              </w:rPr>
            </w:pPr>
            <w:r w:rsidRPr="0059242C">
              <w:rPr>
                <w:b/>
                <w:color w:val="auto"/>
                <w:sz w:val="20"/>
              </w:rPr>
              <w:t xml:space="preserve">Negatívne </w:t>
            </w:r>
          </w:p>
        </w:tc>
      </w:tr>
      <w:tr w:rsidR="00C85268" w14:paraId="10DFD538" w14:textId="77777777" w:rsidTr="00C85268">
        <w:trPr>
          <w:trHeight w:val="475"/>
        </w:trPr>
        <w:tc>
          <w:tcPr>
            <w:tcW w:w="3808" w:type="dxa"/>
            <w:tcBorders>
              <w:top w:val="single" w:sz="4" w:space="0" w:color="E2E2E2"/>
              <w:left w:val="single" w:sz="4" w:space="0" w:color="000000"/>
              <w:bottom w:val="single" w:sz="8" w:space="0" w:color="000000"/>
              <w:right w:val="single" w:sz="4" w:space="0" w:color="000000"/>
            </w:tcBorders>
            <w:shd w:val="clear" w:color="auto" w:fill="E2E2E2"/>
          </w:tcPr>
          <w:p w14:paraId="4121B7BF" w14:textId="77777777" w:rsidR="00C85268" w:rsidRDefault="00C43561" w:rsidP="00C85268">
            <w:pPr>
              <w:spacing w:after="0" w:line="240" w:lineRule="auto"/>
              <w:ind w:left="276" w:right="0" w:hanging="168"/>
              <w:jc w:val="left"/>
            </w:pPr>
            <w:r>
              <w:rPr>
                <w:b/>
                <w:sz w:val="20"/>
              </w:rPr>
              <w:t xml:space="preserve"> </w:t>
            </w:r>
            <w:r w:rsidR="00C85268">
              <w:rPr>
                <w:b/>
                <w:sz w:val="20"/>
              </w:rPr>
              <w:t xml:space="preserve">vplyvy na procesy služieb vo verejnej správe </w:t>
            </w:r>
          </w:p>
        </w:tc>
        <w:sdt>
          <w:sdtPr>
            <w:rPr>
              <w:b/>
              <w:color w:val="auto"/>
              <w:sz w:val="20"/>
              <w:szCs w:val="20"/>
            </w:rPr>
            <w:id w:val="-1096860254"/>
            <w14:checkbox>
              <w14:checked w14:val="0"/>
              <w14:checkedState w14:val="2612" w14:font="MS Gothic"/>
              <w14:uncheckedState w14:val="2610" w14:font="MS Gothic"/>
            </w14:checkbox>
          </w:sdtPr>
          <w:sdtContent>
            <w:tc>
              <w:tcPr>
                <w:tcW w:w="651" w:type="dxa"/>
                <w:tcBorders>
                  <w:top w:val="dashed" w:sz="4" w:space="0" w:color="000000"/>
                  <w:left w:val="single" w:sz="4" w:space="0" w:color="000000"/>
                  <w:bottom w:val="single" w:sz="8" w:space="0" w:color="000000"/>
                  <w:right w:val="nil"/>
                </w:tcBorders>
                <w:vAlign w:val="center"/>
              </w:tcPr>
              <w:p w14:paraId="4592FD97" w14:textId="77777777" w:rsidR="00C85268" w:rsidRPr="0059242C" w:rsidRDefault="00C85268" w:rsidP="00C85268">
                <w:pPr>
                  <w:spacing w:after="0" w:line="240" w:lineRule="auto"/>
                  <w:ind w:left="185" w:right="0" w:firstLine="0"/>
                  <w:jc w:val="left"/>
                  <w:rPr>
                    <w:color w:val="auto"/>
                  </w:rPr>
                </w:pPr>
                <w:r>
                  <w:rPr>
                    <w:rFonts w:ascii="MS Gothic" w:eastAsia="MS Gothic" w:hAnsi="MS Gothic" w:hint="eastAsia"/>
                    <w:b/>
                    <w:color w:val="auto"/>
                    <w:sz w:val="20"/>
                    <w:szCs w:val="20"/>
                  </w:rPr>
                  <w:t>☐</w:t>
                </w:r>
              </w:p>
            </w:tc>
          </w:sdtContent>
        </w:sdt>
        <w:tc>
          <w:tcPr>
            <w:tcW w:w="1388" w:type="dxa"/>
            <w:tcBorders>
              <w:top w:val="dashed" w:sz="4" w:space="0" w:color="000000"/>
              <w:left w:val="nil"/>
              <w:bottom w:val="single" w:sz="8" w:space="0" w:color="000000"/>
              <w:right w:val="nil"/>
            </w:tcBorders>
            <w:vAlign w:val="center"/>
          </w:tcPr>
          <w:p w14:paraId="33177694" w14:textId="77777777" w:rsidR="00C85268" w:rsidRPr="0059242C" w:rsidRDefault="00C85268" w:rsidP="00C85268">
            <w:pPr>
              <w:spacing w:after="0" w:line="240" w:lineRule="auto"/>
              <w:ind w:left="0" w:right="0" w:firstLine="0"/>
              <w:jc w:val="left"/>
              <w:rPr>
                <w:color w:val="auto"/>
              </w:rPr>
            </w:pPr>
            <w:r w:rsidRPr="0059242C">
              <w:rPr>
                <w:b/>
                <w:color w:val="auto"/>
                <w:sz w:val="20"/>
              </w:rPr>
              <w:t xml:space="preserve">Pozitívne </w:t>
            </w:r>
          </w:p>
        </w:tc>
        <w:sdt>
          <w:sdtPr>
            <w:rPr>
              <w:b/>
              <w:color w:val="auto"/>
              <w:sz w:val="20"/>
              <w:szCs w:val="20"/>
            </w:rPr>
            <w:id w:val="-476923009"/>
            <w14:checkbox>
              <w14:checked w14:val="1"/>
              <w14:checkedState w14:val="2612" w14:font="MS Gothic"/>
              <w14:uncheckedState w14:val="2610" w14:font="MS Gothic"/>
            </w14:checkbox>
          </w:sdtPr>
          <w:sdtContent>
            <w:tc>
              <w:tcPr>
                <w:tcW w:w="463" w:type="dxa"/>
                <w:tcBorders>
                  <w:top w:val="dashed" w:sz="4" w:space="0" w:color="000000"/>
                  <w:left w:val="nil"/>
                  <w:bottom w:val="single" w:sz="8" w:space="0" w:color="000000"/>
                  <w:right w:val="nil"/>
                </w:tcBorders>
                <w:vAlign w:val="center"/>
              </w:tcPr>
              <w:p w14:paraId="262CD4BF" w14:textId="77777777" w:rsidR="00C85268" w:rsidRPr="0059242C" w:rsidRDefault="00C85268" w:rsidP="00C85268">
                <w:pPr>
                  <w:spacing w:after="0" w:line="240" w:lineRule="auto"/>
                  <w:ind w:left="0" w:right="0" w:firstLine="0"/>
                  <w:jc w:val="left"/>
                  <w:rPr>
                    <w:color w:val="auto"/>
                  </w:rPr>
                </w:pPr>
                <w:r w:rsidRPr="0059242C">
                  <w:rPr>
                    <w:rFonts w:ascii="MS Gothic" w:eastAsia="MS Gothic" w:hAnsi="MS Gothic" w:hint="eastAsia"/>
                    <w:b/>
                    <w:color w:val="auto"/>
                    <w:sz w:val="20"/>
                    <w:szCs w:val="20"/>
                  </w:rPr>
                  <w:t>☒</w:t>
                </w:r>
              </w:p>
            </w:tc>
          </w:sdtContent>
        </w:sdt>
        <w:tc>
          <w:tcPr>
            <w:tcW w:w="1213" w:type="dxa"/>
            <w:tcBorders>
              <w:top w:val="dashed" w:sz="4" w:space="0" w:color="000000"/>
              <w:left w:val="nil"/>
              <w:bottom w:val="single" w:sz="8" w:space="0" w:color="000000"/>
              <w:right w:val="nil"/>
            </w:tcBorders>
            <w:vAlign w:val="center"/>
          </w:tcPr>
          <w:p w14:paraId="20EA7A15" w14:textId="77777777" w:rsidR="00C85268" w:rsidRPr="0059242C" w:rsidRDefault="00C85268" w:rsidP="00C85268">
            <w:pPr>
              <w:spacing w:after="0" w:line="240" w:lineRule="auto"/>
              <w:ind w:left="0" w:right="0" w:firstLine="0"/>
              <w:jc w:val="left"/>
              <w:rPr>
                <w:color w:val="auto"/>
              </w:rPr>
            </w:pPr>
            <w:r w:rsidRPr="0059242C">
              <w:rPr>
                <w:b/>
                <w:color w:val="auto"/>
                <w:sz w:val="20"/>
              </w:rPr>
              <w:t xml:space="preserve">Žiadne </w:t>
            </w:r>
          </w:p>
        </w:tc>
        <w:tc>
          <w:tcPr>
            <w:tcW w:w="502" w:type="dxa"/>
            <w:tcBorders>
              <w:top w:val="dashed" w:sz="4" w:space="0" w:color="000000"/>
              <w:left w:val="nil"/>
              <w:bottom w:val="single" w:sz="8" w:space="0" w:color="000000"/>
              <w:right w:val="nil"/>
            </w:tcBorders>
            <w:vAlign w:val="center"/>
          </w:tcPr>
          <w:p w14:paraId="5E5A312C" w14:textId="77777777" w:rsidR="00C85268" w:rsidRPr="0059242C" w:rsidRDefault="00C85268" w:rsidP="00C85268">
            <w:pPr>
              <w:spacing w:after="0" w:line="240" w:lineRule="auto"/>
              <w:ind w:left="0" w:right="0" w:firstLine="0"/>
              <w:jc w:val="left"/>
              <w:rPr>
                <w:color w:val="auto"/>
              </w:rPr>
            </w:pPr>
            <w:r w:rsidRPr="0059242C">
              <w:rPr>
                <w:rFonts w:ascii="Segoe UI Symbol" w:eastAsia="Segoe UI Symbol" w:hAnsi="Segoe UI Symbol" w:cs="Segoe UI Symbol"/>
                <w:color w:val="auto"/>
                <w:sz w:val="20"/>
              </w:rPr>
              <w:t>☐</w:t>
            </w:r>
            <w:r w:rsidRPr="0059242C">
              <w:rPr>
                <w:b/>
                <w:color w:val="auto"/>
                <w:sz w:val="20"/>
              </w:rPr>
              <w:t xml:space="preserve"> </w:t>
            </w:r>
          </w:p>
        </w:tc>
        <w:tc>
          <w:tcPr>
            <w:tcW w:w="1153" w:type="dxa"/>
            <w:tcBorders>
              <w:top w:val="dashed" w:sz="4" w:space="0" w:color="000000"/>
              <w:left w:val="nil"/>
              <w:bottom w:val="single" w:sz="8" w:space="0" w:color="000000"/>
              <w:right w:val="single" w:sz="4" w:space="0" w:color="000000"/>
            </w:tcBorders>
            <w:vAlign w:val="center"/>
          </w:tcPr>
          <w:p w14:paraId="451D5201" w14:textId="77777777" w:rsidR="00C85268" w:rsidRPr="0059242C" w:rsidRDefault="00C85268" w:rsidP="00C85268">
            <w:pPr>
              <w:spacing w:after="0" w:line="240" w:lineRule="auto"/>
              <w:ind w:left="19" w:right="0" w:firstLine="0"/>
              <w:jc w:val="left"/>
              <w:rPr>
                <w:color w:val="auto"/>
              </w:rPr>
            </w:pPr>
            <w:r w:rsidRPr="0059242C">
              <w:rPr>
                <w:b/>
                <w:color w:val="auto"/>
                <w:sz w:val="20"/>
              </w:rPr>
              <w:t xml:space="preserve">Negatívne </w:t>
            </w:r>
          </w:p>
        </w:tc>
      </w:tr>
      <w:tr w:rsidR="00C85268" w14:paraId="70E08DCA" w14:textId="77777777" w:rsidTr="00C85268">
        <w:trPr>
          <w:trHeight w:val="474"/>
        </w:trPr>
        <w:tc>
          <w:tcPr>
            <w:tcW w:w="3808" w:type="dxa"/>
            <w:tcBorders>
              <w:top w:val="single" w:sz="8" w:space="0" w:color="000000"/>
              <w:left w:val="single" w:sz="4" w:space="0" w:color="000000"/>
              <w:bottom w:val="single" w:sz="4" w:space="0" w:color="000000"/>
              <w:right w:val="single" w:sz="4" w:space="0" w:color="000000"/>
            </w:tcBorders>
            <w:shd w:val="clear" w:color="auto" w:fill="E2E2E2"/>
          </w:tcPr>
          <w:p w14:paraId="76038B8C" w14:textId="77777777" w:rsidR="00C85268" w:rsidRDefault="00C85268" w:rsidP="00C85268">
            <w:pPr>
              <w:spacing w:after="0" w:line="240" w:lineRule="auto"/>
              <w:ind w:left="108" w:right="585" w:firstLine="0"/>
              <w:jc w:val="left"/>
            </w:pPr>
            <w:r>
              <w:rPr>
                <w:b/>
                <w:sz w:val="20"/>
              </w:rPr>
              <w:t xml:space="preserve">Vplyvy na manželstvo, rodičovstvo a rodinu </w:t>
            </w:r>
          </w:p>
        </w:tc>
        <w:tc>
          <w:tcPr>
            <w:tcW w:w="651" w:type="dxa"/>
            <w:tcBorders>
              <w:top w:val="single" w:sz="8" w:space="0" w:color="000000"/>
              <w:left w:val="single" w:sz="4" w:space="0" w:color="000000"/>
              <w:bottom w:val="single" w:sz="4" w:space="0" w:color="000000"/>
              <w:right w:val="nil"/>
            </w:tcBorders>
            <w:vAlign w:val="center"/>
          </w:tcPr>
          <w:p w14:paraId="010D81A2" w14:textId="77777777" w:rsidR="00C85268" w:rsidRPr="0059242C" w:rsidRDefault="00C85268" w:rsidP="00C85268">
            <w:pPr>
              <w:spacing w:after="0" w:line="240" w:lineRule="auto"/>
              <w:ind w:left="185" w:right="0" w:firstLine="0"/>
              <w:jc w:val="left"/>
              <w:rPr>
                <w:color w:val="auto"/>
              </w:rPr>
            </w:pPr>
            <w:r w:rsidRPr="0059242C">
              <w:rPr>
                <w:rFonts w:ascii="Segoe UI Symbol" w:eastAsia="Segoe UI Symbol" w:hAnsi="Segoe UI Symbol" w:cs="Segoe UI Symbol"/>
                <w:color w:val="auto"/>
                <w:sz w:val="20"/>
              </w:rPr>
              <w:t>☐</w:t>
            </w:r>
            <w:r w:rsidRPr="0059242C">
              <w:rPr>
                <w:b/>
                <w:color w:val="auto"/>
                <w:sz w:val="20"/>
              </w:rPr>
              <w:t xml:space="preserve"> </w:t>
            </w:r>
          </w:p>
        </w:tc>
        <w:tc>
          <w:tcPr>
            <w:tcW w:w="1388" w:type="dxa"/>
            <w:tcBorders>
              <w:top w:val="single" w:sz="8" w:space="0" w:color="000000"/>
              <w:left w:val="nil"/>
              <w:bottom w:val="single" w:sz="4" w:space="0" w:color="000000"/>
              <w:right w:val="nil"/>
            </w:tcBorders>
            <w:vAlign w:val="center"/>
          </w:tcPr>
          <w:p w14:paraId="7E32DC6B" w14:textId="77777777" w:rsidR="00C85268" w:rsidRPr="0059242C" w:rsidRDefault="00C85268" w:rsidP="00C85268">
            <w:pPr>
              <w:spacing w:after="0" w:line="240" w:lineRule="auto"/>
              <w:ind w:left="0" w:right="0" w:firstLine="0"/>
              <w:jc w:val="left"/>
              <w:rPr>
                <w:color w:val="auto"/>
              </w:rPr>
            </w:pPr>
            <w:r w:rsidRPr="0059242C">
              <w:rPr>
                <w:b/>
                <w:color w:val="auto"/>
                <w:sz w:val="20"/>
              </w:rPr>
              <w:t xml:space="preserve">Pozitívne </w:t>
            </w:r>
          </w:p>
        </w:tc>
        <w:sdt>
          <w:sdtPr>
            <w:rPr>
              <w:b/>
              <w:color w:val="auto"/>
              <w:sz w:val="20"/>
              <w:szCs w:val="20"/>
            </w:rPr>
            <w:id w:val="-1756125392"/>
            <w14:checkbox>
              <w14:checked w14:val="1"/>
              <w14:checkedState w14:val="2612" w14:font="MS Gothic"/>
              <w14:uncheckedState w14:val="2610" w14:font="MS Gothic"/>
            </w14:checkbox>
          </w:sdtPr>
          <w:sdtContent>
            <w:tc>
              <w:tcPr>
                <w:tcW w:w="463" w:type="dxa"/>
                <w:tcBorders>
                  <w:top w:val="single" w:sz="8" w:space="0" w:color="000000"/>
                  <w:left w:val="nil"/>
                  <w:bottom w:val="single" w:sz="4" w:space="0" w:color="000000"/>
                  <w:right w:val="nil"/>
                </w:tcBorders>
                <w:vAlign w:val="center"/>
              </w:tcPr>
              <w:p w14:paraId="003EFA66" w14:textId="77777777" w:rsidR="00C85268" w:rsidRPr="0059242C" w:rsidRDefault="00C85268" w:rsidP="00C85268">
                <w:pPr>
                  <w:spacing w:after="0" w:line="240" w:lineRule="auto"/>
                  <w:ind w:left="0" w:right="0" w:firstLine="0"/>
                  <w:jc w:val="left"/>
                  <w:rPr>
                    <w:color w:val="auto"/>
                  </w:rPr>
                </w:pPr>
                <w:r w:rsidRPr="0059242C">
                  <w:rPr>
                    <w:rFonts w:ascii="MS Gothic" w:eastAsia="MS Gothic" w:hAnsi="MS Gothic" w:hint="eastAsia"/>
                    <w:b/>
                    <w:color w:val="auto"/>
                    <w:sz w:val="20"/>
                    <w:szCs w:val="20"/>
                  </w:rPr>
                  <w:t>☒</w:t>
                </w:r>
              </w:p>
            </w:tc>
          </w:sdtContent>
        </w:sdt>
        <w:tc>
          <w:tcPr>
            <w:tcW w:w="1213" w:type="dxa"/>
            <w:tcBorders>
              <w:top w:val="single" w:sz="8" w:space="0" w:color="000000"/>
              <w:left w:val="nil"/>
              <w:bottom w:val="single" w:sz="4" w:space="0" w:color="000000"/>
              <w:right w:val="nil"/>
            </w:tcBorders>
            <w:vAlign w:val="center"/>
          </w:tcPr>
          <w:p w14:paraId="0B18CDEF" w14:textId="77777777" w:rsidR="00C85268" w:rsidRPr="0059242C" w:rsidRDefault="00C85268" w:rsidP="00C85268">
            <w:pPr>
              <w:spacing w:after="0" w:line="240" w:lineRule="auto"/>
              <w:ind w:left="0" w:right="0" w:firstLine="0"/>
              <w:jc w:val="left"/>
              <w:rPr>
                <w:color w:val="auto"/>
              </w:rPr>
            </w:pPr>
            <w:r w:rsidRPr="0059242C">
              <w:rPr>
                <w:b/>
                <w:color w:val="auto"/>
                <w:sz w:val="20"/>
              </w:rPr>
              <w:t xml:space="preserve">Žiadne </w:t>
            </w:r>
          </w:p>
        </w:tc>
        <w:tc>
          <w:tcPr>
            <w:tcW w:w="502" w:type="dxa"/>
            <w:tcBorders>
              <w:top w:val="single" w:sz="8" w:space="0" w:color="000000"/>
              <w:left w:val="nil"/>
              <w:bottom w:val="single" w:sz="4" w:space="0" w:color="000000"/>
              <w:right w:val="nil"/>
            </w:tcBorders>
            <w:vAlign w:val="center"/>
          </w:tcPr>
          <w:p w14:paraId="51A10A1D" w14:textId="77777777" w:rsidR="00C85268" w:rsidRPr="0059242C" w:rsidRDefault="00C85268" w:rsidP="00C85268">
            <w:pPr>
              <w:spacing w:after="0" w:line="240" w:lineRule="auto"/>
              <w:ind w:left="0" w:right="0" w:firstLine="0"/>
              <w:jc w:val="left"/>
              <w:rPr>
                <w:color w:val="auto"/>
              </w:rPr>
            </w:pPr>
            <w:r w:rsidRPr="0059242C">
              <w:rPr>
                <w:rFonts w:ascii="Segoe UI Symbol" w:eastAsia="Segoe UI Symbol" w:hAnsi="Segoe UI Symbol" w:cs="Segoe UI Symbol"/>
                <w:color w:val="auto"/>
                <w:sz w:val="20"/>
              </w:rPr>
              <w:t>☐</w:t>
            </w:r>
            <w:r w:rsidRPr="0059242C">
              <w:rPr>
                <w:b/>
                <w:color w:val="auto"/>
                <w:sz w:val="20"/>
              </w:rPr>
              <w:t xml:space="preserve"> </w:t>
            </w:r>
          </w:p>
        </w:tc>
        <w:tc>
          <w:tcPr>
            <w:tcW w:w="1153" w:type="dxa"/>
            <w:tcBorders>
              <w:top w:val="single" w:sz="8" w:space="0" w:color="000000"/>
              <w:left w:val="nil"/>
              <w:bottom w:val="single" w:sz="4" w:space="0" w:color="000000"/>
              <w:right w:val="single" w:sz="4" w:space="0" w:color="000000"/>
            </w:tcBorders>
            <w:vAlign w:val="center"/>
          </w:tcPr>
          <w:p w14:paraId="2A0DDCE9" w14:textId="77777777" w:rsidR="00C85268" w:rsidRPr="0059242C" w:rsidRDefault="00C85268" w:rsidP="00C85268">
            <w:pPr>
              <w:spacing w:after="0" w:line="240" w:lineRule="auto"/>
              <w:ind w:left="19" w:right="0" w:firstLine="0"/>
              <w:jc w:val="left"/>
              <w:rPr>
                <w:color w:val="auto"/>
              </w:rPr>
            </w:pPr>
            <w:r w:rsidRPr="0059242C">
              <w:rPr>
                <w:b/>
                <w:color w:val="auto"/>
                <w:sz w:val="20"/>
              </w:rPr>
              <w:t xml:space="preserve">Negatívne </w:t>
            </w:r>
          </w:p>
        </w:tc>
      </w:tr>
    </w:tbl>
    <w:p w14:paraId="71AC7298" w14:textId="77777777" w:rsidR="00CD406F" w:rsidRDefault="00BD5E9B" w:rsidP="000C256C">
      <w:pPr>
        <w:spacing w:after="0" w:line="240" w:lineRule="auto"/>
        <w:ind w:left="77" w:right="0" w:firstLine="0"/>
        <w:jc w:val="left"/>
      </w:pPr>
      <w:r>
        <w:rPr>
          <w:rFonts w:ascii="Calibri" w:eastAsia="Calibri" w:hAnsi="Calibri" w:cs="Calibri"/>
          <w:sz w:val="22"/>
        </w:rPr>
        <w:t xml:space="preserve"> </w:t>
      </w:r>
    </w:p>
    <w:p w14:paraId="7FB526ED" w14:textId="77777777" w:rsidR="001B23E0" w:rsidRPr="009C2177" w:rsidRDefault="001B23E0" w:rsidP="001B23E0">
      <w:pPr>
        <w:spacing w:after="0" w:line="240" w:lineRule="auto"/>
        <w:ind w:left="77" w:right="0" w:firstLine="0"/>
      </w:pPr>
      <w:r w:rsidRPr="009C2177">
        <w:t>Návrh smernice nebude mať vplyv na</w:t>
      </w:r>
      <w:r w:rsidR="007D5844">
        <w:t xml:space="preserve"> </w:t>
      </w:r>
      <w:r>
        <w:t xml:space="preserve">rozpočet verejnej správy, limit verejných výdavkov, </w:t>
      </w:r>
      <w:r w:rsidR="006547CD">
        <w:br/>
      </w:r>
      <w:r w:rsidRPr="009C2177">
        <w:t>informatizáciu</w:t>
      </w:r>
      <w:r w:rsidR="006547CD">
        <w:t xml:space="preserve"> spoločnosti</w:t>
      </w:r>
      <w:r w:rsidRPr="009C2177">
        <w:t>, sociálne vplyvy a ani vplyvy na služby verejnej správy pre občana, či životné prostredie a manželstvo, rodičovstvo a rodinu.</w:t>
      </w:r>
      <w:r w:rsidR="00EA01B4">
        <w:t xml:space="preserve"> Návrh smernice bude mať pozitívny vplyv na podnikateľské prostredie</w:t>
      </w:r>
      <w:r w:rsidR="000D3319">
        <w:t>.</w:t>
      </w:r>
    </w:p>
    <w:p w14:paraId="63A36016" w14:textId="77777777" w:rsidR="006D11E9" w:rsidRDefault="006D11E9" w:rsidP="00BB1284">
      <w:pPr>
        <w:spacing w:after="0" w:line="240" w:lineRule="auto"/>
        <w:ind w:left="77" w:right="0" w:firstLine="0"/>
        <w:rPr>
          <w:szCs w:val="24"/>
        </w:rPr>
      </w:pPr>
    </w:p>
    <w:p w14:paraId="0DAA0DED" w14:textId="77777777" w:rsidR="00EA01B4" w:rsidRDefault="006D0F34" w:rsidP="00BB1284">
      <w:pPr>
        <w:spacing w:after="0" w:line="240" w:lineRule="auto"/>
        <w:ind w:left="77" w:right="0" w:firstLine="0"/>
        <w:rPr>
          <w:szCs w:val="24"/>
        </w:rPr>
      </w:pPr>
      <w:r w:rsidRPr="00DE31F8">
        <w:rPr>
          <w:szCs w:val="24"/>
        </w:rPr>
        <w:t>Komisi</w:t>
      </w:r>
      <w:r w:rsidR="00630426">
        <w:rPr>
          <w:szCs w:val="24"/>
        </w:rPr>
        <w:t>a</w:t>
      </w:r>
      <w:r w:rsidRPr="00DE31F8">
        <w:rPr>
          <w:szCs w:val="24"/>
        </w:rPr>
        <w:t xml:space="preserve"> </w:t>
      </w:r>
      <w:r w:rsidR="00EC62A5">
        <w:rPr>
          <w:szCs w:val="24"/>
        </w:rPr>
        <w:t>v</w:t>
      </w:r>
      <w:r w:rsidR="00EC62A5" w:rsidRPr="00DE31F8">
        <w:rPr>
          <w:szCs w:val="24"/>
        </w:rPr>
        <w:t xml:space="preserve"> pracovnom dokumente </w:t>
      </w:r>
      <w:r w:rsidR="00921F3D">
        <w:rPr>
          <w:szCs w:val="24"/>
        </w:rPr>
        <w:t xml:space="preserve">k návrhu </w:t>
      </w:r>
      <w:r w:rsidR="0068687B">
        <w:rPr>
          <w:szCs w:val="24"/>
        </w:rPr>
        <w:t xml:space="preserve">smernice </w:t>
      </w:r>
      <w:r w:rsidR="00DE31F8" w:rsidRPr="00DE31F8">
        <w:rPr>
          <w:szCs w:val="24"/>
        </w:rPr>
        <w:t>konštatuje, že vzhľadom na naliehavú potrebu predloženia návrhu nebolo možné vypracovať úplné posúdenie vplyvu</w:t>
      </w:r>
      <w:r w:rsidR="0010367E">
        <w:rPr>
          <w:szCs w:val="24"/>
        </w:rPr>
        <w:t>.</w:t>
      </w:r>
    </w:p>
    <w:p w14:paraId="4FE50015" w14:textId="77777777" w:rsidR="00EA01B4" w:rsidRDefault="00EA01B4" w:rsidP="00BB1284">
      <w:pPr>
        <w:spacing w:after="0" w:line="240" w:lineRule="auto"/>
        <w:ind w:left="77" w:right="0" w:firstLine="0"/>
        <w:rPr>
          <w:szCs w:val="24"/>
        </w:rPr>
      </w:pPr>
    </w:p>
    <w:p w14:paraId="1F410E4E" w14:textId="77777777" w:rsidR="00AE1201" w:rsidRDefault="003133ED" w:rsidP="005D3A7E">
      <w:pPr>
        <w:spacing w:after="0" w:line="240" w:lineRule="auto"/>
        <w:ind w:left="77" w:right="0" w:firstLine="0"/>
      </w:pPr>
      <w:r>
        <w:rPr>
          <w:szCs w:val="24"/>
        </w:rPr>
        <w:t xml:space="preserve">V podmienkach SR sa </w:t>
      </w:r>
      <w:r w:rsidR="000803DB">
        <w:rPr>
          <w:szCs w:val="24"/>
        </w:rPr>
        <w:t xml:space="preserve">pri transpozícii smernice CSRD </w:t>
      </w:r>
      <w:r>
        <w:rPr>
          <w:szCs w:val="24"/>
        </w:rPr>
        <w:t>odhad</w:t>
      </w:r>
      <w:r w:rsidR="000803DB">
        <w:rPr>
          <w:szCs w:val="24"/>
        </w:rPr>
        <w:t>oval</w:t>
      </w:r>
      <w:r w:rsidR="00630426">
        <w:rPr>
          <w:szCs w:val="24"/>
        </w:rPr>
        <w:t>o</w:t>
      </w:r>
      <w:r w:rsidR="000803DB">
        <w:rPr>
          <w:szCs w:val="24"/>
        </w:rPr>
        <w:t xml:space="preserve"> 830 účtovných jednotiek</w:t>
      </w:r>
      <w:r w:rsidR="00AC3B87">
        <w:rPr>
          <w:szCs w:val="24"/>
        </w:rPr>
        <w:t xml:space="preserve"> (obchodné spoločnosti)</w:t>
      </w:r>
      <w:r w:rsidR="000803DB">
        <w:rPr>
          <w:szCs w:val="24"/>
        </w:rPr>
        <w:t xml:space="preserve"> s povinnosťou vykazovania informácií o udržateľnosti vo výročnej </w:t>
      </w:r>
      <w:r w:rsidR="000D3319">
        <w:rPr>
          <w:szCs w:val="24"/>
        </w:rPr>
        <w:t>správe a 230 účtovných jednotiek s povinnosťou uloženia správy o udržateľnosti do registra účtovných závierok</w:t>
      </w:r>
      <w:r w:rsidR="0010367E">
        <w:rPr>
          <w:szCs w:val="24"/>
        </w:rPr>
        <w:t xml:space="preserve">. </w:t>
      </w:r>
      <w:r w:rsidR="006520C5">
        <w:rPr>
          <w:szCs w:val="24"/>
        </w:rPr>
        <w:t xml:space="preserve">Povinnosť </w:t>
      </w:r>
      <w:r w:rsidR="008C06BD" w:rsidRPr="008C06BD">
        <w:t>vykazovani</w:t>
      </w:r>
      <w:r w:rsidR="006520C5">
        <w:t>a</w:t>
      </w:r>
      <w:r w:rsidR="008C06BD" w:rsidRPr="008C06BD">
        <w:t xml:space="preserve"> informácií o udržateľnosti vo výročnej správe</w:t>
      </w:r>
      <w:r w:rsidR="006520C5">
        <w:t xml:space="preserve"> </w:t>
      </w:r>
      <w:r w:rsidR="008C06BD" w:rsidRPr="008C06BD">
        <w:t>po</w:t>
      </w:r>
      <w:r w:rsidR="0010367E">
        <w:t xml:space="preserve">dľa súčasného znenia smernice </w:t>
      </w:r>
      <w:r w:rsidR="008C06BD" w:rsidRPr="008C06BD">
        <w:t>2013/34</w:t>
      </w:r>
      <w:r w:rsidR="0010367E">
        <w:t>/EÚ</w:t>
      </w:r>
      <w:r w:rsidR="006520C5">
        <w:t xml:space="preserve"> </w:t>
      </w:r>
      <w:r w:rsidR="00AE1201">
        <w:t xml:space="preserve">by </w:t>
      </w:r>
      <w:r w:rsidR="008C06BD" w:rsidRPr="008C06BD">
        <w:t xml:space="preserve">od 1.1.2027 </w:t>
      </w:r>
      <w:r w:rsidR="00AE1201">
        <w:t xml:space="preserve">zmenou rozsahu vykazujúcich podnikov </w:t>
      </w:r>
      <w:r w:rsidR="006520C5">
        <w:t>zani</w:t>
      </w:r>
      <w:r w:rsidR="00AE1201">
        <w:t>kla</w:t>
      </w:r>
      <w:r w:rsidR="006520C5">
        <w:t xml:space="preserve"> pre významnú časť dotknutých subjektov (obchodných spoločností)</w:t>
      </w:r>
      <w:r w:rsidR="00AE1201">
        <w:t xml:space="preserve">. </w:t>
      </w:r>
    </w:p>
    <w:p w14:paraId="1DCE96A9" w14:textId="77777777" w:rsidR="008C06BD" w:rsidRDefault="008C06BD" w:rsidP="005D3A7E">
      <w:pPr>
        <w:spacing w:after="0" w:line="240" w:lineRule="auto"/>
        <w:ind w:left="77" w:right="0" w:firstLine="0"/>
      </w:pPr>
      <w:r w:rsidRPr="008C06BD">
        <w:t xml:space="preserve">Z uvedeného návrhu </w:t>
      </w:r>
      <w:r w:rsidR="00AE1201">
        <w:t xml:space="preserve">smernice </w:t>
      </w:r>
      <w:r w:rsidRPr="008C06BD">
        <w:t>vyplýva zníženie počtu</w:t>
      </w:r>
      <w:r w:rsidR="002E2B94">
        <w:t xml:space="preserve"> vykazujúcich</w:t>
      </w:r>
      <w:r w:rsidRPr="008C06BD">
        <w:t xml:space="preserve"> účtovných jednotiek a tým a</w:t>
      </w:r>
      <w:r w:rsidR="005F4967">
        <w:t>j</w:t>
      </w:r>
      <w:r w:rsidRPr="008C06BD">
        <w:t xml:space="preserve"> ich nákladov. Pri výpočte sa vychádzalo z údajov z registra účtovných závierok, konkrétne za účtovné obdobie roka 2023. Na základe ekonomického vývoja môžeme predpokladať, že počet účtovných jednotiek, ktorých sa nová právna úprava nemusí týkať, sa môže podľa údajov vykazovaných v účtovných závierkach od roku 2024 až 2026 zmeniť.  </w:t>
      </w:r>
    </w:p>
    <w:p w14:paraId="1976A072" w14:textId="77777777" w:rsidR="002E2B94" w:rsidRDefault="002E2B94" w:rsidP="008C06BD">
      <w:pPr>
        <w:spacing w:after="0" w:line="240" w:lineRule="auto"/>
        <w:ind w:left="77" w:right="0" w:firstLine="0"/>
      </w:pPr>
      <w:r>
        <w:t>Zavedenie nového rozsahu vykazujúcich podnikov by znížilo  počet veľkých účtovných jednotiek so súčasnou povinnosťou vykazovania informácií o</w:t>
      </w:r>
      <w:r w:rsidR="00BD3C31">
        <w:t> </w:t>
      </w:r>
      <w:r>
        <w:t>udržateľnosti</w:t>
      </w:r>
      <w:r w:rsidR="00BD3C31">
        <w:t xml:space="preserve"> od roku 2024</w:t>
      </w:r>
      <w:r>
        <w:t xml:space="preserve">, ktorých počet zamestnancov </w:t>
      </w:r>
      <w:r w:rsidR="00640E7F">
        <w:t>presiahol</w:t>
      </w:r>
      <w:r>
        <w:t xml:space="preserve"> 500 </w:t>
      </w:r>
      <w:r w:rsidR="009A7E4A">
        <w:t>a</w:t>
      </w:r>
      <w:r w:rsidR="00640E7F">
        <w:t xml:space="preserve"> nepresiahol</w:t>
      </w:r>
      <w:r w:rsidR="009A7E4A">
        <w:t xml:space="preserve"> </w:t>
      </w:r>
      <w:r>
        <w:t xml:space="preserve">1 000 a súčasne </w:t>
      </w:r>
      <w:r w:rsidR="009A7E4A">
        <w:t xml:space="preserve">suma </w:t>
      </w:r>
      <w:r>
        <w:t>ich majetk</w:t>
      </w:r>
      <w:r w:rsidR="009A7E4A">
        <w:t>u</w:t>
      </w:r>
      <w:r>
        <w:t xml:space="preserve"> prekračuje 25 mil. eur alebo ich čistý obrat je vyšší ako 50 mil. eur (tzv. podniky z prvej vlny), pričom tieto podniky sú súčasne subjektmi verejného záujmu (napr. emitenti).</w:t>
      </w:r>
    </w:p>
    <w:p w14:paraId="76F60117" w14:textId="77777777" w:rsidR="002E2B94" w:rsidRDefault="002E2B94" w:rsidP="002E2B94">
      <w:pPr>
        <w:spacing w:after="0" w:line="240" w:lineRule="auto"/>
        <w:ind w:left="77" w:right="0" w:firstLine="0"/>
      </w:pPr>
      <w:r>
        <w:t xml:space="preserve">Zánik povinnosti vykazovania informácií o udržateľnosti </w:t>
      </w:r>
      <w:r w:rsidR="00AE1201">
        <w:t>by sa týkal</w:t>
      </w:r>
      <w:r>
        <w:t xml:space="preserve"> </w:t>
      </w:r>
      <w:r w:rsidR="00BD3C31">
        <w:t xml:space="preserve">aj </w:t>
      </w:r>
      <w:r w:rsidR="009A7E4A">
        <w:t xml:space="preserve">ostatných </w:t>
      </w:r>
      <w:r>
        <w:t>veľkých účtovných jednotiek</w:t>
      </w:r>
      <w:r w:rsidR="009A7E4A">
        <w:t xml:space="preserve"> so súčasnou povinnosťou vykazovania od roku 2025 (tzv. podniky z druhej vlny), ktoré by spĺňali  dve z troch z kritérií, ktorými sú </w:t>
      </w:r>
      <w:r>
        <w:t xml:space="preserve"> počet zamestnancov  </w:t>
      </w:r>
      <w:r w:rsidR="00640E7F">
        <w:t>presiahol</w:t>
      </w:r>
      <w:r>
        <w:t xml:space="preserve"> </w:t>
      </w:r>
      <w:r w:rsidR="009A7E4A">
        <w:t>250</w:t>
      </w:r>
      <w:r>
        <w:t xml:space="preserve"> </w:t>
      </w:r>
      <w:r w:rsidR="009A7E4A">
        <w:t>a</w:t>
      </w:r>
      <w:r w:rsidR="00640E7F">
        <w:t xml:space="preserve"> nepresiahol</w:t>
      </w:r>
      <w:r w:rsidR="009A7E4A">
        <w:t xml:space="preserve"> 500, </w:t>
      </w:r>
      <w:r>
        <w:t xml:space="preserve"> </w:t>
      </w:r>
      <w:r w:rsidR="009A7E4A">
        <w:t>suma majetku viac ako</w:t>
      </w:r>
      <w:r>
        <w:t xml:space="preserve"> 25 mil. eur</w:t>
      </w:r>
      <w:r w:rsidR="009A7E4A">
        <w:t xml:space="preserve">, čistý obrat viac ako </w:t>
      </w:r>
      <w:r>
        <w:t>50 mil. eur</w:t>
      </w:r>
      <w:r w:rsidR="009A7E4A">
        <w:t>.</w:t>
      </w:r>
      <w:r>
        <w:t xml:space="preserve"> </w:t>
      </w:r>
    </w:p>
    <w:p w14:paraId="5694BABA" w14:textId="77777777" w:rsidR="002E2B94" w:rsidRDefault="009A7E4A" w:rsidP="002E2B94">
      <w:pPr>
        <w:spacing w:after="0" w:line="240" w:lineRule="auto"/>
        <w:ind w:left="77" w:right="0" w:firstLine="0"/>
      </w:pPr>
      <w:r>
        <w:t>Zánik povinnosti</w:t>
      </w:r>
      <w:r w:rsidR="00BD3C31">
        <w:t xml:space="preserve"> vykazovania informácií o udržateľnosti</w:t>
      </w:r>
      <w:r>
        <w:t xml:space="preserve"> by sa vzťahoval aj na</w:t>
      </w:r>
      <w:r w:rsidR="00BD3C31">
        <w:t xml:space="preserve"> </w:t>
      </w:r>
      <w:r w:rsidR="002E2B94">
        <w:t>mal</w:t>
      </w:r>
      <w:r>
        <w:t>é a stredné</w:t>
      </w:r>
      <w:r w:rsidR="002E2B94">
        <w:t xml:space="preserve"> podnik</w:t>
      </w:r>
      <w:r>
        <w:t>y</w:t>
      </w:r>
      <w:r w:rsidR="008C06BD">
        <w:t xml:space="preserve">, </w:t>
      </w:r>
      <w:r w:rsidR="0010367E">
        <w:t>ktorých cenné papiere sú prijaté na obch</w:t>
      </w:r>
      <w:r w:rsidR="00BD3C31">
        <w:t xml:space="preserve">odovanie na regulovanom trhu EÚ, so súčasnou povinnosťou vykazovania od roku 2026 (tzv. podniky z tretej vlny). </w:t>
      </w:r>
    </w:p>
    <w:p w14:paraId="22CC56A7" w14:textId="77777777" w:rsidR="008C06BD" w:rsidRDefault="00BD3C31" w:rsidP="008C06BD">
      <w:pPr>
        <w:spacing w:after="0" w:line="240" w:lineRule="auto"/>
        <w:ind w:left="77" w:right="0" w:firstLine="0"/>
      </w:pPr>
      <w:r>
        <w:t>Zavedením</w:t>
      </w:r>
      <w:r w:rsidR="008C06BD">
        <w:t xml:space="preserve"> novej úpravy </w:t>
      </w:r>
      <w:r>
        <w:t xml:space="preserve">by </w:t>
      </w:r>
      <w:r w:rsidR="008C06BD">
        <w:t>sa zníži</w:t>
      </w:r>
      <w:r>
        <w:t>l</w:t>
      </w:r>
      <w:r w:rsidR="008C06BD">
        <w:t xml:space="preserve"> aj počet mater</w:t>
      </w:r>
      <w:r w:rsidR="0010367E">
        <w:t>ských účtovných jednotiek veľkých</w:t>
      </w:r>
      <w:r w:rsidR="008C06BD">
        <w:t xml:space="preserve"> skup</w:t>
      </w:r>
      <w:r w:rsidR="0010367E">
        <w:t>í</w:t>
      </w:r>
      <w:r w:rsidR="008C06BD">
        <w:t xml:space="preserve">n </w:t>
      </w:r>
      <w:r w:rsidR="008735C5">
        <w:br/>
      </w:r>
      <w:r w:rsidR="008C06BD">
        <w:t xml:space="preserve">s povinnosťou konsolidovaného vykazovania informácií o udržateľnosti. </w:t>
      </w:r>
    </w:p>
    <w:p w14:paraId="1424F96C" w14:textId="77777777" w:rsidR="00056AB1" w:rsidRDefault="006E2F0E" w:rsidP="008C06BD">
      <w:pPr>
        <w:spacing w:after="0" w:line="240" w:lineRule="auto"/>
        <w:ind w:left="77" w:right="0" w:firstLine="0"/>
      </w:pPr>
      <w:r>
        <w:t>Podľa navrhovanej úpravy</w:t>
      </w:r>
      <w:r w:rsidR="00056AB1">
        <w:t xml:space="preserve"> smernice</w:t>
      </w:r>
      <w:r>
        <w:t xml:space="preserve"> sa povinnosť vykazovania informácií o udržateľnosti </w:t>
      </w:r>
      <w:r w:rsidR="008735C5">
        <w:br/>
      </w:r>
      <w:r>
        <w:t xml:space="preserve">vo výročnej správe bude týkať účtovných jednotiek, ktoré zamestnávajú viac ako 1000 zamestnancov a zároveň spĺňajú veľkostné kritériá pre veľkú účtovnú jednotku. </w:t>
      </w:r>
      <w:r w:rsidR="005D3A7E">
        <w:t>Na základe údajov z registra účtovných závierok za účtovné obdobie roka 2023 sa to bude týkať 95 účtovných jednotiek pri zostavovaní individuálnej výročnej správy</w:t>
      </w:r>
      <w:r w:rsidR="00056AB1">
        <w:t xml:space="preserve">. </w:t>
      </w:r>
      <w:r w:rsidR="005D3A7E">
        <w:t xml:space="preserve"> </w:t>
      </w:r>
    </w:p>
    <w:p w14:paraId="698152EA" w14:textId="77777777" w:rsidR="002D51B7" w:rsidRDefault="00056AB1" w:rsidP="005D3A7E">
      <w:pPr>
        <w:spacing w:after="0" w:line="240" w:lineRule="auto"/>
        <w:ind w:left="77" w:right="0" w:firstLine="0"/>
      </w:pPr>
      <w:r>
        <w:t>Na</w:t>
      </w:r>
      <w:r w:rsidR="005D3A7E">
        <w:t xml:space="preserve"> úrovni skupiny</w:t>
      </w:r>
      <w:r>
        <w:t>, pri vykazovaní informácií o udržateľnosti v</w:t>
      </w:r>
      <w:r w:rsidR="005D3A7E">
        <w:t xml:space="preserve"> konsolidovanej výročnej správ</w:t>
      </w:r>
      <w:r>
        <w:t xml:space="preserve">e sú navrhované podmienky </w:t>
      </w:r>
      <w:r w:rsidR="006520C5">
        <w:t xml:space="preserve">viac ako </w:t>
      </w:r>
      <w:r>
        <w:t>1</w:t>
      </w:r>
      <w:r w:rsidR="006520C5">
        <w:t xml:space="preserve"> </w:t>
      </w:r>
      <w:r>
        <w:t>000 zamestnancov</w:t>
      </w:r>
      <w:r w:rsidR="0048564C">
        <w:t xml:space="preserve"> a veľká skupina</w:t>
      </w:r>
      <w:r w:rsidR="002D51B7">
        <w:t xml:space="preserve">, ktoré spĺňa 39 účtovných jednotiek. </w:t>
      </w:r>
      <w:r w:rsidR="007147B1">
        <w:t>Oproti v súčasnosti platnej povinnosti</w:t>
      </w:r>
      <w:r w:rsidR="00DF3CF9">
        <w:t xml:space="preserve"> konsolidovaného vykazovania informácií o udržateľnosti podľa § 20g </w:t>
      </w:r>
      <w:r w:rsidR="0010367E">
        <w:t xml:space="preserve">zákona o účtovníctve </w:t>
      </w:r>
      <w:r w:rsidR="00DF3CF9">
        <w:t xml:space="preserve">na základe údajov z registra účtovných závierok za účtovné obdobie roka 2023 už nebude mať povinnosť materská účtovná jednotka </w:t>
      </w:r>
      <w:r w:rsidR="0048564C">
        <w:t xml:space="preserve">veľkej </w:t>
      </w:r>
      <w:r w:rsidR="00DF3CF9">
        <w:t xml:space="preserve">skupiny, ktorej počet zamestnancov </w:t>
      </w:r>
      <w:r w:rsidR="00640E7F">
        <w:t>presiahol</w:t>
      </w:r>
      <w:r w:rsidR="0048564C">
        <w:t xml:space="preserve"> </w:t>
      </w:r>
      <w:r w:rsidR="00DF3CF9">
        <w:t xml:space="preserve">250 </w:t>
      </w:r>
      <w:r w:rsidR="00640E7F">
        <w:t>a nepresiahol</w:t>
      </w:r>
      <w:r w:rsidR="00DF3CF9">
        <w:t xml:space="preserve"> </w:t>
      </w:r>
      <w:r w:rsidR="006520C5">
        <w:t>1 000</w:t>
      </w:r>
      <w:r w:rsidR="00DF3CF9">
        <w:t xml:space="preserve"> zamestnancov, čo predstavuje</w:t>
      </w:r>
      <w:r w:rsidR="00D3754D">
        <w:t xml:space="preserve"> pokles</w:t>
      </w:r>
      <w:r w:rsidR="00DF3CF9">
        <w:t xml:space="preserve"> </w:t>
      </w:r>
      <w:r w:rsidR="008C06BD">
        <w:t>o</w:t>
      </w:r>
      <w:r w:rsidR="0010367E">
        <w:t> </w:t>
      </w:r>
      <w:r w:rsidR="00DF3CF9">
        <w:t>51</w:t>
      </w:r>
      <w:r w:rsidR="0010367E">
        <w:t xml:space="preserve"> materských účtovných jednotiek</w:t>
      </w:r>
      <w:r w:rsidR="00D3754D">
        <w:t>.</w:t>
      </w:r>
    </w:p>
    <w:p w14:paraId="2156BB11" w14:textId="77777777" w:rsidR="00BD3C31" w:rsidRDefault="00BD3C31" w:rsidP="00BD3C31">
      <w:pPr>
        <w:spacing w:after="0" w:line="240" w:lineRule="auto"/>
        <w:ind w:left="77" w:right="0" w:firstLine="0"/>
      </w:pPr>
      <w:r>
        <w:t>Z návrhu smernice tiež vyplýva zánik povinnosti uloženia správy o udržateľnosti pre kótované malé a stredné podniky, ktorým by táto povinnosť v súčasnosti vyplývala od roku 2028.</w:t>
      </w:r>
    </w:p>
    <w:p w14:paraId="17534FC6" w14:textId="77777777" w:rsidR="00891C43" w:rsidRDefault="002D51B7" w:rsidP="00D56FCA">
      <w:pPr>
        <w:spacing w:after="0" w:line="240" w:lineRule="auto"/>
        <w:ind w:left="77" w:right="0" w:firstLine="0"/>
      </w:pPr>
      <w:r>
        <w:t>Pre nepovinné vykazovanie súvisiace s taxonómiou pre určité podniky sa navrhuj</w:t>
      </w:r>
      <w:r w:rsidR="0010367E">
        <w:t>ú</w:t>
      </w:r>
      <w:r>
        <w:t xml:space="preserve"> podmienk</w:t>
      </w:r>
      <w:r w:rsidR="0010367E">
        <w:t>y</w:t>
      </w:r>
      <w:r>
        <w:t xml:space="preserve"> </w:t>
      </w:r>
      <w:r w:rsidR="0010367E">
        <w:t xml:space="preserve">viac ako 1000 zamestnancov a </w:t>
      </w:r>
      <w:r>
        <w:t>neprekroč</w:t>
      </w:r>
      <w:r w:rsidR="0010367E">
        <w:t>enie</w:t>
      </w:r>
      <w:r>
        <w:t xml:space="preserve"> čist</w:t>
      </w:r>
      <w:r w:rsidR="0010367E">
        <w:t>ého</w:t>
      </w:r>
      <w:r>
        <w:t xml:space="preserve"> obrat</w:t>
      </w:r>
      <w:r w:rsidR="0010367E">
        <w:t xml:space="preserve">u </w:t>
      </w:r>
      <w:r>
        <w:t>450 </w:t>
      </w:r>
      <w:r w:rsidR="0010367E">
        <w:t>mil.</w:t>
      </w:r>
      <w:r>
        <w:t xml:space="preserve"> eur</w:t>
      </w:r>
      <w:r w:rsidR="0010367E">
        <w:t xml:space="preserve"> počas účtovného roka. </w:t>
      </w:r>
      <w:r>
        <w:t>Z 39 účtovných jednotiek, ktoré podľa údajov z roka 2023 zostavili konsolidovanú účtovnú závierku a mali viac ako 1000 zamestnancov a ich čistý obrat neprekročil 450 mil. eur je 20 účtovných jednotiek. Tieto účtovné jednotky</w:t>
      </w:r>
      <w:r w:rsidR="007C6378">
        <w:t xml:space="preserve">, ktoré by posúdili, že </w:t>
      </w:r>
      <w:r w:rsidR="00563F04">
        <w:t xml:space="preserve">ich hospodárske činnosti </w:t>
      </w:r>
      <w:r>
        <w:t>by</w:t>
      </w:r>
      <w:r w:rsidR="00563F04">
        <w:t xml:space="preserve"> súviseli s hospodárskymi činnosťami, ktoré sa podľa nariadenia </w:t>
      </w:r>
      <w:r w:rsidR="007C6378" w:rsidRPr="00C66B18">
        <w:rPr>
          <w:noProof/>
        </w:rPr>
        <w:t xml:space="preserve">(EÚ) 2020/852 </w:t>
      </w:r>
      <w:r w:rsidR="00563F04">
        <w:t>považujú za environmentálne udržateľné činnosti, by mohli eliminovať svoje náklady na dodržiavanie pravidiel vykazovania v rámci taxonómie pre veľké podniky.</w:t>
      </w:r>
      <w:r w:rsidR="000D3319">
        <w:t xml:space="preserve"> Keďže návrh smernice  v tejto veci predpokladá </w:t>
      </w:r>
      <w:r w:rsidR="007C6378">
        <w:t>posúdenie</w:t>
      </w:r>
      <w:r w:rsidR="000D3319">
        <w:t xml:space="preserve"> účtovnou jednotkou, </w:t>
      </w:r>
      <w:r w:rsidR="008C06BD">
        <w:t xml:space="preserve"> </w:t>
      </w:r>
      <w:r w:rsidR="0048564C">
        <w:t>nie je možné presne stanovi</w:t>
      </w:r>
      <w:r w:rsidR="008C06BD">
        <w:t>ť koľkých účtovných jednotiek sa to bude týkať.</w:t>
      </w:r>
      <w:r w:rsidR="00563F04">
        <w:t xml:space="preserve"> </w:t>
      </w:r>
      <w:r>
        <w:t xml:space="preserve"> </w:t>
      </w:r>
    </w:p>
    <w:p w14:paraId="7228152D" w14:textId="77777777" w:rsidR="00CD406F" w:rsidRDefault="00891C43" w:rsidP="00D56FCA">
      <w:pPr>
        <w:spacing w:after="0" w:line="240" w:lineRule="auto"/>
        <w:ind w:left="77" w:right="0" w:firstLine="0"/>
      </w:pPr>
      <w:r>
        <w:t>Obdobne nevieme kvantifikovať vplyv na podnikateľské prostredie k</w:t>
      </w:r>
      <w:r w:rsidR="0048564C">
        <w:t xml:space="preserve"> časti</w:t>
      </w:r>
      <w:r>
        <w:t xml:space="preserve"> návrhu </w:t>
      </w:r>
      <w:r w:rsidR="00D56FCA">
        <w:t>smernic</w:t>
      </w:r>
      <w:r>
        <w:t>e, ktorá</w:t>
      </w:r>
      <w:r w:rsidR="00D56FCA">
        <w:t xml:space="preserve"> vyžaduje, aby podniky vykazovali informácie o hodnotovom reťazci</w:t>
      </w:r>
      <w:r>
        <w:t xml:space="preserve"> </w:t>
      </w:r>
      <w:r w:rsidR="00D56FCA">
        <w:t>v rozsahu potrebnom na pochopenie ich vplyvov, rizík a príležitostí súvisiacich</w:t>
      </w:r>
      <w:r>
        <w:t xml:space="preserve"> </w:t>
      </w:r>
      <w:r w:rsidR="00D56FCA">
        <w:t>s udržateľnosťou. V</w:t>
      </w:r>
      <w:r w:rsidR="0048564C">
        <w:t xml:space="preserve"> návrhu </w:t>
      </w:r>
      <w:r w:rsidR="00D56FCA">
        <w:t>smernic</w:t>
      </w:r>
      <w:r w:rsidR="0048564C">
        <w:t>e</w:t>
      </w:r>
      <w:r w:rsidR="00D56FCA">
        <w:t xml:space="preserve">  sa stanovuje tzv. horné ohraničenie hodnotového</w:t>
      </w:r>
      <w:r>
        <w:t xml:space="preserve"> </w:t>
      </w:r>
      <w:r w:rsidR="00D56FCA">
        <w:t xml:space="preserve">reťazca, v ktorom sa uvádza, že štandardy </w:t>
      </w:r>
      <w:r>
        <w:t>vykazovania informácií o udržateľnosti</w:t>
      </w:r>
      <w:r w:rsidR="00D56FCA">
        <w:t xml:space="preserve"> nesmú obsahovať požiadavky na</w:t>
      </w:r>
      <w:r>
        <w:t xml:space="preserve"> </w:t>
      </w:r>
      <w:r w:rsidR="00D56FCA">
        <w:t xml:space="preserve">vykazovanie, ktoré by od podnikov vyžadovali, aby od </w:t>
      </w:r>
      <w:r>
        <w:t>malých a stredných podnikov („MSP“)</w:t>
      </w:r>
      <w:r w:rsidR="00D56FCA">
        <w:t xml:space="preserve"> v ich hodnotovom reťazci</w:t>
      </w:r>
      <w:r>
        <w:t xml:space="preserve"> </w:t>
      </w:r>
      <w:r w:rsidR="00D56FCA">
        <w:t>získavali informácie nad rámec informácií, ktoré sa majú zverejniť na základe príslušného</w:t>
      </w:r>
      <w:r>
        <w:t xml:space="preserve"> </w:t>
      </w:r>
      <w:r w:rsidR="00D56FCA">
        <w:t>štandardu pre kótované MSP.</w:t>
      </w:r>
      <w:r>
        <w:t xml:space="preserve"> </w:t>
      </w:r>
      <w:r w:rsidR="00D56FCA">
        <w:t xml:space="preserve">Cieľom tohto návrhu je znížiť záťaž spojenú </w:t>
      </w:r>
      <w:r w:rsidR="004B787C">
        <w:br/>
      </w:r>
      <w:r w:rsidR="00D56FCA">
        <w:t>s vykazovaním a obmedziť účinok prenosu</w:t>
      </w:r>
      <w:r>
        <w:t xml:space="preserve"> </w:t>
      </w:r>
      <w:r w:rsidR="00D56FCA">
        <w:t>zaťaženia na menšie spoločnosti.</w:t>
      </w:r>
    </w:p>
    <w:p w14:paraId="06C14CAC" w14:textId="77777777" w:rsidR="0012221E" w:rsidRDefault="0012221E" w:rsidP="005D3A7E">
      <w:pPr>
        <w:spacing w:after="0" w:line="240" w:lineRule="auto"/>
        <w:ind w:left="77" w:right="0" w:firstLine="0"/>
      </w:pPr>
    </w:p>
    <w:p w14:paraId="40A7168F" w14:textId="77777777" w:rsidR="00053775" w:rsidRDefault="00053775" w:rsidP="00053775">
      <w:pPr>
        <w:pStyle w:val="Normlnywebov"/>
        <w:spacing w:before="0" w:beforeAutospacing="0" w:after="0" w:afterAutospacing="0"/>
        <w:ind w:left="77"/>
        <w:jc w:val="both"/>
        <w:rPr>
          <w:b/>
          <w:bCs/>
          <w:u w:val="single"/>
        </w:rPr>
      </w:pPr>
      <w:r>
        <w:rPr>
          <w:b/>
          <w:bCs/>
          <w:u w:val="single"/>
        </w:rPr>
        <w:t>Stanovisko Stálej pracovnej komisie Legislatívnej rady vlády Slovenskej republiky na posudzovanie vybraných vplyvov (ďalej len „Komisia“)</w:t>
      </w:r>
    </w:p>
    <w:p w14:paraId="65194F01" w14:textId="77777777" w:rsidR="00053775" w:rsidRDefault="00053775" w:rsidP="00053775">
      <w:pPr>
        <w:pStyle w:val="Normlnywebov"/>
        <w:spacing w:before="0" w:beforeAutospacing="0" w:after="0" w:afterAutospacing="0"/>
        <w:ind w:left="77"/>
        <w:jc w:val="both"/>
        <w:rPr>
          <w:b/>
          <w:bCs/>
          <w:u w:val="single"/>
        </w:rPr>
      </w:pPr>
    </w:p>
    <w:p w14:paraId="16F8B827" w14:textId="77777777" w:rsidR="00053775" w:rsidRDefault="00053775" w:rsidP="00053775">
      <w:pPr>
        <w:pStyle w:val="Normlnywebov"/>
        <w:spacing w:before="0" w:beforeAutospacing="0" w:after="0" w:afterAutospacing="0"/>
        <w:ind w:left="77"/>
        <w:jc w:val="both"/>
        <w:rPr>
          <w:rStyle w:val="norm00e1lnychar1"/>
          <w:rFonts w:ascii="Arial" w:hAnsi="Arial" w:cs="Arial"/>
          <w:sz w:val="24"/>
        </w:rPr>
      </w:pPr>
      <w:r>
        <w:rPr>
          <w:bCs/>
        </w:rPr>
        <w:t>Návrh predbežného stanoviska bol 30. apríla 2025 predložený na predbežné pripomienkové konanie, pričom Komisia v</w:t>
      </w:r>
      <w:r w:rsidR="00EA2A16">
        <w:rPr>
          <w:bCs/>
        </w:rPr>
        <w:t> závere s</w:t>
      </w:r>
      <w:r>
        <w:rPr>
          <w:bCs/>
        </w:rPr>
        <w:t>voj</w:t>
      </w:r>
      <w:r w:rsidR="00EA2A16">
        <w:rPr>
          <w:bCs/>
        </w:rPr>
        <w:t>ho</w:t>
      </w:r>
      <w:r>
        <w:rPr>
          <w:bCs/>
        </w:rPr>
        <w:t xml:space="preserve"> stanovisk</w:t>
      </w:r>
      <w:r w:rsidR="00EA2A16">
        <w:rPr>
          <w:bCs/>
        </w:rPr>
        <w:t>a</w:t>
      </w:r>
      <w:r>
        <w:rPr>
          <w:bCs/>
        </w:rPr>
        <w:t xml:space="preserve"> č. 058/2025 z 13.5.2025 vyjadrila súhlasné stanovisko</w:t>
      </w:r>
      <w:r w:rsidR="007A0137">
        <w:rPr>
          <w:bCs/>
        </w:rPr>
        <w:t xml:space="preserve"> s predloženým materiálom</w:t>
      </w:r>
      <w:r>
        <w:rPr>
          <w:bCs/>
        </w:rPr>
        <w:t xml:space="preserve">. </w:t>
      </w:r>
    </w:p>
    <w:p w14:paraId="5EBD5B07" w14:textId="77777777" w:rsidR="004B787C" w:rsidRDefault="004B787C" w:rsidP="005D3A7E">
      <w:pPr>
        <w:spacing w:after="0" w:line="240" w:lineRule="auto"/>
        <w:ind w:left="77" w:right="0" w:firstLine="0"/>
      </w:pPr>
    </w:p>
    <w:sectPr w:rsidR="004B787C">
      <w:footerReference w:type="even" r:id="rId8"/>
      <w:footerReference w:type="default" r:id="rId9"/>
      <w:footerReference w:type="first" r:id="rId10"/>
      <w:footnotePr>
        <w:numRestart w:val="eachPage"/>
      </w:footnotePr>
      <w:pgSz w:w="11906" w:h="16838"/>
      <w:pgMar w:top="1425" w:right="1412" w:bottom="1417" w:left="1340"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054F4" w14:textId="77777777" w:rsidR="004349A5" w:rsidRDefault="004349A5">
      <w:pPr>
        <w:spacing w:after="0" w:line="240" w:lineRule="auto"/>
      </w:pPr>
      <w:r>
        <w:separator/>
      </w:r>
    </w:p>
  </w:endnote>
  <w:endnote w:type="continuationSeparator" w:id="0">
    <w:p w14:paraId="4F949FCD" w14:textId="77777777" w:rsidR="004349A5" w:rsidRDefault="0043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69C7" w14:textId="77777777" w:rsidR="002E2B94" w:rsidRDefault="002E2B94">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056EA42E" w14:textId="77777777" w:rsidR="002E2B94" w:rsidRDefault="002E2B94">
    <w:pPr>
      <w:spacing w:after="0" w:line="259" w:lineRule="auto"/>
      <w:ind w:left="77"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AC2C" w14:textId="77777777" w:rsidR="002E2B94" w:rsidRDefault="002E2B94">
    <w:pPr>
      <w:spacing w:after="0" w:line="259" w:lineRule="auto"/>
      <w:ind w:left="0" w:firstLine="0"/>
      <w:jc w:val="right"/>
    </w:pPr>
    <w:r>
      <w:fldChar w:fldCharType="begin"/>
    </w:r>
    <w:r>
      <w:instrText xml:space="preserve"> PAGE   \* MERGEFORMAT </w:instrText>
    </w:r>
    <w:r>
      <w:fldChar w:fldCharType="separate"/>
    </w:r>
    <w:r w:rsidR="00E91377">
      <w:rPr>
        <w:noProof/>
      </w:rPr>
      <w:t>8</w:t>
    </w:r>
    <w:r>
      <w:fldChar w:fldCharType="end"/>
    </w:r>
    <w:r>
      <w:t xml:space="preserve"> </w:t>
    </w:r>
  </w:p>
  <w:p w14:paraId="40E3E79B" w14:textId="77777777" w:rsidR="002E2B94" w:rsidRDefault="002E2B94">
    <w:pPr>
      <w:spacing w:after="0" w:line="259" w:lineRule="auto"/>
      <w:ind w:left="77"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F5CD" w14:textId="77777777" w:rsidR="002E2B94" w:rsidRDefault="002E2B94">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22D2A60C" w14:textId="77777777" w:rsidR="002E2B94" w:rsidRDefault="002E2B94">
    <w:pPr>
      <w:spacing w:after="0" w:line="259" w:lineRule="auto"/>
      <w:ind w:left="77"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4C2EB" w14:textId="77777777" w:rsidR="004349A5" w:rsidRDefault="004349A5">
      <w:pPr>
        <w:spacing w:after="0" w:line="286" w:lineRule="auto"/>
        <w:ind w:left="77" w:right="0" w:firstLine="0"/>
      </w:pPr>
      <w:r>
        <w:separator/>
      </w:r>
    </w:p>
  </w:footnote>
  <w:footnote w:type="continuationSeparator" w:id="0">
    <w:p w14:paraId="4CB16668" w14:textId="77777777" w:rsidR="004349A5" w:rsidRDefault="004349A5">
      <w:pPr>
        <w:spacing w:after="0" w:line="286" w:lineRule="auto"/>
        <w:ind w:left="77" w:right="0" w:firstLine="0"/>
      </w:pPr>
      <w:r>
        <w:continuationSeparator/>
      </w:r>
    </w:p>
  </w:footnote>
  <w:footnote w:id="1">
    <w:p w14:paraId="2947EB4A" w14:textId="77777777" w:rsidR="002E2B94" w:rsidRPr="00DB0D30" w:rsidRDefault="002E2B94" w:rsidP="001432F0">
      <w:pPr>
        <w:pStyle w:val="Textpoznmkypodiarou"/>
        <w:rPr>
          <w:spacing w:val="-8"/>
        </w:rPr>
      </w:pPr>
      <w:r w:rsidRPr="006075FA">
        <w:rPr>
          <w:rStyle w:val="Odkaznapoznmkupodiarou"/>
        </w:rPr>
        <w:footnoteRef/>
      </w:r>
      <w:r w:rsidRPr="00EF371C">
        <w:rPr>
          <w:spacing w:val="-4"/>
        </w:rPr>
        <w:tab/>
      </w:r>
      <w:r w:rsidRPr="00DB0D30">
        <w:rPr>
          <w:spacing w:val="-8"/>
        </w:rPr>
        <w:t xml:space="preserve">Oznámenie Komisie Európskemu parlamentu, Európskej rade, Rade, Európskemu hospodárskemu a sociálnemu výboru a Výboru regiónov z 11. decembra 2019 „Európska zelená dohoda“ [COM(2019) 640 </w:t>
      </w:r>
      <w:proofErr w:type="spellStart"/>
      <w:r w:rsidRPr="00DB0D30">
        <w:rPr>
          <w:spacing w:val="-8"/>
        </w:rPr>
        <w:t>final</w:t>
      </w:r>
      <w:proofErr w:type="spellEnd"/>
      <w:r w:rsidRPr="00DB0D30">
        <w:rPr>
          <w:spacing w:val="-8"/>
        </w:rPr>
        <w:t>].</w:t>
      </w:r>
    </w:p>
  </w:footnote>
  <w:footnote w:id="2">
    <w:p w14:paraId="471A4382" w14:textId="77777777" w:rsidR="002E2B94" w:rsidRPr="00EF371C" w:rsidRDefault="002E2B94" w:rsidP="001432F0">
      <w:pPr>
        <w:pStyle w:val="Textpoznmkypodiarou"/>
        <w:rPr>
          <w:spacing w:val="-4"/>
        </w:rPr>
      </w:pPr>
      <w:r w:rsidRPr="006075FA">
        <w:rPr>
          <w:rStyle w:val="Odkaznapoznmkupodiarou"/>
        </w:rPr>
        <w:footnoteRef/>
      </w:r>
      <w:r w:rsidRPr="00EF371C">
        <w:rPr>
          <w:spacing w:val="-4"/>
        </w:rPr>
        <w:tab/>
        <w:t>Oznámenie Komisie Európskemu parlamentu, Európskej rade, Rade, Európskej centrálnej banke, Európskemu hospodárskemu a sociálnemu výboru a Výboru regiónov z 8. marca 2018 „</w:t>
      </w:r>
      <w:r w:rsidRPr="00EF371C">
        <w:rPr>
          <w:i/>
          <w:spacing w:val="-4"/>
        </w:rPr>
        <w:t>Akčný plán: Financovanie udržateľného rastu</w:t>
      </w:r>
      <w:r w:rsidRPr="00EF371C">
        <w:rPr>
          <w:spacing w:val="-4"/>
        </w:rPr>
        <w:t xml:space="preserve">“ [COM(2018) 097 </w:t>
      </w:r>
      <w:proofErr w:type="spellStart"/>
      <w:r w:rsidRPr="00EF371C">
        <w:rPr>
          <w:spacing w:val="-4"/>
        </w:rPr>
        <w:t>final</w:t>
      </w:r>
      <w:proofErr w:type="spellEnd"/>
      <w:r w:rsidRPr="00EF371C">
        <w:rPr>
          <w:spacing w:val="-4"/>
        </w:rPr>
        <w:t>].</w:t>
      </w:r>
    </w:p>
  </w:footnote>
  <w:footnote w:id="3">
    <w:p w14:paraId="559CB2F5" w14:textId="77777777" w:rsidR="001F2088" w:rsidRDefault="001F2088" w:rsidP="001F2088">
      <w:pPr>
        <w:pStyle w:val="Textpoznmkypodiarou"/>
        <w:ind w:left="57" w:right="57" w:firstLine="0"/>
      </w:pPr>
      <w:r>
        <w:rPr>
          <w:rStyle w:val="Odkaznapoznmkupodiarou"/>
        </w:rPr>
        <w:footnoteRef/>
      </w:r>
      <w:r>
        <w:t xml:space="preserve"> Štandard VSME je </w:t>
      </w:r>
      <w:r w:rsidRPr="00C66B18">
        <w:rPr>
          <w:rStyle w:val="normaltextrun"/>
          <w:noProof/>
          <w:shd w:val="clear" w:color="auto" w:fill="FFFFFF"/>
        </w:rPr>
        <w:t>štandard vykazovania informácií o udržateľnosti, ktorý m</w:t>
      </w:r>
      <w:r>
        <w:rPr>
          <w:rStyle w:val="normaltextrun"/>
          <w:noProof/>
          <w:shd w:val="clear" w:color="auto" w:fill="FFFFFF"/>
        </w:rPr>
        <w:t xml:space="preserve">ôžu dobrovoľne používať MSP, na </w:t>
      </w:r>
      <w:r w:rsidRPr="00C66B18">
        <w:rPr>
          <w:rStyle w:val="normaltextrun"/>
          <w:noProof/>
          <w:shd w:val="clear" w:color="auto" w:fill="FFFFFF"/>
        </w:rPr>
        <w:t>ktoré sa nevzťahujú požiadavk</w:t>
      </w:r>
      <w:r>
        <w:rPr>
          <w:rStyle w:val="normaltextrun"/>
          <w:noProof/>
          <w:shd w:val="clear" w:color="auto" w:fill="FFFFFF"/>
        </w:rPr>
        <w:t>y na vykazovanie</w:t>
      </w:r>
      <w:r w:rsidRPr="00C66B18">
        <w:rPr>
          <w:noProof/>
        </w:rPr>
        <w:t>.</w:t>
      </w:r>
      <w:r w:rsidRPr="00C66B18">
        <w:rPr>
          <w:rStyle w:val="normaltextrun"/>
          <w:noProof/>
          <w:shd w:val="clear" w:color="auto" w:fill="FFFFFF"/>
        </w:rPr>
        <w:t xml:space="preserve"> Cieľom tohto štandardu VSME je poskytnúť MSP jednoduchý, všeobecne uznávaný nástroj, prostredníctvom ktorého môžu poskytovať informácie o udržateľnosti bankám, veľkým spoločnostiam a iným zainteresovaným stranám, ktoré môžu takéto informácie požadovať</w:t>
      </w:r>
      <w:r>
        <w:rPr>
          <w:rStyle w:val="normaltextrun"/>
          <w:noProof/>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836A0"/>
    <w:multiLevelType w:val="hybridMultilevel"/>
    <w:tmpl w:val="A9DE2DBA"/>
    <w:lvl w:ilvl="0" w:tplc="041B0001">
      <w:start w:val="1"/>
      <w:numFmt w:val="bullet"/>
      <w:lvlText w:val=""/>
      <w:lvlJc w:val="left"/>
      <w:pPr>
        <w:ind w:left="717" w:hanging="360"/>
      </w:pPr>
      <w:rPr>
        <w:rFonts w:ascii="Symbol" w:hAnsi="Symbol"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2" w15:restartNumberingAfterBreak="0">
    <w:nsid w:val="018C7E3B"/>
    <w:multiLevelType w:val="hybridMultilevel"/>
    <w:tmpl w:val="033A08C8"/>
    <w:lvl w:ilvl="0" w:tplc="38326902">
      <w:start w:val="7"/>
      <w:numFmt w:val="lowerLetter"/>
      <w:lvlText w:val="%1)"/>
      <w:lvlJc w:val="left"/>
      <w:pPr>
        <w:ind w:left="1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DABA90">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E82DE4">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F6B076">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5E096C">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9C1982">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A8D6C0">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2E7114">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78F8F6">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3770CC"/>
    <w:multiLevelType w:val="hybridMultilevel"/>
    <w:tmpl w:val="10BA1BD4"/>
    <w:lvl w:ilvl="0" w:tplc="0486F46E">
      <w:start w:val="1"/>
      <w:numFmt w:val="decimal"/>
      <w:lvlText w:val="(%1)"/>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5C1188">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CCCC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4806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8CC4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8EF78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FE8B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205A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4C66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012FE7"/>
    <w:multiLevelType w:val="hybridMultilevel"/>
    <w:tmpl w:val="013A6720"/>
    <w:lvl w:ilvl="0" w:tplc="B6929C98">
      <w:start w:val="1"/>
      <w:numFmt w:val="lowerLetter"/>
      <w:lvlText w:val="%1)"/>
      <w:lvlJc w:val="left"/>
      <w:pPr>
        <w:ind w:left="1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B8A9C8">
      <w:start w:val="1"/>
      <w:numFmt w:val="lowerLetter"/>
      <w:lvlText w:val="%2"/>
      <w:lvlJc w:val="left"/>
      <w:pPr>
        <w:ind w:left="16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26A012">
      <w:start w:val="1"/>
      <w:numFmt w:val="lowerRoman"/>
      <w:lvlText w:val="%3"/>
      <w:lvlJc w:val="left"/>
      <w:pPr>
        <w:ind w:left="23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AE2858">
      <w:start w:val="1"/>
      <w:numFmt w:val="decimal"/>
      <w:lvlText w:val="%4"/>
      <w:lvlJc w:val="left"/>
      <w:pPr>
        <w:ind w:left="3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FA00D0">
      <w:start w:val="1"/>
      <w:numFmt w:val="lowerLetter"/>
      <w:lvlText w:val="%5"/>
      <w:lvlJc w:val="left"/>
      <w:pPr>
        <w:ind w:left="3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8A9A4C">
      <w:start w:val="1"/>
      <w:numFmt w:val="lowerRoman"/>
      <w:lvlText w:val="%6"/>
      <w:lvlJc w:val="left"/>
      <w:pPr>
        <w:ind w:left="4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6E547E">
      <w:start w:val="1"/>
      <w:numFmt w:val="decimal"/>
      <w:lvlText w:val="%7"/>
      <w:lvlJc w:val="left"/>
      <w:pPr>
        <w:ind w:left="5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ACBB26">
      <w:start w:val="1"/>
      <w:numFmt w:val="lowerLetter"/>
      <w:lvlText w:val="%8"/>
      <w:lvlJc w:val="left"/>
      <w:pPr>
        <w:ind w:left="5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EE170A">
      <w:start w:val="1"/>
      <w:numFmt w:val="lowerRoman"/>
      <w:lvlText w:val="%9"/>
      <w:lvlJc w:val="left"/>
      <w:pPr>
        <w:ind w:left="6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EB4056"/>
    <w:multiLevelType w:val="hybridMultilevel"/>
    <w:tmpl w:val="B0B480C8"/>
    <w:lvl w:ilvl="0" w:tplc="1CCE6C7A">
      <w:start w:val="1"/>
      <w:numFmt w:val="decimal"/>
      <w:lvlText w:val="(%1)"/>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C05C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C69F2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363B6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CC172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8A569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D4321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4415B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22EF8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EE5CC6"/>
    <w:multiLevelType w:val="hybridMultilevel"/>
    <w:tmpl w:val="1BE8075E"/>
    <w:lvl w:ilvl="0" w:tplc="5DF2A0EC">
      <w:start w:val="18"/>
      <w:numFmt w:val="bullet"/>
      <w:lvlText w:val="-"/>
      <w:lvlJc w:val="left"/>
      <w:pPr>
        <w:ind w:left="720" w:hanging="360"/>
      </w:pPr>
      <w:rPr>
        <w:rFonts w:ascii="Calibri" w:eastAsia="Calibri" w:hAnsi="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614275A"/>
    <w:multiLevelType w:val="hybridMultilevel"/>
    <w:tmpl w:val="4F9440CA"/>
    <w:lvl w:ilvl="0" w:tplc="D0F85E8E">
      <w:start w:val="1"/>
      <w:numFmt w:val="decimal"/>
      <w:lvlText w:val="%1."/>
      <w:lvlJc w:val="left"/>
      <w:pPr>
        <w:ind w:left="5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F80EDA">
      <w:start w:val="1"/>
      <w:numFmt w:val="lowerLetter"/>
      <w:lvlText w:val="%2"/>
      <w:lvlJc w:val="left"/>
      <w:pPr>
        <w:ind w:left="1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62B76A">
      <w:start w:val="1"/>
      <w:numFmt w:val="lowerRoman"/>
      <w:lvlText w:val="%3"/>
      <w:lvlJc w:val="left"/>
      <w:pPr>
        <w:ind w:left="19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1B6FD8E">
      <w:start w:val="1"/>
      <w:numFmt w:val="decimal"/>
      <w:lvlText w:val="%4"/>
      <w:lvlJc w:val="left"/>
      <w:pPr>
        <w:ind w:left="2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8F02F4E">
      <w:start w:val="1"/>
      <w:numFmt w:val="lowerLetter"/>
      <w:lvlText w:val="%5"/>
      <w:lvlJc w:val="left"/>
      <w:pPr>
        <w:ind w:left="33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7643274">
      <w:start w:val="1"/>
      <w:numFmt w:val="lowerRoman"/>
      <w:lvlText w:val="%6"/>
      <w:lvlJc w:val="left"/>
      <w:pPr>
        <w:ind w:left="41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0AC199A">
      <w:start w:val="1"/>
      <w:numFmt w:val="decimal"/>
      <w:lvlText w:val="%7"/>
      <w:lvlJc w:val="left"/>
      <w:pPr>
        <w:ind w:left="48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68E300">
      <w:start w:val="1"/>
      <w:numFmt w:val="lowerLetter"/>
      <w:lvlText w:val="%8"/>
      <w:lvlJc w:val="left"/>
      <w:pPr>
        <w:ind w:left="55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D0EF2C">
      <w:start w:val="1"/>
      <w:numFmt w:val="lowerRoman"/>
      <w:lvlText w:val="%9"/>
      <w:lvlJc w:val="left"/>
      <w:pPr>
        <w:ind w:left="6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B9625C"/>
    <w:multiLevelType w:val="hybridMultilevel"/>
    <w:tmpl w:val="51C20462"/>
    <w:lvl w:ilvl="0" w:tplc="7B10B436">
      <w:start w:val="1"/>
      <w:numFmt w:val="decimal"/>
      <w:lvlText w:val="%1."/>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A011E">
      <w:start w:val="1"/>
      <w:numFmt w:val="lowerLetter"/>
      <w:lvlText w:val="%2"/>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FAD6F6">
      <w:start w:val="1"/>
      <w:numFmt w:val="lowerRoman"/>
      <w:lvlText w:val="%3"/>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34502A">
      <w:start w:val="1"/>
      <w:numFmt w:val="decimal"/>
      <w:lvlText w:val="%4"/>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92CEFE">
      <w:start w:val="1"/>
      <w:numFmt w:val="lowerLetter"/>
      <w:lvlText w:val="%5"/>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582D5E">
      <w:start w:val="1"/>
      <w:numFmt w:val="lowerRoman"/>
      <w:lvlText w:val="%6"/>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F67B96">
      <w:start w:val="1"/>
      <w:numFmt w:val="decimal"/>
      <w:lvlText w:val="%7"/>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AFD68">
      <w:start w:val="1"/>
      <w:numFmt w:val="lowerLetter"/>
      <w:lvlText w:val="%8"/>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AA9580">
      <w:start w:val="1"/>
      <w:numFmt w:val="lowerRoman"/>
      <w:lvlText w:val="%9"/>
      <w:lvlJc w:val="left"/>
      <w:pPr>
        <w:ind w:left="6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A44547E"/>
    <w:multiLevelType w:val="hybridMultilevel"/>
    <w:tmpl w:val="791CC930"/>
    <w:lvl w:ilvl="0" w:tplc="C2244FC8">
      <w:start w:val="1"/>
      <w:numFmt w:val="decimal"/>
      <w:lvlText w:val="(%1)"/>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6ED5A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7092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CA325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8AE2B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A28C6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F4BAF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5661F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C8EF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18357C8"/>
    <w:multiLevelType w:val="hybridMultilevel"/>
    <w:tmpl w:val="C6842A14"/>
    <w:lvl w:ilvl="0" w:tplc="BC9A0964">
      <w:start w:val="1"/>
      <w:numFmt w:val="lowerLetter"/>
      <w:lvlText w:val="%1)"/>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9AA26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98B69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965CA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2AABF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948B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6074F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46BE4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7077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6CA41C0"/>
    <w:multiLevelType w:val="hybridMultilevel"/>
    <w:tmpl w:val="54E2D626"/>
    <w:lvl w:ilvl="0" w:tplc="12D4BE52">
      <w:start w:val="1"/>
      <w:numFmt w:val="decimal"/>
      <w:lvlText w:val="(%1)"/>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2E74D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DC928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1EF9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4871A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0634E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C0CAC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F8303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6006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8561877"/>
    <w:multiLevelType w:val="hybridMultilevel"/>
    <w:tmpl w:val="7AEE689C"/>
    <w:lvl w:ilvl="0" w:tplc="9E047906">
      <w:start w:val="1"/>
      <w:numFmt w:val="decimal"/>
      <w:lvlText w:val="(%1)"/>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ACCD7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F0178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F6A0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6A9DD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A2B88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B8F53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18F5F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4AF8A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C515DA5"/>
    <w:multiLevelType w:val="hybridMultilevel"/>
    <w:tmpl w:val="7FFEBB9E"/>
    <w:lvl w:ilvl="0" w:tplc="305CAEB6">
      <w:start w:val="1"/>
      <w:numFmt w:val="decimal"/>
      <w:lvlText w:val="(%1)"/>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5AAB80">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16E0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18767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504F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90CA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D2F0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665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7A73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622067B"/>
    <w:multiLevelType w:val="hybridMultilevel"/>
    <w:tmpl w:val="BA8AB76A"/>
    <w:lvl w:ilvl="0" w:tplc="01824116">
      <w:start w:val="1"/>
      <w:numFmt w:val="decimal"/>
      <w:lvlText w:val="(%1)"/>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54CA3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261E3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B0CAF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3C747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B6468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64DFD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D2513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42A8F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4407FA2"/>
    <w:multiLevelType w:val="hybridMultilevel"/>
    <w:tmpl w:val="9F20F870"/>
    <w:lvl w:ilvl="0" w:tplc="9392ECD2">
      <w:start w:val="1"/>
      <w:numFmt w:val="decimal"/>
      <w:lvlText w:val="(%1)"/>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B88BD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3AE9A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5A53C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BC9A2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9856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9EE89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A6EE1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EC829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72E3978"/>
    <w:multiLevelType w:val="hybridMultilevel"/>
    <w:tmpl w:val="CD860480"/>
    <w:lvl w:ilvl="0" w:tplc="041B0001">
      <w:start w:val="1"/>
      <w:numFmt w:val="bullet"/>
      <w:lvlText w:val=""/>
      <w:lvlJc w:val="left"/>
      <w:pPr>
        <w:ind w:left="717" w:hanging="360"/>
      </w:pPr>
      <w:rPr>
        <w:rFonts w:ascii="Symbol" w:hAnsi="Symbol" w:hint="default"/>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7" w15:restartNumberingAfterBreak="0">
    <w:nsid w:val="5AE13DA9"/>
    <w:multiLevelType w:val="hybridMultilevel"/>
    <w:tmpl w:val="604C9EF6"/>
    <w:lvl w:ilvl="0" w:tplc="C2C455C0">
      <w:start w:val="1"/>
      <w:numFmt w:val="decimal"/>
      <w:lvlText w:val="%1."/>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36E2D2">
      <w:start w:val="1"/>
      <w:numFmt w:val="lowerLetter"/>
      <w:lvlText w:val="%2"/>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EC08D6">
      <w:start w:val="1"/>
      <w:numFmt w:val="lowerRoman"/>
      <w:lvlText w:val="%3"/>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2E3FCC">
      <w:start w:val="1"/>
      <w:numFmt w:val="decimal"/>
      <w:lvlText w:val="%4"/>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743328">
      <w:start w:val="1"/>
      <w:numFmt w:val="lowerLetter"/>
      <w:lvlText w:val="%5"/>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6C0B8C">
      <w:start w:val="1"/>
      <w:numFmt w:val="lowerRoman"/>
      <w:lvlText w:val="%6"/>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34DD5E">
      <w:start w:val="1"/>
      <w:numFmt w:val="decimal"/>
      <w:lvlText w:val="%7"/>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FCF4AA">
      <w:start w:val="1"/>
      <w:numFmt w:val="lowerLetter"/>
      <w:lvlText w:val="%8"/>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B2660A">
      <w:start w:val="1"/>
      <w:numFmt w:val="lowerRoman"/>
      <w:lvlText w:val="%9"/>
      <w:lvlJc w:val="left"/>
      <w:pPr>
        <w:ind w:left="6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3297823"/>
    <w:multiLevelType w:val="hybridMultilevel"/>
    <w:tmpl w:val="4F9440CA"/>
    <w:lvl w:ilvl="0" w:tplc="D0F85E8E">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4F80ED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62B76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1B6FD8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8F02F4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764327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0AC199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68E30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D0EF2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B3D6179"/>
    <w:multiLevelType w:val="hybridMultilevel"/>
    <w:tmpl w:val="30963A76"/>
    <w:lvl w:ilvl="0" w:tplc="3B30F7BA">
      <w:start w:val="1"/>
      <w:numFmt w:val="decimal"/>
      <w:lvlText w:val="(%1)"/>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04D59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0EC4F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FCB7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56FDC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8EAB7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58B2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6A28C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6DE8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9241F58"/>
    <w:multiLevelType w:val="hybridMultilevel"/>
    <w:tmpl w:val="3C3A0DEC"/>
    <w:lvl w:ilvl="0" w:tplc="70F03E44">
      <w:start w:val="1"/>
      <w:numFmt w:val="decimal"/>
      <w:lvlText w:val="(%1)"/>
      <w:lvlJc w:val="left"/>
      <w:pPr>
        <w:ind w:left="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307CF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60D69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A6422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A8041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445DB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C46A3D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6CFFE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469BC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53214754">
    <w:abstractNumId w:val="4"/>
  </w:num>
  <w:num w:numId="2" w16cid:durableId="2106075871">
    <w:abstractNumId w:val="8"/>
  </w:num>
  <w:num w:numId="3" w16cid:durableId="2078432782">
    <w:abstractNumId w:val="17"/>
  </w:num>
  <w:num w:numId="4" w16cid:durableId="52779273">
    <w:abstractNumId w:val="2"/>
  </w:num>
  <w:num w:numId="5" w16cid:durableId="1377776905">
    <w:abstractNumId w:val="15"/>
  </w:num>
  <w:num w:numId="6" w16cid:durableId="439838270">
    <w:abstractNumId w:val="21"/>
  </w:num>
  <w:num w:numId="7" w16cid:durableId="1622760990">
    <w:abstractNumId w:val="3"/>
  </w:num>
  <w:num w:numId="8" w16cid:durableId="986127670">
    <w:abstractNumId w:val="11"/>
  </w:num>
  <w:num w:numId="9" w16cid:durableId="1094979632">
    <w:abstractNumId w:val="10"/>
  </w:num>
  <w:num w:numId="10" w16cid:durableId="1120883386">
    <w:abstractNumId w:val="13"/>
  </w:num>
  <w:num w:numId="11" w16cid:durableId="1304046500">
    <w:abstractNumId w:val="12"/>
  </w:num>
  <w:num w:numId="12" w16cid:durableId="194778138">
    <w:abstractNumId w:val="20"/>
  </w:num>
  <w:num w:numId="13" w16cid:durableId="564993673">
    <w:abstractNumId w:val="14"/>
  </w:num>
  <w:num w:numId="14" w16cid:durableId="1177228885">
    <w:abstractNumId w:val="9"/>
  </w:num>
  <w:num w:numId="15" w16cid:durableId="1651590571">
    <w:abstractNumId w:val="5"/>
  </w:num>
  <w:num w:numId="16" w16cid:durableId="217059764">
    <w:abstractNumId w:val="19"/>
  </w:num>
  <w:num w:numId="17" w16cid:durableId="1616330509">
    <w:abstractNumId w:val="7"/>
  </w:num>
  <w:num w:numId="18" w16cid:durableId="132645088">
    <w:abstractNumId w:val="6"/>
  </w:num>
  <w:num w:numId="19" w16cid:durableId="314647826">
    <w:abstractNumId w:val="1"/>
  </w:num>
  <w:num w:numId="20" w16cid:durableId="1470903597">
    <w:abstractNumId w:val="18"/>
  </w:num>
  <w:num w:numId="21" w16cid:durableId="272523155">
    <w:abstractNumId w:val="16"/>
  </w:num>
  <w:num w:numId="22" w16cid:durableId="1839494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06F"/>
    <w:rsid w:val="000243F9"/>
    <w:rsid w:val="000435BB"/>
    <w:rsid w:val="00053775"/>
    <w:rsid w:val="00056AB1"/>
    <w:rsid w:val="00057595"/>
    <w:rsid w:val="0006356D"/>
    <w:rsid w:val="00070B68"/>
    <w:rsid w:val="000803DB"/>
    <w:rsid w:val="00087A31"/>
    <w:rsid w:val="000C256C"/>
    <w:rsid w:val="000D3319"/>
    <w:rsid w:val="000D378E"/>
    <w:rsid w:val="000E4F83"/>
    <w:rsid w:val="0010367E"/>
    <w:rsid w:val="0012221E"/>
    <w:rsid w:val="001362E3"/>
    <w:rsid w:val="001432F0"/>
    <w:rsid w:val="001477B1"/>
    <w:rsid w:val="00157292"/>
    <w:rsid w:val="00197086"/>
    <w:rsid w:val="001A3A2E"/>
    <w:rsid w:val="001A5EF2"/>
    <w:rsid w:val="001A635A"/>
    <w:rsid w:val="001A755E"/>
    <w:rsid w:val="001B04FD"/>
    <w:rsid w:val="001B23E0"/>
    <w:rsid w:val="001B2935"/>
    <w:rsid w:val="001D69C0"/>
    <w:rsid w:val="001E3599"/>
    <w:rsid w:val="001F2088"/>
    <w:rsid w:val="00203C20"/>
    <w:rsid w:val="002102F9"/>
    <w:rsid w:val="00217971"/>
    <w:rsid w:val="002239F1"/>
    <w:rsid w:val="0023568B"/>
    <w:rsid w:val="0024514C"/>
    <w:rsid w:val="00267002"/>
    <w:rsid w:val="002723E2"/>
    <w:rsid w:val="002B5A01"/>
    <w:rsid w:val="002D1233"/>
    <w:rsid w:val="002D49A9"/>
    <w:rsid w:val="002D51B7"/>
    <w:rsid w:val="002D688D"/>
    <w:rsid w:val="002D75F4"/>
    <w:rsid w:val="002E0149"/>
    <w:rsid w:val="002E0F89"/>
    <w:rsid w:val="002E2B94"/>
    <w:rsid w:val="002E7115"/>
    <w:rsid w:val="003018E0"/>
    <w:rsid w:val="003133ED"/>
    <w:rsid w:val="0034307D"/>
    <w:rsid w:val="00362B93"/>
    <w:rsid w:val="00370C55"/>
    <w:rsid w:val="00383FE8"/>
    <w:rsid w:val="003A6B32"/>
    <w:rsid w:val="003C5185"/>
    <w:rsid w:val="003D26B6"/>
    <w:rsid w:val="003F2C07"/>
    <w:rsid w:val="003F7698"/>
    <w:rsid w:val="003F7CDC"/>
    <w:rsid w:val="00410822"/>
    <w:rsid w:val="004349A5"/>
    <w:rsid w:val="00436FDE"/>
    <w:rsid w:val="00452F30"/>
    <w:rsid w:val="004549B9"/>
    <w:rsid w:val="00482E39"/>
    <w:rsid w:val="004832A9"/>
    <w:rsid w:val="00483B79"/>
    <w:rsid w:val="0048564C"/>
    <w:rsid w:val="004B77D6"/>
    <w:rsid w:val="004B787C"/>
    <w:rsid w:val="004D529C"/>
    <w:rsid w:val="004D57BA"/>
    <w:rsid w:val="004F7DBD"/>
    <w:rsid w:val="00506C8F"/>
    <w:rsid w:val="00520DA1"/>
    <w:rsid w:val="0056245C"/>
    <w:rsid w:val="00563F04"/>
    <w:rsid w:val="005844B4"/>
    <w:rsid w:val="0059242C"/>
    <w:rsid w:val="005A4842"/>
    <w:rsid w:val="005D3A7E"/>
    <w:rsid w:val="005D4034"/>
    <w:rsid w:val="005F4967"/>
    <w:rsid w:val="00630426"/>
    <w:rsid w:val="00635D41"/>
    <w:rsid w:val="00640E7F"/>
    <w:rsid w:val="00642B1B"/>
    <w:rsid w:val="00646A54"/>
    <w:rsid w:val="006520C5"/>
    <w:rsid w:val="00653840"/>
    <w:rsid w:val="006547CD"/>
    <w:rsid w:val="00657184"/>
    <w:rsid w:val="00674C81"/>
    <w:rsid w:val="0068687B"/>
    <w:rsid w:val="0069769D"/>
    <w:rsid w:val="00697F6A"/>
    <w:rsid w:val="006C4721"/>
    <w:rsid w:val="006D0F34"/>
    <w:rsid w:val="006D11E9"/>
    <w:rsid w:val="006E2F0E"/>
    <w:rsid w:val="0071089D"/>
    <w:rsid w:val="007147B1"/>
    <w:rsid w:val="007166E5"/>
    <w:rsid w:val="00727938"/>
    <w:rsid w:val="00730356"/>
    <w:rsid w:val="007705B8"/>
    <w:rsid w:val="00776079"/>
    <w:rsid w:val="0078392E"/>
    <w:rsid w:val="007978AE"/>
    <w:rsid w:val="007A0137"/>
    <w:rsid w:val="007B1505"/>
    <w:rsid w:val="007B2B39"/>
    <w:rsid w:val="007B6F10"/>
    <w:rsid w:val="007C3036"/>
    <w:rsid w:val="007C6378"/>
    <w:rsid w:val="007C7F5D"/>
    <w:rsid w:val="007D5495"/>
    <w:rsid w:val="007D5844"/>
    <w:rsid w:val="007E2A85"/>
    <w:rsid w:val="007F0CA9"/>
    <w:rsid w:val="007F34F4"/>
    <w:rsid w:val="008002EE"/>
    <w:rsid w:val="0081384E"/>
    <w:rsid w:val="008158CA"/>
    <w:rsid w:val="008345B8"/>
    <w:rsid w:val="00843235"/>
    <w:rsid w:val="00845C72"/>
    <w:rsid w:val="00855931"/>
    <w:rsid w:val="008735C5"/>
    <w:rsid w:val="008850E9"/>
    <w:rsid w:val="00891C43"/>
    <w:rsid w:val="008C06BD"/>
    <w:rsid w:val="008D173C"/>
    <w:rsid w:val="008E0DC3"/>
    <w:rsid w:val="008E0FD6"/>
    <w:rsid w:val="00921F3D"/>
    <w:rsid w:val="009235C9"/>
    <w:rsid w:val="00930125"/>
    <w:rsid w:val="009533B1"/>
    <w:rsid w:val="009857F3"/>
    <w:rsid w:val="00997FA7"/>
    <w:rsid w:val="009A7E4A"/>
    <w:rsid w:val="009C2177"/>
    <w:rsid w:val="009C79D8"/>
    <w:rsid w:val="009E357D"/>
    <w:rsid w:val="00A02322"/>
    <w:rsid w:val="00A11E87"/>
    <w:rsid w:val="00A2235B"/>
    <w:rsid w:val="00A2547D"/>
    <w:rsid w:val="00A32DCB"/>
    <w:rsid w:val="00A37FC9"/>
    <w:rsid w:val="00A65D9D"/>
    <w:rsid w:val="00A668DB"/>
    <w:rsid w:val="00AB00CD"/>
    <w:rsid w:val="00AC3B87"/>
    <w:rsid w:val="00AE1201"/>
    <w:rsid w:val="00AF220B"/>
    <w:rsid w:val="00B01BB8"/>
    <w:rsid w:val="00B04BC8"/>
    <w:rsid w:val="00B05BA9"/>
    <w:rsid w:val="00B227E5"/>
    <w:rsid w:val="00B22DE5"/>
    <w:rsid w:val="00B31942"/>
    <w:rsid w:val="00B35497"/>
    <w:rsid w:val="00B36C3B"/>
    <w:rsid w:val="00B419D8"/>
    <w:rsid w:val="00B56A7A"/>
    <w:rsid w:val="00B739F5"/>
    <w:rsid w:val="00B83CFC"/>
    <w:rsid w:val="00B83F60"/>
    <w:rsid w:val="00BB1284"/>
    <w:rsid w:val="00BD3C31"/>
    <w:rsid w:val="00BD5E9B"/>
    <w:rsid w:val="00C13E28"/>
    <w:rsid w:val="00C16228"/>
    <w:rsid w:val="00C17895"/>
    <w:rsid w:val="00C2722B"/>
    <w:rsid w:val="00C43561"/>
    <w:rsid w:val="00C43855"/>
    <w:rsid w:val="00C64BE9"/>
    <w:rsid w:val="00C84800"/>
    <w:rsid w:val="00C85268"/>
    <w:rsid w:val="00C921CD"/>
    <w:rsid w:val="00CA7681"/>
    <w:rsid w:val="00CC1BE7"/>
    <w:rsid w:val="00CD406F"/>
    <w:rsid w:val="00D068F8"/>
    <w:rsid w:val="00D14BD7"/>
    <w:rsid w:val="00D222B8"/>
    <w:rsid w:val="00D26646"/>
    <w:rsid w:val="00D3754D"/>
    <w:rsid w:val="00D469A0"/>
    <w:rsid w:val="00D56FCA"/>
    <w:rsid w:val="00D60406"/>
    <w:rsid w:val="00D72663"/>
    <w:rsid w:val="00D87FAC"/>
    <w:rsid w:val="00D96B43"/>
    <w:rsid w:val="00DB046F"/>
    <w:rsid w:val="00DE31F8"/>
    <w:rsid w:val="00DE3FCA"/>
    <w:rsid w:val="00DE7B44"/>
    <w:rsid w:val="00DF3CF9"/>
    <w:rsid w:val="00DF56E2"/>
    <w:rsid w:val="00E01D10"/>
    <w:rsid w:val="00E14728"/>
    <w:rsid w:val="00E16939"/>
    <w:rsid w:val="00E25969"/>
    <w:rsid w:val="00E3744D"/>
    <w:rsid w:val="00E7252E"/>
    <w:rsid w:val="00E824EA"/>
    <w:rsid w:val="00E91377"/>
    <w:rsid w:val="00E97471"/>
    <w:rsid w:val="00EA01B4"/>
    <w:rsid w:val="00EA2A16"/>
    <w:rsid w:val="00EB5BB0"/>
    <w:rsid w:val="00EB5FC8"/>
    <w:rsid w:val="00EC62A5"/>
    <w:rsid w:val="00ED32D3"/>
    <w:rsid w:val="00ED3866"/>
    <w:rsid w:val="00ED6FB1"/>
    <w:rsid w:val="00EE600E"/>
    <w:rsid w:val="00EF0D8D"/>
    <w:rsid w:val="00EF1273"/>
    <w:rsid w:val="00EF3407"/>
    <w:rsid w:val="00F160C7"/>
    <w:rsid w:val="00F21978"/>
    <w:rsid w:val="00F21FDE"/>
    <w:rsid w:val="00F34021"/>
    <w:rsid w:val="00F46ADD"/>
    <w:rsid w:val="00F80667"/>
    <w:rsid w:val="00F95E06"/>
    <w:rsid w:val="00FA0A38"/>
    <w:rsid w:val="00FC7B7E"/>
    <w:rsid w:val="00FD0D28"/>
    <w:rsid w:val="00FF60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9B2AA"/>
  <w15:docId w15:val="{144D0AFB-5211-432B-9430-BEEFD441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2" w:line="267" w:lineRule="auto"/>
      <w:ind w:left="447" w:right="4" w:hanging="370"/>
      <w:jc w:val="both"/>
    </w:pPr>
    <w:rPr>
      <w:rFonts w:ascii="Times New Roman" w:eastAsia="Times New Roman" w:hAnsi="Times New Roman" w:cs="Times New Roman"/>
      <w:color w:val="000000"/>
      <w:sz w:val="24"/>
    </w:rPr>
  </w:style>
  <w:style w:type="paragraph" w:styleId="Nadpis1">
    <w:name w:val="heading 1"/>
    <w:next w:val="Normlny"/>
    <w:link w:val="Nadpis1Char"/>
    <w:uiPriority w:val="9"/>
    <w:unhideWhenUsed/>
    <w:qFormat/>
    <w:pPr>
      <w:keepNext/>
      <w:keepLines/>
      <w:spacing w:after="4" w:line="271" w:lineRule="auto"/>
      <w:ind w:left="341" w:hanging="10"/>
      <w:jc w:val="center"/>
      <w:outlineLvl w:val="0"/>
    </w:pPr>
    <w:rPr>
      <w:rFonts w:ascii="Times New Roman" w:eastAsia="Times New Roman" w:hAnsi="Times New Roman" w:cs="Times New Roman"/>
      <w:b/>
      <w:color w:val="000000"/>
      <w:sz w:val="24"/>
    </w:rPr>
  </w:style>
  <w:style w:type="paragraph" w:styleId="Nadpis4">
    <w:name w:val="heading 4"/>
    <w:basedOn w:val="Normlny"/>
    <w:next w:val="Normlny"/>
    <w:link w:val="Nadpis4Char"/>
    <w:uiPriority w:val="9"/>
    <w:semiHidden/>
    <w:unhideWhenUsed/>
    <w:qFormat/>
    <w:rsid w:val="0005377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paragraph" w:customStyle="1" w:styleId="footnotedescription">
    <w:name w:val="footnote description"/>
    <w:next w:val="Normlny"/>
    <w:link w:val="footnotedescriptionChar"/>
    <w:hidden/>
    <w:pPr>
      <w:spacing w:after="0" w:line="282" w:lineRule="auto"/>
      <w:ind w:left="77"/>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Mriekatabuky1">
    <w:name w:val="Mriežka tabuľky1"/>
    <w:basedOn w:val="Normlnatabuka"/>
    <w:next w:val="Mriekatabuky"/>
    <w:uiPriority w:val="59"/>
    <w:rsid w:val="002E711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2E7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383FE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83FE8"/>
    <w:rPr>
      <w:rFonts w:ascii="Segoe UI" w:eastAsia="Times New Roman" w:hAnsi="Segoe UI" w:cs="Segoe UI"/>
      <w:color w:val="000000"/>
      <w:sz w:val="18"/>
      <w:szCs w:val="18"/>
    </w:rPr>
  </w:style>
  <w:style w:type="paragraph" w:styleId="Odsekzoznamu">
    <w:name w:val="List Paragraph"/>
    <w:aliases w:val="Odstavec_muj,Conclusion de partie,References,Odstavec se seznamem2,Nad,Odstavec cíl se seznamem,Odstavec se seznamem1,List Paragraph,Odstavec_muj1,Odstavec_muj2,Odstavec_muj3,Nad1,List Paragraph1,Odstavec_muj4,Nad2,List Paragraph2"/>
    <w:basedOn w:val="Normlny"/>
    <w:link w:val="OdsekzoznamuChar"/>
    <w:uiPriority w:val="99"/>
    <w:qFormat/>
    <w:rsid w:val="007F34F4"/>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character" w:customStyle="1" w:styleId="OdsekzoznamuChar">
    <w:name w:val="Odsek zoznamu Char"/>
    <w:aliases w:val="Odstavec_muj Char,Conclusion de partie Char,References Char,Odstavec se seznamem2 Char,Nad Char,Odstavec cíl se seznamem Char,Odstavec se seznamem1 Char,List Paragraph Char,Odstavec_muj1 Char,Odstavec_muj2 Char,Odstavec_muj3 Char"/>
    <w:link w:val="Odsekzoznamu"/>
    <w:uiPriority w:val="99"/>
    <w:qFormat/>
    <w:locked/>
    <w:rsid w:val="007F34F4"/>
    <w:rPr>
      <w:rFonts w:eastAsiaTheme="minorHAnsi"/>
      <w:lang w:eastAsia="en-US"/>
    </w:rPr>
  </w:style>
  <w:style w:type="character" w:customStyle="1" w:styleId="BezriadkovaniaChar">
    <w:name w:val="Bez riadkovania Char"/>
    <w:link w:val="Bezriadkovania"/>
    <w:uiPriority w:val="1"/>
    <w:locked/>
    <w:rsid w:val="007705B8"/>
    <w:rPr>
      <w:rFonts w:ascii="Arial Narrow" w:hAnsi="Arial Narrow"/>
      <w:szCs w:val="36"/>
      <w:lang w:eastAsia="en-US"/>
    </w:rPr>
  </w:style>
  <w:style w:type="paragraph" w:styleId="Bezriadkovania">
    <w:name w:val="No Spacing"/>
    <w:link w:val="BezriadkovaniaChar"/>
    <w:uiPriority w:val="1"/>
    <w:qFormat/>
    <w:rsid w:val="007705B8"/>
    <w:pPr>
      <w:spacing w:after="0" w:line="240" w:lineRule="auto"/>
    </w:pPr>
    <w:rPr>
      <w:rFonts w:ascii="Arial Narrow" w:hAnsi="Arial Narrow"/>
      <w:szCs w:val="36"/>
      <w:lang w:eastAsia="en-US"/>
    </w:rPr>
  </w:style>
  <w:style w:type="paragraph" w:customStyle="1" w:styleId="Default">
    <w:name w:val="Default"/>
    <w:rsid w:val="0077607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oj-doc-ti">
    <w:name w:val="oj-doc-ti"/>
    <w:basedOn w:val="Normlny"/>
    <w:rsid w:val="003018E0"/>
    <w:pPr>
      <w:spacing w:before="100" w:beforeAutospacing="1" w:after="100" w:afterAutospacing="1" w:line="240" w:lineRule="auto"/>
      <w:ind w:left="0" w:right="0" w:firstLine="0"/>
      <w:jc w:val="left"/>
    </w:pPr>
    <w:rPr>
      <w:color w:val="auto"/>
      <w:szCs w:val="24"/>
    </w:rPr>
  </w:style>
  <w:style w:type="paragraph" w:customStyle="1" w:styleId="CharCharChar1">
    <w:name w:val="Char Char Char1"/>
    <w:basedOn w:val="Normlny"/>
    <w:link w:val="Odkaznapoznmkupodiarou"/>
    <w:uiPriority w:val="99"/>
    <w:rsid w:val="001432F0"/>
    <w:pPr>
      <w:spacing w:after="160" w:line="240" w:lineRule="exact"/>
      <w:ind w:left="0" w:right="0" w:firstLine="0"/>
    </w:pPr>
    <w:rPr>
      <w:rFonts w:asciiTheme="minorHAnsi" w:eastAsiaTheme="minorHAnsi" w:hAnsiTheme="minorHAnsi" w:cstheme="minorBidi"/>
      <w:color w:val="auto"/>
      <w:sz w:val="22"/>
      <w:vertAlign w:val="superscript"/>
      <w:lang w:eastAsia="en-US"/>
    </w:rPr>
  </w:style>
  <w:style w:type="paragraph" w:styleId="Textpoznmkypodiarou">
    <w:name w:val="footnote text"/>
    <w:basedOn w:val="Normlny"/>
    <w:link w:val="TextpoznmkypodiarouChar"/>
    <w:uiPriority w:val="99"/>
    <w:semiHidden/>
    <w:unhideWhenUsed/>
    <w:rsid w:val="001432F0"/>
    <w:pPr>
      <w:spacing w:after="0" w:line="240" w:lineRule="auto"/>
      <w:ind w:left="720" w:right="0" w:hanging="720"/>
    </w:pPr>
    <w:rPr>
      <w:rFonts w:eastAsiaTheme="minorHAnsi"/>
      <w:color w:val="auto"/>
      <w:sz w:val="20"/>
      <w:szCs w:val="20"/>
      <w:lang w:eastAsia="en-US"/>
    </w:rPr>
  </w:style>
  <w:style w:type="character" w:customStyle="1" w:styleId="TextpoznmkypodiarouChar">
    <w:name w:val="Text poznámky pod čiarou Char"/>
    <w:basedOn w:val="Predvolenpsmoodseku"/>
    <w:link w:val="Textpoznmkypodiarou"/>
    <w:uiPriority w:val="99"/>
    <w:semiHidden/>
    <w:rsid w:val="001432F0"/>
    <w:rPr>
      <w:rFonts w:ascii="Times New Roman" w:eastAsiaTheme="minorHAnsi" w:hAnsi="Times New Roman" w:cs="Times New Roman"/>
      <w:sz w:val="20"/>
      <w:szCs w:val="20"/>
      <w:lang w:eastAsia="en-US"/>
    </w:rPr>
  </w:style>
  <w:style w:type="character" w:styleId="Odkaznapoznmkupodiarou">
    <w:name w:val="footnote reference"/>
    <w:basedOn w:val="Predvolenpsmoodseku"/>
    <w:link w:val="CharCharChar1"/>
    <w:uiPriority w:val="99"/>
    <w:unhideWhenUsed/>
    <w:rsid w:val="001432F0"/>
    <w:rPr>
      <w:rFonts w:eastAsiaTheme="minorHAnsi"/>
      <w:vertAlign w:val="superscript"/>
      <w:lang w:eastAsia="en-US"/>
    </w:rPr>
  </w:style>
  <w:style w:type="paragraph" w:customStyle="1" w:styleId="Tiret0">
    <w:name w:val="Tiret 0"/>
    <w:basedOn w:val="Normlny"/>
    <w:rsid w:val="00410822"/>
    <w:pPr>
      <w:numPr>
        <w:numId w:val="20"/>
      </w:numPr>
      <w:spacing w:before="120" w:after="120" w:line="240" w:lineRule="auto"/>
      <w:ind w:right="0"/>
    </w:pPr>
    <w:rPr>
      <w:rFonts w:eastAsiaTheme="minorHAnsi"/>
      <w:color w:val="auto"/>
      <w:lang w:eastAsia="en-US"/>
    </w:rPr>
  </w:style>
  <w:style w:type="character" w:customStyle="1" w:styleId="normaltextrun">
    <w:name w:val="normaltextrun"/>
    <w:basedOn w:val="Predvolenpsmoodseku"/>
    <w:rsid w:val="001F2088"/>
  </w:style>
  <w:style w:type="character" w:customStyle="1" w:styleId="Nadpis4Char">
    <w:name w:val="Nadpis 4 Char"/>
    <w:basedOn w:val="Predvolenpsmoodseku"/>
    <w:link w:val="Nadpis4"/>
    <w:uiPriority w:val="9"/>
    <w:semiHidden/>
    <w:rsid w:val="00053775"/>
    <w:rPr>
      <w:rFonts w:asciiTheme="majorHAnsi" w:eastAsiaTheme="majorEastAsia" w:hAnsiTheme="majorHAnsi" w:cstheme="majorBidi"/>
      <w:i/>
      <w:iCs/>
      <w:color w:val="2E74B5" w:themeColor="accent1" w:themeShade="BF"/>
      <w:sz w:val="24"/>
    </w:rPr>
  </w:style>
  <w:style w:type="character" w:styleId="Jemnodkaz">
    <w:name w:val="Subtle Reference"/>
    <w:basedOn w:val="Predvolenpsmoodseku"/>
    <w:uiPriority w:val="31"/>
    <w:qFormat/>
    <w:rsid w:val="00053775"/>
    <w:rPr>
      <w:smallCaps/>
      <w:color w:val="5A5A5A" w:themeColor="text1" w:themeTint="A5"/>
    </w:rPr>
  </w:style>
  <w:style w:type="character" w:customStyle="1" w:styleId="norm00e1lnychar1">
    <w:name w:val="norm_00e1lny__char1"/>
    <w:rsid w:val="00053775"/>
    <w:rPr>
      <w:rFonts w:ascii="Times New Roman" w:hAnsi="Times New Roman" w:cs="Times New Roman"/>
      <w:strike w:val="0"/>
      <w:dstrike w:val="0"/>
      <w:sz w:val="20"/>
      <w:szCs w:val="20"/>
      <w:u w:val="none"/>
      <w:effect w:val="none"/>
    </w:rPr>
  </w:style>
  <w:style w:type="paragraph" w:customStyle="1" w:styleId="norm00e1lny">
    <w:name w:val="norm_00e1lny"/>
    <w:basedOn w:val="Normlny"/>
    <w:rsid w:val="00053775"/>
    <w:pPr>
      <w:spacing w:after="0" w:line="200" w:lineRule="atLeast"/>
      <w:ind w:left="0" w:right="0" w:firstLine="0"/>
      <w:jc w:val="left"/>
    </w:pPr>
    <w:rPr>
      <w:color w:val="auto"/>
      <w:sz w:val="20"/>
      <w:szCs w:val="20"/>
    </w:rPr>
  </w:style>
  <w:style w:type="paragraph" w:styleId="Normlnywebov">
    <w:name w:val="Normal (Web)"/>
    <w:basedOn w:val="Normlny"/>
    <w:uiPriority w:val="99"/>
    <w:unhideWhenUsed/>
    <w:rsid w:val="00053775"/>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422435">
      <w:bodyDiv w:val="1"/>
      <w:marLeft w:val="0"/>
      <w:marRight w:val="0"/>
      <w:marTop w:val="0"/>
      <w:marBottom w:val="0"/>
      <w:divBdr>
        <w:top w:val="none" w:sz="0" w:space="0" w:color="auto"/>
        <w:left w:val="none" w:sz="0" w:space="0" w:color="auto"/>
        <w:bottom w:val="none" w:sz="0" w:space="0" w:color="auto"/>
        <w:right w:val="none" w:sz="0" w:space="0" w:color="auto"/>
      </w:divBdr>
    </w:div>
    <w:div w:id="1307320173">
      <w:bodyDiv w:val="1"/>
      <w:marLeft w:val="0"/>
      <w:marRight w:val="0"/>
      <w:marTop w:val="0"/>
      <w:marBottom w:val="0"/>
      <w:divBdr>
        <w:top w:val="none" w:sz="0" w:space="0" w:color="auto"/>
        <w:left w:val="none" w:sz="0" w:space="0" w:color="auto"/>
        <w:bottom w:val="none" w:sz="0" w:space="0" w:color="auto"/>
        <w:right w:val="none" w:sz="0" w:space="0" w:color="auto"/>
      </w:divBdr>
    </w:div>
    <w:div w:id="1422411723">
      <w:bodyDiv w:val="1"/>
      <w:marLeft w:val="0"/>
      <w:marRight w:val="0"/>
      <w:marTop w:val="0"/>
      <w:marBottom w:val="0"/>
      <w:divBdr>
        <w:top w:val="none" w:sz="0" w:space="0" w:color="auto"/>
        <w:left w:val="none" w:sz="0" w:space="0" w:color="auto"/>
        <w:bottom w:val="none" w:sz="0" w:space="0" w:color="auto"/>
        <w:right w:val="none" w:sz="0" w:space="0" w:color="auto"/>
      </w:divBdr>
    </w:div>
    <w:div w:id="1532573133">
      <w:bodyDiv w:val="1"/>
      <w:marLeft w:val="0"/>
      <w:marRight w:val="0"/>
      <w:marTop w:val="0"/>
      <w:marBottom w:val="0"/>
      <w:divBdr>
        <w:top w:val="none" w:sz="0" w:space="0" w:color="auto"/>
        <w:left w:val="none" w:sz="0" w:space="0" w:color="auto"/>
        <w:bottom w:val="none" w:sz="0" w:space="0" w:color="auto"/>
        <w:right w:val="none" w:sz="0" w:space="0" w:color="auto"/>
      </w:divBdr>
    </w:div>
    <w:div w:id="2025863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DDEE7-C692-483E-A7FD-73AF45CEC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4083</Words>
  <Characters>23277</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27306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Jankovic Stefan /SEZA/MZV</dc:creator>
  <cp:keywords/>
  <cp:lastModifiedBy>Babcanova Andrea</cp:lastModifiedBy>
  <cp:revision>2</cp:revision>
  <cp:lastPrinted>2025-05-13T13:23:00Z</cp:lastPrinted>
  <dcterms:created xsi:type="dcterms:W3CDTF">2025-05-19T07:49:00Z</dcterms:created>
  <dcterms:modified xsi:type="dcterms:W3CDTF">2025-05-19T07:49:00Z</dcterms:modified>
</cp:coreProperties>
</file>