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DCCA9" w14:textId="77777777" w:rsidR="003327A8" w:rsidRPr="003327A8" w:rsidRDefault="003327A8" w:rsidP="003327A8">
      <w:pPr>
        <w:spacing w:after="0" w:line="240" w:lineRule="auto"/>
        <w:jc w:val="center"/>
        <w:rPr>
          <w:rFonts w:ascii="Times New Roman" w:eastAsia="Times New Roman" w:hAnsi="Times New Roman" w:cs="Times New Roman"/>
          <w:b/>
          <w:caps/>
          <w:color w:val="000000"/>
          <w:spacing w:val="30"/>
          <w:sz w:val="24"/>
          <w:szCs w:val="24"/>
          <w:lang w:eastAsia="sk-SK"/>
        </w:rPr>
      </w:pPr>
      <w:r w:rsidRPr="003327A8">
        <w:rPr>
          <w:rFonts w:ascii="Times New Roman" w:eastAsia="Times New Roman" w:hAnsi="Times New Roman" w:cs="Times New Roman"/>
          <w:b/>
          <w:caps/>
          <w:color w:val="000000"/>
          <w:spacing w:val="30"/>
          <w:sz w:val="24"/>
          <w:szCs w:val="24"/>
          <w:lang w:eastAsia="sk-SK"/>
        </w:rPr>
        <w:t>Dôvodová správa</w:t>
      </w:r>
    </w:p>
    <w:p w14:paraId="71313945" w14:textId="77777777" w:rsidR="003327A8" w:rsidRPr="003327A8" w:rsidRDefault="003327A8" w:rsidP="003327A8">
      <w:pPr>
        <w:spacing w:after="0" w:line="240" w:lineRule="auto"/>
        <w:jc w:val="both"/>
        <w:rPr>
          <w:rFonts w:ascii="Times New Roman" w:eastAsia="Times New Roman" w:hAnsi="Times New Roman" w:cs="Times New Roman"/>
          <w:color w:val="000000"/>
          <w:sz w:val="24"/>
          <w:szCs w:val="24"/>
          <w:lang w:eastAsia="sk-SK"/>
        </w:rPr>
      </w:pPr>
    </w:p>
    <w:p w14:paraId="086F1005" w14:textId="77777777" w:rsidR="003327A8" w:rsidRPr="003327A8" w:rsidRDefault="003327A8" w:rsidP="003327A8">
      <w:pPr>
        <w:spacing w:after="0" w:line="240" w:lineRule="auto"/>
        <w:jc w:val="both"/>
        <w:rPr>
          <w:rFonts w:ascii="Times New Roman" w:eastAsia="Times New Roman" w:hAnsi="Times New Roman" w:cs="Times New Roman"/>
          <w:color w:val="000000"/>
          <w:sz w:val="24"/>
          <w:szCs w:val="24"/>
          <w:lang w:eastAsia="sk-SK"/>
        </w:rPr>
      </w:pPr>
    </w:p>
    <w:p w14:paraId="27C63E59" w14:textId="77777777" w:rsidR="003327A8" w:rsidRPr="003327A8" w:rsidRDefault="003327A8" w:rsidP="003327A8">
      <w:pPr>
        <w:spacing w:after="0" w:line="240" w:lineRule="auto"/>
        <w:jc w:val="both"/>
        <w:rPr>
          <w:rFonts w:ascii="Times New Roman" w:eastAsia="Times New Roman" w:hAnsi="Times New Roman" w:cs="Times New Roman"/>
          <w:b/>
          <w:color w:val="000000"/>
          <w:sz w:val="24"/>
          <w:szCs w:val="24"/>
          <w:lang w:eastAsia="sk-SK"/>
        </w:rPr>
      </w:pPr>
      <w:r w:rsidRPr="003327A8">
        <w:rPr>
          <w:rFonts w:ascii="Times New Roman" w:eastAsia="Times New Roman" w:hAnsi="Times New Roman" w:cs="Times New Roman"/>
          <w:b/>
          <w:color w:val="000000"/>
          <w:sz w:val="24"/>
          <w:szCs w:val="24"/>
          <w:lang w:eastAsia="sk-SK"/>
        </w:rPr>
        <w:t>A. Všeobecná časť</w:t>
      </w:r>
    </w:p>
    <w:p w14:paraId="7B52AE73" w14:textId="77777777" w:rsidR="003327A8" w:rsidRPr="003327A8" w:rsidRDefault="003327A8" w:rsidP="003327A8">
      <w:pPr>
        <w:spacing w:after="0" w:line="240" w:lineRule="auto"/>
        <w:rPr>
          <w:rFonts w:ascii="Times New Roman" w:eastAsia="Times New Roman" w:hAnsi="Times New Roman" w:cs="Times New Roman"/>
          <w:bCs/>
          <w:sz w:val="24"/>
          <w:szCs w:val="24"/>
          <w:lang w:eastAsia="sk-SK"/>
        </w:rPr>
      </w:pPr>
    </w:p>
    <w:p w14:paraId="2DFB74FA" w14:textId="77777777" w:rsidR="003327A8" w:rsidRPr="003327A8" w:rsidRDefault="003327A8" w:rsidP="003327A8">
      <w:pPr>
        <w:spacing w:after="0" w:line="240" w:lineRule="auto"/>
        <w:rPr>
          <w:rFonts w:ascii="Times New Roman" w:eastAsia="Times New Roman" w:hAnsi="Times New Roman" w:cs="Times New Roman"/>
          <w:bCs/>
          <w:sz w:val="24"/>
          <w:szCs w:val="24"/>
          <w:lang w:eastAsia="sk-SK"/>
        </w:rPr>
      </w:pPr>
    </w:p>
    <w:p w14:paraId="22C376C2" w14:textId="306DAC1B" w:rsidR="003327A8" w:rsidRPr="003327A8" w:rsidRDefault="00790E1D" w:rsidP="003327A8">
      <w:pPr>
        <w:spacing w:after="0" w:line="240" w:lineRule="auto"/>
        <w:ind w:firstLine="567"/>
        <w:jc w:val="both"/>
        <w:rPr>
          <w:rFonts w:ascii="Times New Roman" w:eastAsia="Times New Roman" w:hAnsi="Times New Roman" w:cs="Times New Roman"/>
          <w:sz w:val="24"/>
          <w:lang w:eastAsia="sk-SK"/>
        </w:rPr>
      </w:pPr>
      <w:r>
        <w:rPr>
          <w:rFonts w:ascii="Times New Roman" w:eastAsia="Times New Roman" w:hAnsi="Times New Roman" w:cs="Times New Roman"/>
          <w:sz w:val="24"/>
          <w:lang w:eastAsia="sk-SK"/>
        </w:rPr>
        <w:t>N</w:t>
      </w:r>
      <w:r w:rsidR="003327A8" w:rsidRPr="003327A8">
        <w:rPr>
          <w:rFonts w:ascii="Times New Roman" w:eastAsia="Times New Roman" w:hAnsi="Times New Roman" w:cs="Times New Roman"/>
          <w:sz w:val="24"/>
          <w:lang w:eastAsia="sk-SK"/>
        </w:rPr>
        <w:t>ávrh 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(ďalej len „návrh zákona“)</w:t>
      </w:r>
      <w:r>
        <w:rPr>
          <w:rFonts w:ascii="Times New Roman" w:eastAsia="Times New Roman" w:hAnsi="Times New Roman" w:cs="Times New Roman"/>
          <w:sz w:val="24"/>
          <w:lang w:eastAsia="sk-SK"/>
        </w:rPr>
        <w:t xml:space="preserve"> sa predkladá na základe </w:t>
      </w:r>
      <w:r w:rsidRPr="00790E1D">
        <w:rPr>
          <w:rFonts w:ascii="Times New Roman" w:eastAsia="Times New Roman" w:hAnsi="Times New Roman" w:cs="Times New Roman"/>
          <w:sz w:val="24"/>
          <w:lang w:eastAsia="sk-SK"/>
        </w:rPr>
        <w:t>Plánu legislatívnych úloh vlády SR na september – december 2020, schváleného uznesením vlády SR č. 547/2020 z 9.9.2020</w:t>
      </w:r>
      <w:r w:rsidR="003327A8" w:rsidRPr="003327A8">
        <w:rPr>
          <w:rFonts w:ascii="Times New Roman" w:eastAsia="Times New Roman" w:hAnsi="Times New Roman" w:cs="Times New Roman"/>
          <w:sz w:val="24"/>
          <w:lang w:eastAsia="sk-SK"/>
        </w:rPr>
        <w:t>.</w:t>
      </w:r>
    </w:p>
    <w:p w14:paraId="3FAFC572" w14:textId="77777777" w:rsidR="003327A8" w:rsidRPr="003327A8" w:rsidRDefault="003327A8" w:rsidP="003327A8">
      <w:pPr>
        <w:spacing w:after="0" w:line="240" w:lineRule="auto"/>
        <w:jc w:val="both"/>
        <w:rPr>
          <w:rFonts w:ascii="Times New Roman" w:eastAsia="Times New Roman" w:hAnsi="Times New Roman" w:cs="Times New Roman"/>
          <w:sz w:val="24"/>
          <w:szCs w:val="24"/>
          <w:lang w:eastAsia="sk-SK"/>
        </w:rPr>
      </w:pPr>
    </w:p>
    <w:p w14:paraId="55367F81" w14:textId="77777777" w:rsidR="003327A8" w:rsidRPr="003327A8" w:rsidRDefault="003327A8" w:rsidP="003327A8">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sk-SK"/>
        </w:rPr>
      </w:pPr>
      <w:r w:rsidRPr="003327A8">
        <w:rPr>
          <w:rFonts w:ascii="Times New Roman" w:eastAsia="Times New Roman" w:hAnsi="Times New Roman" w:cs="Times New Roman"/>
          <w:color w:val="000000"/>
          <w:sz w:val="24"/>
          <w:szCs w:val="24"/>
          <w:lang w:eastAsia="sk-SK"/>
        </w:rPr>
        <w:t>Cieľom návrhu zákona je:</w:t>
      </w:r>
    </w:p>
    <w:p w14:paraId="26C65095" w14:textId="77777777" w:rsidR="003327A8" w:rsidRPr="003327A8" w:rsidRDefault="003327A8" w:rsidP="003327A8">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sk-SK"/>
        </w:rPr>
      </w:pPr>
    </w:p>
    <w:p w14:paraId="210E1A01" w14:textId="77777777" w:rsidR="003327A8" w:rsidRPr="003327A8" w:rsidRDefault="003327A8" w:rsidP="003327A8">
      <w:pPr>
        <w:numPr>
          <w:ilvl w:val="0"/>
          <w:numId w:val="5"/>
        </w:numPr>
        <w:spacing w:after="120" w:line="240" w:lineRule="auto"/>
        <w:ind w:left="567" w:hanging="567"/>
        <w:contextualSpacing/>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znížiť administratívnu záťaž zjednodušením procesu registrácie pre oprávnených spotrebiteľov, ktorí sú už registrovaní ako platitelia dane,</w:t>
      </w:r>
    </w:p>
    <w:p w14:paraId="350862D8" w14:textId="77777777" w:rsidR="003327A8" w:rsidRPr="003327A8" w:rsidRDefault="003327A8" w:rsidP="003327A8">
      <w:pPr>
        <w:numPr>
          <w:ilvl w:val="0"/>
          <w:numId w:val="5"/>
        </w:numPr>
        <w:spacing w:after="120" w:line="240" w:lineRule="auto"/>
        <w:ind w:left="567" w:hanging="567"/>
        <w:contextualSpacing/>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v nadväznosti na elektronizáciu komunikácie medzi jednotlivými subjektmi a správcom dane zrušiť povinnosť preukazovať sa povoleniami a osvedčeniami o registrácii,</w:t>
      </w:r>
    </w:p>
    <w:p w14:paraId="1DC4C114" w14:textId="77777777" w:rsidR="003327A8" w:rsidRPr="003327A8" w:rsidRDefault="003327A8" w:rsidP="003327A8">
      <w:pPr>
        <w:numPr>
          <w:ilvl w:val="0"/>
          <w:numId w:val="5"/>
        </w:numPr>
        <w:spacing w:after="0" w:line="276" w:lineRule="auto"/>
        <w:ind w:left="567" w:hanging="567"/>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prispôsobiť právnu úpravu zdieľania elektriny aktuálnym trendom v oblasti energetickej politiky,</w:t>
      </w:r>
    </w:p>
    <w:p w14:paraId="202FD01E" w14:textId="77777777" w:rsidR="003327A8" w:rsidRPr="003327A8" w:rsidRDefault="003327A8" w:rsidP="003327A8">
      <w:pPr>
        <w:numPr>
          <w:ilvl w:val="0"/>
          <w:numId w:val="5"/>
        </w:numPr>
        <w:spacing w:after="0" w:line="240" w:lineRule="auto"/>
        <w:ind w:left="567" w:hanging="567"/>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vypustiť osobitné ustanovenie pre stlačený zemný plyn § 39a, pretože súčasne platná smernica Rady 2003/96/ES o reštrukturalizácii právneho rámca spoločenstva pre zdaňovanie energetických výrobkov a elektriny v platnom znení nerozlišuje daňovú diferenciáciu pre stlačený zemný plyn (CNG) a skvapalnený zemný plyn (LNG). Predmetom dane by bol zemný plyn ako taký, a to bez ohľadu na to, či sa ako pohonná látka alebo palivo bude používať v stlačenej forme ako (CNG) alebo v skvapalnenej forme ako (LNG).</w:t>
      </w:r>
    </w:p>
    <w:p w14:paraId="654FDD0C" w14:textId="77777777" w:rsidR="003327A8" w:rsidRPr="003327A8" w:rsidRDefault="003327A8" w:rsidP="003327A8">
      <w:pPr>
        <w:spacing w:after="120" w:line="256" w:lineRule="auto"/>
        <w:ind w:left="567" w:hanging="567"/>
        <w:contextualSpacing/>
        <w:jc w:val="both"/>
        <w:rPr>
          <w:rFonts w:ascii="Times New Roman" w:eastAsia="Times New Roman" w:hAnsi="Times New Roman" w:cs="Times New Roman"/>
          <w:sz w:val="24"/>
          <w:szCs w:val="24"/>
        </w:rPr>
      </w:pPr>
    </w:p>
    <w:p w14:paraId="43E00082" w14:textId="77777777" w:rsidR="003327A8" w:rsidRPr="003327A8" w:rsidRDefault="003327A8" w:rsidP="003327A8">
      <w:pPr>
        <w:spacing w:after="120" w:line="256" w:lineRule="auto"/>
        <w:ind w:firstLine="567"/>
        <w:contextualSpacing/>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Tento zákon nadobúda účinnosť 1. mája 2025 okrem čl. I bodov 1 až 49, 51 až 53, čl. II bodu 3 a čl. III bodov 1 až 4, ktoré nadobúdajú účinnosť 1. júla 2025.</w:t>
      </w:r>
    </w:p>
    <w:p w14:paraId="03804B54" w14:textId="77777777" w:rsidR="003327A8" w:rsidRPr="003327A8" w:rsidRDefault="003327A8" w:rsidP="003327A8">
      <w:pPr>
        <w:spacing w:after="0" w:line="240" w:lineRule="auto"/>
        <w:ind w:firstLine="567"/>
        <w:jc w:val="both"/>
        <w:rPr>
          <w:rFonts w:ascii="Times New Roman" w:eastAsia="Times New Roman" w:hAnsi="Times New Roman" w:cs="Times New Roman"/>
          <w:color w:val="000000"/>
          <w:sz w:val="24"/>
          <w:szCs w:val="24"/>
          <w:lang w:eastAsia="sk-SK"/>
        </w:rPr>
      </w:pPr>
      <w:r w:rsidRPr="003327A8">
        <w:rPr>
          <w:rFonts w:ascii="Times New Roman" w:eastAsia="Times New Roman" w:hAnsi="Times New Roman" w:cs="Times New Roman"/>
          <w:color w:val="000000"/>
          <w:sz w:val="24"/>
          <w:szCs w:val="24"/>
          <w:lang w:eastAsia="sk-SK"/>
        </w:rPr>
        <w:t>Predkladaný</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návrh</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zákona</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je</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v</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súlade</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s</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Ústavou</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Slovenskej</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republiky,</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ústavnými zákonmi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a</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inými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právnymi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predpismi,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s</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nálezmi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Ústavného</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súdu</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Slovenskej</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republiky, medzinárodnými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zmluvami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a</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dokumentmi,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ktorými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je</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Slovenská</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republika</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viazaná,</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ako aj v súlade s právom Európskej únie.</w:t>
      </w:r>
    </w:p>
    <w:p w14:paraId="6BD68FA8" w14:textId="77777777" w:rsidR="003327A8" w:rsidRPr="003327A8" w:rsidRDefault="003327A8" w:rsidP="003327A8">
      <w:pPr>
        <w:spacing w:after="0" w:line="240" w:lineRule="auto"/>
        <w:jc w:val="both"/>
        <w:rPr>
          <w:rFonts w:ascii="Times New Roman" w:eastAsia="Times New Roman" w:hAnsi="Times New Roman" w:cs="Times New Roman"/>
          <w:sz w:val="24"/>
          <w:szCs w:val="24"/>
          <w:lang w:eastAsia="sk-SK"/>
        </w:rPr>
      </w:pPr>
    </w:p>
    <w:p w14:paraId="21521E70" w14:textId="77777777" w:rsidR="003327A8" w:rsidRPr="003327A8" w:rsidRDefault="003327A8" w:rsidP="003327A8">
      <w:pPr>
        <w:spacing w:after="0" w:line="240" w:lineRule="auto"/>
        <w:ind w:firstLine="567"/>
        <w:jc w:val="both"/>
        <w:rPr>
          <w:rFonts w:ascii="Times New Roman" w:eastAsia="Times New Roman" w:hAnsi="Times New Roman" w:cs="Times New Roman"/>
          <w:sz w:val="24"/>
          <w:szCs w:val="24"/>
          <w:lang w:eastAsia="sk-SK"/>
        </w:rPr>
      </w:pPr>
      <w:r w:rsidRPr="003327A8">
        <w:rPr>
          <w:rFonts w:ascii="Times New Roman" w:eastAsia="Times New Roman" w:hAnsi="Times New Roman" w:cs="Times New Roman"/>
          <w:sz w:val="24"/>
          <w:szCs w:val="24"/>
          <w:lang w:eastAsia="sk-SK"/>
        </w:rPr>
        <w:t xml:space="preserve">Predpokladané vplyvy na rozpočet verejnej správy, podnikateľské prostredie a na informatizáciu spoločnosti sú vyjadrené v doložke vybraných vplyvov. Návrh zákona nemá vplyvy na rozpočty obcí a rozpočty vyšších územných celkov, nemá sociálne vplyvy, nemá vplyvy na životné prostredie, ani na služby verejnej správy pre občana a na manželstvo, rodičovstvo a rodinu. </w:t>
      </w:r>
    </w:p>
    <w:p w14:paraId="666672A5" w14:textId="77777777" w:rsidR="003327A8" w:rsidRPr="003327A8" w:rsidRDefault="003327A8" w:rsidP="003327A8">
      <w:pPr>
        <w:spacing w:after="0" w:line="240" w:lineRule="auto"/>
        <w:ind w:firstLine="567"/>
        <w:jc w:val="both"/>
        <w:rPr>
          <w:rFonts w:ascii="Times New Roman" w:eastAsia="Times New Roman" w:hAnsi="Times New Roman" w:cs="Times New Roman"/>
          <w:sz w:val="24"/>
          <w:szCs w:val="24"/>
          <w:lang w:eastAsia="sk-SK"/>
        </w:rPr>
      </w:pPr>
    </w:p>
    <w:p w14:paraId="03491A7B" w14:textId="77777777" w:rsidR="003327A8" w:rsidRPr="003327A8" w:rsidRDefault="003327A8" w:rsidP="003327A8">
      <w:pPr>
        <w:spacing w:after="0" w:line="240" w:lineRule="auto"/>
        <w:ind w:firstLine="567"/>
        <w:jc w:val="both"/>
        <w:rPr>
          <w:rFonts w:ascii="Times New Roman" w:eastAsia="Times New Roman" w:hAnsi="Times New Roman" w:cs="Times New Roman"/>
          <w:sz w:val="24"/>
          <w:szCs w:val="24"/>
          <w:lang w:eastAsia="sk-SK"/>
        </w:rPr>
      </w:pPr>
      <w:r w:rsidRPr="003327A8">
        <w:rPr>
          <w:rFonts w:ascii="Times New Roman" w:eastAsia="Times New Roman" w:hAnsi="Times New Roman" w:cs="Times New Roman"/>
          <w:sz w:val="24"/>
          <w:szCs w:val="24"/>
          <w:lang w:eastAsia="sk-SK"/>
        </w:rPr>
        <w:t>Návrh zákona nie je predmetom vnútrokomunitárneho pripomienkového konania.</w:t>
      </w:r>
    </w:p>
    <w:p w14:paraId="13AE27B5"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05076556"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04C37C40"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552C1068"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04196B69"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008A7D0C"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7ADBB89D" w14:textId="176BB904"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w:t>
      </w:r>
      <w:r w:rsidR="001B23B7" w:rsidRPr="00612E08">
        <w:rPr>
          <w:rFonts w:ascii="Times New Roman" w:eastAsia="Times New Roman" w:hAnsi="Times New Roman" w:cs="Times New Roman"/>
          <w:b/>
          <w:sz w:val="28"/>
          <w:szCs w:val="28"/>
          <w:lang w:eastAsia="sk-SK"/>
        </w:rPr>
        <w:t>oložka vybraných vplyvov</w:t>
      </w:r>
    </w:p>
    <w:p w14:paraId="5A465A24"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20371C14" w14:textId="77777777" w:rsidTr="009A347A">
        <w:tc>
          <w:tcPr>
            <w:tcW w:w="9180" w:type="dxa"/>
            <w:gridSpan w:val="11"/>
            <w:tcBorders>
              <w:bottom w:val="single" w:sz="4" w:space="0" w:color="FFFFFF"/>
            </w:tcBorders>
            <w:shd w:val="clear" w:color="auto" w:fill="E2E2E2"/>
          </w:tcPr>
          <w:p w14:paraId="57FD01B3"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22CCB59D" w14:textId="77777777" w:rsidTr="009A347A">
        <w:tc>
          <w:tcPr>
            <w:tcW w:w="9180" w:type="dxa"/>
            <w:gridSpan w:val="11"/>
            <w:tcBorders>
              <w:bottom w:val="single" w:sz="4" w:space="0" w:color="FFFFFF"/>
            </w:tcBorders>
            <w:shd w:val="clear" w:color="auto" w:fill="E2E2E2"/>
          </w:tcPr>
          <w:p w14:paraId="7D3CDBE4" w14:textId="77777777" w:rsidR="001B23B7" w:rsidRPr="00612E08" w:rsidRDefault="001B23B7" w:rsidP="009A347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57A81D9B" w14:textId="77777777" w:rsidTr="009A347A">
        <w:tc>
          <w:tcPr>
            <w:tcW w:w="9180" w:type="dxa"/>
            <w:gridSpan w:val="11"/>
            <w:tcBorders>
              <w:top w:val="single" w:sz="4" w:space="0" w:color="FFFFFF"/>
              <w:bottom w:val="single" w:sz="4" w:space="0" w:color="auto"/>
            </w:tcBorders>
          </w:tcPr>
          <w:p w14:paraId="225FFE36" w14:textId="77777777" w:rsidR="001B23B7" w:rsidRPr="00F73B0D" w:rsidRDefault="004054F8" w:rsidP="00805463">
            <w:pPr>
              <w:jc w:val="both"/>
              <w:rPr>
                <w:rFonts w:ascii="Times New Roman" w:eastAsia="Times New Roman" w:hAnsi="Times New Roman" w:cs="Times New Roman"/>
                <w:highlight w:val="yellow"/>
                <w:lang w:eastAsia="sk-SK"/>
              </w:rPr>
            </w:pPr>
            <w:r w:rsidRPr="00F73B0D">
              <w:rPr>
                <w:rFonts w:ascii="Times New Roman" w:eastAsia="Times New Roman" w:hAnsi="Times New Roman" w:cs="Times New Roman"/>
                <w:b/>
                <w:lang w:eastAsia="sk-SK"/>
              </w:rPr>
              <w:t xml:space="preserve">Návrh zákona, </w:t>
            </w:r>
            <w:r w:rsidR="00805463" w:rsidRPr="00F73B0D">
              <w:rPr>
                <w:rFonts w:ascii="Times New Roman" w:eastAsia="Times New Roman" w:hAnsi="Times New Roman" w:cs="Times New Roman"/>
                <w:b/>
                <w:lang w:eastAsia="sk-SK"/>
              </w:rPr>
              <w:t>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w:t>
            </w:r>
          </w:p>
        </w:tc>
      </w:tr>
      <w:tr w:rsidR="00612E08" w:rsidRPr="00612E08" w14:paraId="663FC475" w14:textId="77777777" w:rsidTr="009A347A">
        <w:tc>
          <w:tcPr>
            <w:tcW w:w="9180" w:type="dxa"/>
            <w:gridSpan w:val="11"/>
            <w:tcBorders>
              <w:top w:val="single" w:sz="4" w:space="0" w:color="auto"/>
              <w:left w:val="single" w:sz="4" w:space="0" w:color="auto"/>
              <w:bottom w:val="single" w:sz="4" w:space="0" w:color="FFFFFF"/>
            </w:tcBorders>
            <w:shd w:val="clear" w:color="auto" w:fill="E2E2E2"/>
          </w:tcPr>
          <w:p w14:paraId="6784A1CB" w14:textId="77777777" w:rsidR="001B23B7" w:rsidRPr="00612E08" w:rsidRDefault="001B23B7" w:rsidP="009A347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61870D99" w14:textId="77777777" w:rsidTr="009A347A">
        <w:tc>
          <w:tcPr>
            <w:tcW w:w="9180" w:type="dxa"/>
            <w:gridSpan w:val="11"/>
            <w:tcBorders>
              <w:top w:val="single" w:sz="4" w:space="0" w:color="FFFFFF"/>
              <w:left w:val="single" w:sz="4" w:space="0" w:color="auto"/>
              <w:bottom w:val="single" w:sz="4" w:space="0" w:color="auto"/>
            </w:tcBorders>
            <w:shd w:val="clear" w:color="auto" w:fill="FFFFFF"/>
          </w:tcPr>
          <w:p w14:paraId="3760A2EF" w14:textId="77777777" w:rsidR="004054F8" w:rsidRPr="00B35FB9" w:rsidRDefault="004054F8" w:rsidP="004054F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financií Slovenskej republiky</w:t>
            </w:r>
          </w:p>
          <w:p w14:paraId="115769EB" w14:textId="77777777" w:rsidR="001B23B7" w:rsidRPr="00612E08" w:rsidRDefault="001B23B7" w:rsidP="009A347A">
            <w:pPr>
              <w:rPr>
                <w:rFonts w:ascii="Times New Roman" w:eastAsia="Times New Roman" w:hAnsi="Times New Roman" w:cs="Times New Roman"/>
                <w:sz w:val="20"/>
                <w:szCs w:val="20"/>
                <w:lang w:eastAsia="sk-SK"/>
              </w:rPr>
            </w:pPr>
          </w:p>
        </w:tc>
      </w:tr>
      <w:tr w:rsidR="00612E08" w:rsidRPr="00612E08" w14:paraId="0FBF50CB" w14:textId="77777777" w:rsidTr="009A347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5218D63" w14:textId="77777777" w:rsidR="001B23B7" w:rsidRPr="00612E08" w:rsidRDefault="001B23B7" w:rsidP="009A347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339CA88" w14:textId="77777777" w:rsidR="001B23B7" w:rsidRPr="00612E08" w:rsidRDefault="000013C3" w:rsidP="009A34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B1BACC2" w14:textId="77777777" w:rsidR="001B23B7" w:rsidRPr="00612E08" w:rsidRDefault="001B23B7" w:rsidP="009A34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27E8E5F7" w14:textId="77777777" w:rsidTr="009A347A">
        <w:tc>
          <w:tcPr>
            <w:tcW w:w="4212" w:type="dxa"/>
            <w:gridSpan w:val="2"/>
            <w:vMerge/>
            <w:tcBorders>
              <w:top w:val="nil"/>
              <w:left w:val="single" w:sz="4" w:space="0" w:color="auto"/>
              <w:bottom w:val="single" w:sz="4" w:space="0" w:color="FFFFFF"/>
            </w:tcBorders>
            <w:shd w:val="clear" w:color="auto" w:fill="E2E2E2"/>
          </w:tcPr>
          <w:p w14:paraId="398B25B5" w14:textId="77777777" w:rsidR="001B23B7" w:rsidRPr="00612E08" w:rsidRDefault="001B23B7" w:rsidP="009A34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A325FCE" w14:textId="77777777" w:rsidR="001B23B7" w:rsidRPr="00612E08" w:rsidRDefault="004054F8"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9922D83" w14:textId="77777777" w:rsidR="001B23B7" w:rsidRPr="00612E08" w:rsidRDefault="001B23B7" w:rsidP="009A347A">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06A6DADA" w14:textId="77777777" w:rsidTr="009A347A">
        <w:tc>
          <w:tcPr>
            <w:tcW w:w="4212" w:type="dxa"/>
            <w:gridSpan w:val="2"/>
            <w:vMerge/>
            <w:tcBorders>
              <w:top w:val="nil"/>
              <w:left w:val="single" w:sz="4" w:space="0" w:color="auto"/>
              <w:bottom w:val="single" w:sz="4" w:space="0" w:color="auto"/>
            </w:tcBorders>
            <w:shd w:val="clear" w:color="auto" w:fill="E2E2E2"/>
          </w:tcPr>
          <w:p w14:paraId="2CCAF35F" w14:textId="77777777" w:rsidR="001B23B7" w:rsidRPr="00612E08" w:rsidRDefault="001B23B7" w:rsidP="009A34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0E757A9" w14:textId="77777777" w:rsidR="001B23B7" w:rsidRPr="00612E08" w:rsidRDefault="00837C72" w:rsidP="009A34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61AA132"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64792951" w14:textId="77777777" w:rsidTr="009A347A">
        <w:tc>
          <w:tcPr>
            <w:tcW w:w="9180" w:type="dxa"/>
            <w:gridSpan w:val="11"/>
            <w:tcBorders>
              <w:top w:val="single" w:sz="4" w:space="0" w:color="auto"/>
              <w:left w:val="single" w:sz="4" w:space="0" w:color="auto"/>
              <w:bottom w:val="single" w:sz="4" w:space="0" w:color="FFFFFF"/>
            </w:tcBorders>
            <w:shd w:val="clear" w:color="auto" w:fill="FFFFFF"/>
          </w:tcPr>
          <w:p w14:paraId="4A269A69" w14:textId="77777777" w:rsidR="001B23B7" w:rsidRDefault="00837C72" w:rsidP="00837C72">
            <w:pPr>
              <w:jc w:val="both"/>
              <w:rPr>
                <w:rFonts w:ascii="Times New Roman" w:eastAsia="Times New Roman" w:hAnsi="Times New Roman" w:cs="Times New Roman"/>
                <w:sz w:val="20"/>
                <w:szCs w:val="20"/>
                <w:lang w:eastAsia="sk-SK"/>
              </w:rPr>
            </w:pPr>
            <w:r w:rsidRPr="00837C72">
              <w:rPr>
                <w:rFonts w:ascii="Times New Roman" w:eastAsia="Times New Roman" w:hAnsi="Times New Roman" w:cs="Times New Roman"/>
                <w:sz w:val="20"/>
                <w:szCs w:val="20"/>
                <w:lang w:eastAsia="sk-SK"/>
              </w:rPr>
              <w:t>SMERNICA RADY 2003/96/ES z 27. októbra 2003 o reštrukturalizácii právneho rámca spoločenstva pre zdaňovanie energetických výrobkov a elek</w:t>
            </w:r>
            <w:r>
              <w:rPr>
                <w:rFonts w:ascii="Times New Roman" w:eastAsia="Times New Roman" w:hAnsi="Times New Roman" w:cs="Times New Roman"/>
                <w:sz w:val="20"/>
                <w:szCs w:val="20"/>
                <w:lang w:eastAsia="sk-SK"/>
              </w:rPr>
              <w:t xml:space="preserve">triny </w:t>
            </w:r>
            <w:r w:rsidR="00805463" w:rsidRPr="00837C72">
              <w:rPr>
                <w:rFonts w:ascii="Times New Roman" w:eastAsia="Times New Roman" w:hAnsi="Times New Roman" w:cs="Times New Roman"/>
                <w:sz w:val="20"/>
                <w:szCs w:val="20"/>
                <w:lang w:eastAsia="sk-SK"/>
              </w:rPr>
              <w:t xml:space="preserve">v platnom znení </w:t>
            </w:r>
            <w:r w:rsidRPr="00837C72">
              <w:rPr>
                <w:rFonts w:ascii="Times New Roman" w:eastAsia="Times New Roman" w:hAnsi="Times New Roman" w:cs="Times New Roman"/>
                <w:sz w:val="20"/>
                <w:szCs w:val="20"/>
                <w:lang w:eastAsia="sk-SK"/>
              </w:rPr>
              <w:t>(</w:t>
            </w:r>
            <w:r w:rsidR="00A03D75">
              <w:rPr>
                <w:rFonts w:ascii="Times New Roman" w:eastAsia="Times New Roman" w:hAnsi="Times New Roman" w:cs="Times New Roman"/>
                <w:sz w:val="20"/>
                <w:szCs w:val="20"/>
                <w:lang w:eastAsia="sk-SK"/>
              </w:rPr>
              <w:t xml:space="preserve">Mimoriadne vydanie </w:t>
            </w:r>
            <w:r w:rsidRPr="00837C72">
              <w:rPr>
                <w:rFonts w:ascii="Times New Roman" w:eastAsia="Times New Roman" w:hAnsi="Times New Roman" w:cs="Times New Roman"/>
                <w:sz w:val="20"/>
                <w:szCs w:val="20"/>
                <w:lang w:eastAsia="sk-SK"/>
              </w:rPr>
              <w:t>Ú. v. EÚ</w:t>
            </w:r>
            <w:r w:rsidR="00A03D75">
              <w:rPr>
                <w:rFonts w:ascii="Times New Roman" w:eastAsia="Times New Roman" w:hAnsi="Times New Roman" w:cs="Times New Roman"/>
                <w:sz w:val="20"/>
                <w:szCs w:val="20"/>
                <w:lang w:eastAsia="sk-SK"/>
              </w:rPr>
              <w:t xml:space="preserve">, kap. 9/zv. 1; Ú. </w:t>
            </w:r>
            <w:r w:rsidR="000664AF">
              <w:rPr>
                <w:rFonts w:ascii="Times New Roman" w:eastAsia="Times New Roman" w:hAnsi="Times New Roman" w:cs="Times New Roman"/>
                <w:sz w:val="20"/>
                <w:szCs w:val="20"/>
                <w:lang w:eastAsia="sk-SK"/>
              </w:rPr>
              <w:t>v</w:t>
            </w:r>
            <w:r w:rsidR="00A03D75">
              <w:rPr>
                <w:rFonts w:ascii="Times New Roman" w:eastAsia="Times New Roman" w:hAnsi="Times New Roman" w:cs="Times New Roman"/>
                <w:sz w:val="20"/>
                <w:szCs w:val="20"/>
                <w:lang w:eastAsia="sk-SK"/>
              </w:rPr>
              <w:t>. EÚ L 283, 31.10.2003</w:t>
            </w:r>
            <w:r w:rsidRPr="00837C72">
              <w:rPr>
                <w:rFonts w:ascii="Times New Roman" w:eastAsia="Times New Roman" w:hAnsi="Times New Roman" w:cs="Times New Roman"/>
                <w:sz w:val="20"/>
                <w:szCs w:val="20"/>
                <w:lang w:eastAsia="sk-SK"/>
              </w:rPr>
              <w:t>).</w:t>
            </w:r>
          </w:p>
          <w:p w14:paraId="45FE9758" w14:textId="77777777" w:rsidR="000664AF" w:rsidRPr="00837C72" w:rsidRDefault="000664AF" w:rsidP="00837C72">
            <w:pPr>
              <w:jc w:val="both"/>
              <w:rPr>
                <w:rFonts w:ascii="Times New Roman" w:eastAsia="Times New Roman" w:hAnsi="Times New Roman" w:cs="Times New Roman"/>
                <w:sz w:val="20"/>
                <w:szCs w:val="20"/>
                <w:lang w:eastAsia="sk-SK"/>
              </w:rPr>
            </w:pPr>
            <w:r w:rsidRPr="000664AF">
              <w:rPr>
                <w:rFonts w:ascii="Times New Roman" w:eastAsia="Times New Roman" w:hAnsi="Times New Roman" w:cs="Times New Roman"/>
                <w:sz w:val="20"/>
                <w:szCs w:val="20"/>
                <w:lang w:eastAsia="sk-SK"/>
              </w:rPr>
              <w:t>SMERNICA RADY (EÚ) 2020/262 z 19. decembra 2019, ktorou sa ustanovuje všeobecný systém spotrebných daní</w:t>
            </w:r>
            <w:r w:rsidR="00126AE3">
              <w:rPr>
                <w:rFonts w:ascii="Times New Roman" w:eastAsia="Times New Roman" w:hAnsi="Times New Roman" w:cs="Times New Roman"/>
                <w:sz w:val="20"/>
                <w:szCs w:val="20"/>
                <w:lang w:eastAsia="sk-SK"/>
              </w:rPr>
              <w:t xml:space="preserve"> (Ú. V. EÚ L 58, 27.2.2020</w:t>
            </w:r>
            <w:r w:rsidRPr="000664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p>
          <w:p w14:paraId="5300E5B5" w14:textId="77777777" w:rsidR="001B23B7" w:rsidRPr="00612E08" w:rsidRDefault="001B23B7" w:rsidP="009A347A">
            <w:pPr>
              <w:rPr>
                <w:rFonts w:ascii="Times New Roman" w:eastAsia="Times New Roman" w:hAnsi="Times New Roman" w:cs="Times New Roman"/>
                <w:sz w:val="20"/>
                <w:szCs w:val="20"/>
                <w:lang w:eastAsia="sk-SK"/>
              </w:rPr>
            </w:pPr>
          </w:p>
        </w:tc>
      </w:tr>
      <w:tr w:rsidR="00612E08" w:rsidRPr="00612E08" w14:paraId="79087D1E" w14:textId="77777777" w:rsidTr="009A347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732FD18" w14:textId="77777777" w:rsidR="001B23B7" w:rsidRPr="00612E08" w:rsidRDefault="001B23B7" w:rsidP="009A347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A242E14" w14:textId="77777777" w:rsidR="001B23B7" w:rsidRPr="00612E08" w:rsidRDefault="004054F8" w:rsidP="009A347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 2022</w:t>
            </w:r>
          </w:p>
        </w:tc>
      </w:tr>
      <w:tr w:rsidR="00612E08" w:rsidRPr="00612E08" w14:paraId="02E0AE35" w14:textId="77777777" w:rsidTr="009A34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5B4EF85"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9559277" w14:textId="77777777" w:rsidR="001B23B7" w:rsidRPr="00612E08" w:rsidRDefault="00466FEC" w:rsidP="009A347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November</w:t>
            </w:r>
            <w:r w:rsidR="00945AF0">
              <w:rPr>
                <w:rFonts w:ascii="Times New Roman" w:eastAsia="Times New Roman" w:hAnsi="Times New Roman" w:cs="Times New Roman"/>
                <w:i/>
                <w:sz w:val="20"/>
                <w:szCs w:val="20"/>
                <w:lang w:eastAsia="sk-SK"/>
              </w:rPr>
              <w:t xml:space="preserve"> 2024</w:t>
            </w:r>
          </w:p>
        </w:tc>
      </w:tr>
      <w:tr w:rsidR="00612E08" w:rsidRPr="00612E08" w14:paraId="78C3928B"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087EBF8"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9742BDC" w14:textId="77777777" w:rsidR="001B23B7" w:rsidRPr="00612E08" w:rsidRDefault="004A128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2024</w:t>
            </w:r>
          </w:p>
        </w:tc>
      </w:tr>
      <w:tr w:rsidR="00612E08" w:rsidRPr="00612E08" w14:paraId="4F931A7B" w14:textId="77777777" w:rsidTr="009A34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1D9E6CB" w14:textId="77777777" w:rsidR="001B23B7" w:rsidRPr="00612E08" w:rsidRDefault="001B23B7" w:rsidP="009A347A">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F77BCCF" w14:textId="77777777" w:rsidR="001B23B7" w:rsidRPr="00612E08" w:rsidRDefault="004054F8" w:rsidP="009A347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2024</w:t>
            </w:r>
          </w:p>
        </w:tc>
      </w:tr>
      <w:tr w:rsidR="00612E08" w:rsidRPr="00612E08" w14:paraId="1646C830" w14:textId="77777777" w:rsidTr="009A347A">
        <w:tc>
          <w:tcPr>
            <w:tcW w:w="9180" w:type="dxa"/>
            <w:gridSpan w:val="11"/>
            <w:tcBorders>
              <w:top w:val="single" w:sz="4" w:space="0" w:color="auto"/>
              <w:left w:val="nil"/>
              <w:bottom w:val="single" w:sz="4" w:space="0" w:color="auto"/>
              <w:right w:val="nil"/>
            </w:tcBorders>
            <w:shd w:val="clear" w:color="auto" w:fill="FFFFFF"/>
          </w:tcPr>
          <w:p w14:paraId="596BC3E3" w14:textId="77777777" w:rsidR="001B23B7" w:rsidRPr="00612E08" w:rsidRDefault="001B23B7" w:rsidP="009A347A">
            <w:pPr>
              <w:rPr>
                <w:rFonts w:ascii="Times New Roman" w:eastAsia="Times New Roman" w:hAnsi="Times New Roman" w:cs="Times New Roman"/>
                <w:sz w:val="20"/>
                <w:szCs w:val="20"/>
                <w:lang w:eastAsia="sk-SK"/>
              </w:rPr>
            </w:pPr>
          </w:p>
        </w:tc>
      </w:tr>
      <w:tr w:rsidR="00612E08" w:rsidRPr="00612E08" w14:paraId="5FB5B990" w14:textId="77777777" w:rsidTr="009A34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7AA26B"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1C984F61" w14:textId="77777777" w:rsidTr="009A347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99CA938" w14:textId="77777777" w:rsidR="004054F8" w:rsidRDefault="004054F8" w:rsidP="004054F8">
            <w:pPr>
              <w:ind w:left="29"/>
              <w:jc w:val="both"/>
              <w:rPr>
                <w:rFonts w:ascii="Times New Roman" w:eastAsia="Times New Roman" w:hAnsi="Times New Roman" w:cs="Times New Roman"/>
                <w:sz w:val="20"/>
                <w:szCs w:val="20"/>
                <w:lang w:eastAsia="sk-SK"/>
              </w:rPr>
            </w:pPr>
          </w:p>
          <w:p w14:paraId="6A14B65D" w14:textId="77777777" w:rsidR="00CC7434" w:rsidRPr="00CC7434" w:rsidRDefault="004054F8" w:rsidP="00CC7434">
            <w:pPr>
              <w:ind w:left="29"/>
              <w:jc w:val="both"/>
              <w:rPr>
                <w:rFonts w:ascii="Times New Roman" w:eastAsia="Times New Roman" w:hAnsi="Times New Roman" w:cs="Times New Roman"/>
                <w:sz w:val="20"/>
                <w:szCs w:val="20"/>
                <w:lang w:eastAsia="sk-SK"/>
              </w:rPr>
            </w:pPr>
            <w:r w:rsidRPr="0073331D">
              <w:rPr>
                <w:rFonts w:ascii="Times New Roman" w:eastAsia="Times New Roman" w:hAnsi="Times New Roman" w:cs="Times New Roman"/>
                <w:sz w:val="20"/>
                <w:szCs w:val="20"/>
                <w:lang w:eastAsia="sk-SK"/>
              </w:rPr>
              <w:t>Cieľom návrhu zákona je:</w:t>
            </w:r>
            <w:r w:rsidR="00CC7434">
              <w:t xml:space="preserve"> </w:t>
            </w:r>
          </w:p>
          <w:p w14:paraId="37A4F2A4" w14:textId="77777777" w:rsidR="009F276B" w:rsidRPr="009F276B" w:rsidRDefault="009F276B" w:rsidP="009F276B">
            <w:pPr>
              <w:ind w:left="29"/>
              <w:jc w:val="both"/>
              <w:rPr>
                <w:rFonts w:ascii="Times New Roman" w:eastAsia="Times New Roman" w:hAnsi="Times New Roman" w:cs="Times New Roman"/>
                <w:sz w:val="20"/>
                <w:szCs w:val="20"/>
                <w:lang w:eastAsia="sk-SK"/>
              </w:rPr>
            </w:pPr>
            <w:r w:rsidRPr="009F276B">
              <w:rPr>
                <w:rFonts w:ascii="Times New Roman" w:eastAsia="Times New Roman" w:hAnsi="Times New Roman" w:cs="Times New Roman"/>
                <w:sz w:val="20"/>
                <w:szCs w:val="20"/>
                <w:lang w:eastAsia="sk-SK"/>
              </w:rPr>
              <w:t>-</w:t>
            </w:r>
            <w:r w:rsidRPr="009F276B">
              <w:rPr>
                <w:rFonts w:ascii="Times New Roman" w:eastAsia="Times New Roman" w:hAnsi="Times New Roman" w:cs="Times New Roman"/>
                <w:sz w:val="20"/>
                <w:szCs w:val="20"/>
                <w:lang w:eastAsia="sk-SK"/>
              </w:rPr>
              <w:tab/>
              <w:t>znížiť administratívnu záťaž zjednodušením procesu registrácie pre oprávnených spotrebiteľov, ktorí sú už registrovaní ako platitelia dane,</w:t>
            </w:r>
          </w:p>
          <w:p w14:paraId="4DFD43C9" w14:textId="77777777" w:rsidR="009F276B" w:rsidRPr="009F276B" w:rsidRDefault="009F276B" w:rsidP="009F276B">
            <w:pPr>
              <w:ind w:left="29"/>
              <w:jc w:val="both"/>
              <w:rPr>
                <w:rFonts w:ascii="Times New Roman" w:eastAsia="Times New Roman" w:hAnsi="Times New Roman" w:cs="Times New Roman"/>
                <w:sz w:val="20"/>
                <w:szCs w:val="20"/>
                <w:lang w:eastAsia="sk-SK"/>
              </w:rPr>
            </w:pPr>
            <w:r w:rsidRPr="009F276B">
              <w:rPr>
                <w:rFonts w:ascii="Times New Roman" w:eastAsia="Times New Roman" w:hAnsi="Times New Roman" w:cs="Times New Roman"/>
                <w:sz w:val="20"/>
                <w:szCs w:val="20"/>
                <w:lang w:eastAsia="sk-SK"/>
              </w:rPr>
              <w:t>-</w:t>
            </w:r>
            <w:r w:rsidRPr="009F276B">
              <w:rPr>
                <w:rFonts w:ascii="Times New Roman" w:eastAsia="Times New Roman" w:hAnsi="Times New Roman" w:cs="Times New Roman"/>
                <w:sz w:val="20"/>
                <w:szCs w:val="20"/>
                <w:lang w:eastAsia="sk-SK"/>
              </w:rPr>
              <w:tab/>
              <w:t>v nadväznosti na elektronizáciu komunikácie medzi jednotlivými subjektmi a správcom dane zrušiť povinnosť preukazovať sa povoleniami a osvedčeniami o registrácii,</w:t>
            </w:r>
          </w:p>
          <w:p w14:paraId="081E576E" w14:textId="77777777" w:rsidR="009F276B" w:rsidRPr="009F276B" w:rsidRDefault="009F276B" w:rsidP="009F276B">
            <w:pPr>
              <w:ind w:left="29"/>
              <w:jc w:val="both"/>
              <w:rPr>
                <w:rFonts w:ascii="Times New Roman" w:eastAsia="Times New Roman" w:hAnsi="Times New Roman" w:cs="Times New Roman"/>
                <w:sz w:val="20"/>
                <w:szCs w:val="20"/>
                <w:lang w:eastAsia="sk-SK"/>
              </w:rPr>
            </w:pPr>
            <w:r w:rsidRPr="009F276B">
              <w:rPr>
                <w:rFonts w:ascii="Times New Roman" w:eastAsia="Times New Roman" w:hAnsi="Times New Roman" w:cs="Times New Roman"/>
                <w:sz w:val="20"/>
                <w:szCs w:val="20"/>
                <w:lang w:eastAsia="sk-SK"/>
              </w:rPr>
              <w:t>-</w:t>
            </w:r>
            <w:r w:rsidRPr="009F276B">
              <w:rPr>
                <w:rFonts w:ascii="Times New Roman" w:eastAsia="Times New Roman" w:hAnsi="Times New Roman" w:cs="Times New Roman"/>
                <w:sz w:val="20"/>
                <w:szCs w:val="20"/>
                <w:lang w:eastAsia="sk-SK"/>
              </w:rPr>
              <w:tab/>
              <w:t>prispôsobiť právnu úpravu zdieľania elektriny aktuálnym trendom v oblasti energetickej politiky,</w:t>
            </w:r>
          </w:p>
          <w:p w14:paraId="0F0CCF89" w14:textId="77777777" w:rsidR="009F276B" w:rsidRDefault="009F276B" w:rsidP="009F276B">
            <w:pPr>
              <w:ind w:left="29"/>
              <w:jc w:val="both"/>
              <w:rPr>
                <w:rFonts w:ascii="Times New Roman" w:eastAsia="Times New Roman" w:hAnsi="Times New Roman" w:cs="Times New Roman"/>
                <w:sz w:val="20"/>
                <w:szCs w:val="20"/>
                <w:lang w:eastAsia="sk-SK"/>
              </w:rPr>
            </w:pPr>
            <w:r w:rsidRPr="009F276B">
              <w:rPr>
                <w:rFonts w:ascii="Times New Roman" w:eastAsia="Times New Roman" w:hAnsi="Times New Roman" w:cs="Times New Roman"/>
                <w:sz w:val="20"/>
                <w:szCs w:val="20"/>
                <w:lang w:eastAsia="sk-SK"/>
              </w:rPr>
              <w:t>-</w:t>
            </w:r>
            <w:r w:rsidRPr="009F276B">
              <w:rPr>
                <w:rFonts w:ascii="Times New Roman" w:eastAsia="Times New Roman" w:hAnsi="Times New Roman" w:cs="Times New Roman"/>
                <w:sz w:val="20"/>
                <w:szCs w:val="20"/>
                <w:lang w:eastAsia="sk-SK"/>
              </w:rPr>
              <w:tab/>
              <w:t>vypustiť osobitné ustanovenie pre stlačený zemný plyn § 39a, pretože súčasne platná smernica Rady 2003/96/ES o reštrukturalizácii právneho rámca spoločenstva pre zdaňovanie energetických výrobkov a elektriny v platnom znení nerozlišuje daňovú diferenciáciu pre stlačený zemný plyn (CNG) a skvapalnený zemný plyn (LNG). Predmetom dane by bol zemný plyn ako taký, a to bez ohľadu na to, či sa ako pohonná látka alebo palivo bude používať v stlačenej forme ako (CNG) alebo v skvapalnenej forme ako (LNG).</w:t>
            </w:r>
          </w:p>
          <w:p w14:paraId="79827390" w14:textId="77777777" w:rsidR="004054F8" w:rsidRPr="00612E08" w:rsidRDefault="004054F8" w:rsidP="009F276B">
            <w:pPr>
              <w:ind w:left="29"/>
              <w:jc w:val="both"/>
              <w:rPr>
                <w:rFonts w:ascii="Times New Roman" w:eastAsia="Times New Roman" w:hAnsi="Times New Roman" w:cs="Times New Roman"/>
                <w:b/>
                <w:sz w:val="20"/>
                <w:szCs w:val="20"/>
                <w:lang w:eastAsia="sk-SK"/>
              </w:rPr>
            </w:pPr>
          </w:p>
        </w:tc>
      </w:tr>
      <w:tr w:rsidR="00612E08" w:rsidRPr="00612E08" w14:paraId="57F4B919" w14:textId="77777777" w:rsidTr="009A347A">
        <w:tc>
          <w:tcPr>
            <w:tcW w:w="9180" w:type="dxa"/>
            <w:gridSpan w:val="11"/>
            <w:tcBorders>
              <w:top w:val="single" w:sz="4" w:space="0" w:color="auto"/>
              <w:left w:val="single" w:sz="4" w:space="0" w:color="auto"/>
              <w:bottom w:val="nil"/>
              <w:right w:val="single" w:sz="4" w:space="0" w:color="auto"/>
            </w:tcBorders>
            <w:shd w:val="clear" w:color="auto" w:fill="E2E2E2"/>
          </w:tcPr>
          <w:p w14:paraId="1A29FDA7"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27401EBC" w14:textId="77777777" w:rsidTr="009A347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26DCE38" w14:textId="77777777" w:rsidR="001B23B7" w:rsidRDefault="001B23B7" w:rsidP="009A347A">
            <w:pPr>
              <w:rPr>
                <w:rFonts w:ascii="Times New Roman" w:eastAsia="Times New Roman" w:hAnsi="Times New Roman" w:cs="Times New Roman"/>
                <w:i/>
                <w:sz w:val="20"/>
                <w:szCs w:val="20"/>
                <w:lang w:eastAsia="sk-SK"/>
              </w:rPr>
            </w:pPr>
          </w:p>
          <w:p w14:paraId="298D27E4" w14:textId="77777777" w:rsidR="00466FEC" w:rsidRPr="00612E08" w:rsidRDefault="0011383E" w:rsidP="00701E08">
            <w:pPr>
              <w:jc w:val="both"/>
              <w:rPr>
                <w:rFonts w:ascii="Times New Roman" w:eastAsia="Times New Roman" w:hAnsi="Times New Roman" w:cs="Times New Roman"/>
                <w:sz w:val="20"/>
                <w:szCs w:val="20"/>
                <w:lang w:eastAsia="sk-SK"/>
              </w:rPr>
            </w:pPr>
            <w:r w:rsidRPr="00295538">
              <w:rPr>
                <w:rFonts w:ascii="Times New Roman" w:eastAsia="Times New Roman" w:hAnsi="Times New Roman" w:cs="Times New Roman"/>
                <w:sz w:val="20"/>
                <w:szCs w:val="20"/>
                <w:lang w:eastAsia="sk-SK"/>
              </w:rPr>
              <w:t>Legislatív</w:t>
            </w:r>
            <w:r>
              <w:rPr>
                <w:rFonts w:ascii="Times New Roman" w:eastAsia="Times New Roman" w:hAnsi="Times New Roman" w:cs="Times New Roman"/>
                <w:sz w:val="20"/>
                <w:szCs w:val="20"/>
                <w:lang w:eastAsia="sk-SK"/>
              </w:rPr>
              <w:t xml:space="preserve">ne úpravy sú zamerané najmä na </w:t>
            </w:r>
            <w:r w:rsidRPr="00295538">
              <w:rPr>
                <w:rFonts w:ascii="Times New Roman" w:eastAsia="Times New Roman" w:hAnsi="Times New Roman" w:cs="Times New Roman"/>
                <w:sz w:val="20"/>
                <w:szCs w:val="20"/>
                <w:lang w:eastAsia="sk-SK"/>
              </w:rPr>
              <w:t>znižovanie administratívnej záťaže</w:t>
            </w:r>
            <w:r>
              <w:rPr>
                <w:rFonts w:ascii="Times New Roman" w:eastAsia="Times New Roman" w:hAnsi="Times New Roman" w:cs="Times New Roman"/>
                <w:sz w:val="20"/>
                <w:szCs w:val="20"/>
                <w:lang w:eastAsia="sk-SK"/>
              </w:rPr>
              <w:t xml:space="preserve"> a zjednodušenie procesu registrácie pre </w:t>
            </w:r>
            <w:r w:rsidRPr="00295538">
              <w:rPr>
                <w:rFonts w:ascii="Times New Roman" w:eastAsia="Times New Roman" w:hAnsi="Times New Roman" w:cs="Times New Roman"/>
                <w:sz w:val="20"/>
                <w:szCs w:val="20"/>
                <w:lang w:eastAsia="sk-SK"/>
              </w:rPr>
              <w:t>oprávnených spotrebiteľov, ktorí sú už registrovaní ako platitelia dane</w:t>
            </w:r>
            <w:r>
              <w:rPr>
                <w:rFonts w:ascii="Times New Roman" w:eastAsia="Times New Roman" w:hAnsi="Times New Roman" w:cs="Times New Roman"/>
                <w:sz w:val="20"/>
                <w:szCs w:val="20"/>
                <w:lang w:eastAsia="sk-SK"/>
              </w:rPr>
              <w:t xml:space="preserve">. V </w:t>
            </w:r>
            <w:r w:rsidRPr="00996E61">
              <w:rPr>
                <w:rFonts w:ascii="Times New Roman" w:eastAsia="Times New Roman" w:hAnsi="Times New Roman" w:cs="Times New Roman"/>
                <w:sz w:val="20"/>
                <w:szCs w:val="20"/>
                <w:lang w:eastAsia="sk-SK"/>
              </w:rPr>
              <w:t xml:space="preserve">nadväznosti </w:t>
            </w:r>
            <w:r w:rsidR="00466FEC">
              <w:rPr>
                <w:rFonts w:ascii="Times New Roman" w:eastAsia="Times New Roman" w:hAnsi="Times New Roman" w:cs="Times New Roman"/>
                <w:sz w:val="20"/>
                <w:szCs w:val="20"/>
                <w:lang w:eastAsia="sk-SK"/>
              </w:rPr>
              <w:br/>
            </w:r>
            <w:r w:rsidRPr="00996E61">
              <w:rPr>
                <w:rFonts w:ascii="Times New Roman" w:eastAsia="Times New Roman" w:hAnsi="Times New Roman" w:cs="Times New Roman"/>
                <w:sz w:val="20"/>
                <w:szCs w:val="20"/>
                <w:lang w:eastAsia="sk-SK"/>
              </w:rPr>
              <w:t xml:space="preserve">na elektronizáciu komunikácie medzi jednotlivými subjektmi a správcom dane </w:t>
            </w:r>
            <w:r>
              <w:rPr>
                <w:rFonts w:ascii="Times New Roman" w:eastAsia="Times New Roman" w:hAnsi="Times New Roman" w:cs="Times New Roman"/>
                <w:sz w:val="20"/>
                <w:szCs w:val="20"/>
                <w:lang w:eastAsia="sk-SK"/>
              </w:rPr>
              <w:t xml:space="preserve">je cieľom </w:t>
            </w:r>
            <w:r w:rsidRPr="00996E61">
              <w:rPr>
                <w:rFonts w:ascii="Times New Roman" w:eastAsia="Times New Roman" w:hAnsi="Times New Roman" w:cs="Times New Roman"/>
                <w:sz w:val="20"/>
                <w:szCs w:val="20"/>
                <w:lang w:eastAsia="sk-SK"/>
              </w:rPr>
              <w:t xml:space="preserve">zrušiť povinnosť preukazovať sa povoleniami a osvedčeniami o registrácii </w:t>
            </w:r>
            <w:r>
              <w:rPr>
                <w:rFonts w:ascii="Times New Roman" w:eastAsia="Times New Roman" w:hAnsi="Times New Roman" w:cs="Times New Roman"/>
                <w:sz w:val="20"/>
                <w:szCs w:val="20"/>
                <w:lang w:eastAsia="sk-SK"/>
              </w:rPr>
              <w:t xml:space="preserve">subjektov. </w:t>
            </w:r>
            <w:r w:rsidR="005071B1">
              <w:rPr>
                <w:rFonts w:ascii="Times New Roman" w:eastAsia="Times New Roman" w:hAnsi="Times New Roman" w:cs="Times New Roman"/>
                <w:sz w:val="20"/>
                <w:szCs w:val="20"/>
                <w:lang w:eastAsia="sk-SK"/>
              </w:rPr>
              <w:t>V</w:t>
            </w:r>
            <w:r w:rsidR="005071B1" w:rsidRPr="005071B1">
              <w:rPr>
                <w:rFonts w:ascii="Times New Roman" w:eastAsia="Times New Roman" w:hAnsi="Times New Roman" w:cs="Times New Roman"/>
                <w:sz w:val="20"/>
                <w:szCs w:val="20"/>
                <w:lang w:eastAsia="sk-SK"/>
              </w:rPr>
              <w:t>ypúšťa sa osobitné ustanovenie pre stlačený zemný plyn (CNG).</w:t>
            </w:r>
          </w:p>
        </w:tc>
      </w:tr>
      <w:tr w:rsidR="00612E08" w:rsidRPr="00612E08" w14:paraId="17D6BDD9" w14:textId="77777777" w:rsidTr="009A347A">
        <w:tc>
          <w:tcPr>
            <w:tcW w:w="9180" w:type="dxa"/>
            <w:gridSpan w:val="11"/>
            <w:tcBorders>
              <w:top w:val="single" w:sz="4" w:space="0" w:color="auto"/>
              <w:left w:val="single" w:sz="4" w:space="0" w:color="auto"/>
              <w:bottom w:val="nil"/>
              <w:right w:val="single" w:sz="4" w:space="0" w:color="auto"/>
            </w:tcBorders>
            <w:shd w:val="clear" w:color="auto" w:fill="E2E2E2"/>
          </w:tcPr>
          <w:p w14:paraId="61E7E205"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559332D0" w14:textId="77777777" w:rsidTr="009A347A">
        <w:tc>
          <w:tcPr>
            <w:tcW w:w="9180" w:type="dxa"/>
            <w:gridSpan w:val="11"/>
            <w:tcBorders>
              <w:top w:val="nil"/>
              <w:left w:val="single" w:sz="4" w:space="0" w:color="auto"/>
              <w:bottom w:val="single" w:sz="4" w:space="0" w:color="auto"/>
              <w:right w:val="single" w:sz="4" w:space="0" w:color="auto"/>
            </w:tcBorders>
            <w:shd w:val="clear" w:color="auto" w:fill="FFFFFF"/>
          </w:tcPr>
          <w:p w14:paraId="243DF41E" w14:textId="77777777" w:rsidR="0011383E" w:rsidRDefault="0011383E" w:rsidP="00837C72">
            <w:pPr>
              <w:jc w:val="both"/>
              <w:rPr>
                <w:rFonts w:ascii="Times New Roman" w:eastAsia="Times New Roman" w:hAnsi="Times New Roman" w:cs="Times New Roman"/>
                <w:sz w:val="20"/>
                <w:szCs w:val="20"/>
                <w:lang w:eastAsia="sk-SK"/>
              </w:rPr>
            </w:pPr>
          </w:p>
          <w:p w14:paraId="77CAE4E8" w14:textId="77777777" w:rsidR="001B23B7" w:rsidRDefault="0011383E" w:rsidP="00837C72">
            <w:pPr>
              <w:jc w:val="both"/>
              <w:rPr>
                <w:rFonts w:ascii="Times New Roman" w:eastAsia="Times New Roman" w:hAnsi="Times New Roman" w:cs="Times New Roman"/>
                <w:iCs/>
                <w:sz w:val="20"/>
                <w:szCs w:val="20"/>
                <w:lang w:eastAsia="sk-SK"/>
              </w:rPr>
            </w:pPr>
            <w:r w:rsidRPr="00B35FB9">
              <w:rPr>
                <w:rFonts w:ascii="Times New Roman" w:eastAsia="Times New Roman" w:hAnsi="Times New Roman" w:cs="Times New Roman"/>
                <w:sz w:val="20"/>
                <w:szCs w:val="20"/>
                <w:lang w:eastAsia="sk-SK"/>
              </w:rPr>
              <w:t xml:space="preserve">Podnikateľské subjekty, ktoré obchodujú s elektrinou, uhlím a zemným plynom podľa zákona č. 609/2007 Z. z. o </w:t>
            </w:r>
            <w:r w:rsidRPr="00B35FB9">
              <w:rPr>
                <w:rFonts w:ascii="Times New Roman" w:eastAsia="Times New Roman" w:hAnsi="Times New Roman" w:cs="Times New Roman"/>
                <w:iCs/>
                <w:sz w:val="20"/>
                <w:szCs w:val="20"/>
                <w:lang w:eastAsia="sk-SK"/>
              </w:rPr>
              <w:t>spotrebnej dani z elektriny, uhlia a zemného plynu v znení neskorších predpisov</w:t>
            </w:r>
            <w:r w:rsidR="00837C72">
              <w:rPr>
                <w:rFonts w:ascii="Times New Roman" w:eastAsia="Times New Roman" w:hAnsi="Times New Roman" w:cs="Times New Roman"/>
                <w:iCs/>
                <w:sz w:val="20"/>
                <w:szCs w:val="20"/>
                <w:lang w:eastAsia="sk-SK"/>
              </w:rPr>
              <w:t>.</w:t>
            </w:r>
            <w:r w:rsidRPr="00B35FB9">
              <w:rPr>
                <w:rFonts w:ascii="Times New Roman" w:eastAsia="Times New Roman" w:hAnsi="Times New Roman" w:cs="Times New Roman"/>
                <w:iCs/>
                <w:sz w:val="20"/>
                <w:szCs w:val="20"/>
                <w:lang w:eastAsia="sk-SK"/>
              </w:rPr>
              <w:t xml:space="preserve"> </w:t>
            </w:r>
          </w:p>
          <w:p w14:paraId="0757FD0B" w14:textId="77777777" w:rsidR="00CF33FE" w:rsidRPr="00612E08" w:rsidRDefault="00CF33FE" w:rsidP="00837C72">
            <w:pPr>
              <w:jc w:val="both"/>
              <w:rPr>
                <w:rFonts w:ascii="Times New Roman" w:eastAsia="Times New Roman" w:hAnsi="Times New Roman" w:cs="Times New Roman"/>
                <w:i/>
                <w:sz w:val="20"/>
                <w:szCs w:val="20"/>
                <w:lang w:eastAsia="sk-SK"/>
              </w:rPr>
            </w:pPr>
          </w:p>
        </w:tc>
      </w:tr>
      <w:tr w:rsidR="00612E08" w:rsidRPr="00612E08" w14:paraId="2C519FBB" w14:textId="77777777" w:rsidTr="009A347A">
        <w:tc>
          <w:tcPr>
            <w:tcW w:w="9180" w:type="dxa"/>
            <w:gridSpan w:val="11"/>
            <w:tcBorders>
              <w:top w:val="single" w:sz="4" w:space="0" w:color="auto"/>
              <w:left w:val="single" w:sz="4" w:space="0" w:color="auto"/>
              <w:bottom w:val="nil"/>
              <w:right w:val="single" w:sz="4" w:space="0" w:color="auto"/>
            </w:tcBorders>
            <w:shd w:val="clear" w:color="auto" w:fill="E2E2E2"/>
          </w:tcPr>
          <w:p w14:paraId="0B1128A9"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0742BB95" w14:textId="77777777" w:rsidTr="00837C72">
        <w:trPr>
          <w:trHeight w:val="718"/>
        </w:trPr>
        <w:tc>
          <w:tcPr>
            <w:tcW w:w="9180" w:type="dxa"/>
            <w:gridSpan w:val="11"/>
            <w:tcBorders>
              <w:top w:val="nil"/>
              <w:left w:val="single" w:sz="4" w:space="0" w:color="auto"/>
              <w:bottom w:val="single" w:sz="4" w:space="0" w:color="auto"/>
              <w:right w:val="single" w:sz="4" w:space="0" w:color="auto"/>
            </w:tcBorders>
            <w:shd w:val="clear" w:color="auto" w:fill="FFFFFF"/>
          </w:tcPr>
          <w:p w14:paraId="52699596" w14:textId="77777777" w:rsidR="00837C72" w:rsidRDefault="00837C72" w:rsidP="00837C72">
            <w:pPr>
              <w:pStyle w:val="Bezriadkovania"/>
              <w:jc w:val="both"/>
              <w:rPr>
                <w:rFonts w:ascii="Times New Roman" w:hAnsi="Times New Roman"/>
                <w:sz w:val="20"/>
                <w:szCs w:val="20"/>
              </w:rPr>
            </w:pPr>
            <w:r w:rsidRPr="00B35FB9">
              <w:rPr>
                <w:rFonts w:ascii="Times New Roman" w:hAnsi="Times New Roman"/>
                <w:sz w:val="20"/>
                <w:szCs w:val="20"/>
                <w:lang w:eastAsia="sk-SK"/>
              </w:rPr>
              <w:t>Možným alternatívnym riešením je zachovanie pôvodného znenia zákona.</w:t>
            </w:r>
            <w:r>
              <w:rPr>
                <w:rFonts w:ascii="Times New Roman" w:hAnsi="Times New Roman"/>
                <w:sz w:val="20"/>
                <w:szCs w:val="20"/>
                <w:lang w:eastAsia="sk-SK"/>
              </w:rPr>
              <w:t xml:space="preserve"> </w:t>
            </w:r>
            <w:r>
              <w:rPr>
                <w:rFonts w:ascii="Times New Roman" w:hAnsi="Times New Roman"/>
                <w:sz w:val="20"/>
                <w:szCs w:val="20"/>
              </w:rPr>
              <w:t xml:space="preserve">Predpokladá sa, že neprijatím </w:t>
            </w:r>
            <w:r w:rsidRPr="00887B80">
              <w:rPr>
                <w:rFonts w:ascii="Times New Roman" w:hAnsi="Times New Roman"/>
                <w:sz w:val="20"/>
                <w:szCs w:val="20"/>
              </w:rPr>
              <w:t xml:space="preserve">návrhu zákona </w:t>
            </w:r>
            <w:r>
              <w:rPr>
                <w:rFonts w:ascii="Times New Roman" w:hAnsi="Times New Roman"/>
                <w:sz w:val="20"/>
                <w:szCs w:val="20"/>
              </w:rPr>
              <w:t>ustanovenia, ktoré sú na základe</w:t>
            </w:r>
            <w:r w:rsidRPr="00B20195">
              <w:rPr>
                <w:rFonts w:ascii="Times New Roman" w:hAnsi="Times New Roman"/>
                <w:sz w:val="20"/>
                <w:szCs w:val="20"/>
              </w:rPr>
              <w:t xml:space="preserve"> poznatkov </w:t>
            </w:r>
            <w:r>
              <w:rPr>
                <w:rFonts w:ascii="Times New Roman" w:hAnsi="Times New Roman"/>
                <w:sz w:val="20"/>
                <w:szCs w:val="20"/>
              </w:rPr>
              <w:t>z aplikačnej praxe problematické, nebudú upravené.</w:t>
            </w:r>
          </w:p>
          <w:p w14:paraId="379C6E5D" w14:textId="77777777" w:rsidR="001B23B7" w:rsidRPr="00612E08" w:rsidRDefault="001B23B7" w:rsidP="009A347A">
            <w:pPr>
              <w:jc w:val="both"/>
              <w:rPr>
                <w:rFonts w:ascii="Times New Roman" w:eastAsia="Times New Roman" w:hAnsi="Times New Roman" w:cs="Times New Roman"/>
                <w:i/>
                <w:sz w:val="20"/>
                <w:szCs w:val="20"/>
                <w:lang w:eastAsia="sk-SK"/>
              </w:rPr>
            </w:pPr>
          </w:p>
        </w:tc>
      </w:tr>
      <w:tr w:rsidR="00612E08" w:rsidRPr="00612E08" w14:paraId="263BCB68" w14:textId="77777777" w:rsidTr="009A34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622F5C8"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Vykonávacie predpisy</w:t>
            </w:r>
          </w:p>
        </w:tc>
      </w:tr>
      <w:tr w:rsidR="00612E08" w:rsidRPr="00612E08" w14:paraId="34C93688" w14:textId="77777777" w:rsidTr="009A347A">
        <w:tc>
          <w:tcPr>
            <w:tcW w:w="6203" w:type="dxa"/>
            <w:gridSpan w:val="7"/>
            <w:tcBorders>
              <w:top w:val="single" w:sz="4" w:space="0" w:color="FFFFFF"/>
              <w:left w:val="single" w:sz="4" w:space="0" w:color="auto"/>
              <w:bottom w:val="nil"/>
              <w:right w:val="nil"/>
            </w:tcBorders>
            <w:shd w:val="clear" w:color="auto" w:fill="FFFFFF"/>
          </w:tcPr>
          <w:p w14:paraId="5EF70EC6" w14:textId="77777777" w:rsidR="001B23B7" w:rsidRPr="00612E08" w:rsidRDefault="00837C72" w:rsidP="009A347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Predpokladá sa prijatie/zmena </w:t>
            </w:r>
            <w:r w:rsidR="001B23B7" w:rsidRPr="00612E08">
              <w:rPr>
                <w:rFonts w:ascii="Times New Roman" w:eastAsia="Times New Roman" w:hAnsi="Times New Roman" w:cs="Times New Roman"/>
                <w:i/>
                <w:sz w:val="20"/>
                <w:szCs w:val="20"/>
                <w:lang w:eastAsia="sk-SK"/>
              </w:rPr>
              <w:t>vykonávacích predpisov?</w:t>
            </w:r>
          </w:p>
        </w:tc>
        <w:tc>
          <w:tcPr>
            <w:tcW w:w="1417" w:type="dxa"/>
            <w:gridSpan w:val="2"/>
            <w:tcBorders>
              <w:top w:val="single" w:sz="4" w:space="0" w:color="FFFFFF"/>
              <w:left w:val="nil"/>
              <w:bottom w:val="nil"/>
              <w:right w:val="nil"/>
            </w:tcBorders>
            <w:shd w:val="clear" w:color="auto" w:fill="FFFFFF"/>
          </w:tcPr>
          <w:p w14:paraId="46FEB266" w14:textId="77777777" w:rsidR="001B23B7" w:rsidRPr="00612E08" w:rsidRDefault="00FD1244" w:rsidP="009A347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40EBF2F" w14:textId="77777777" w:rsidR="001B23B7" w:rsidRPr="00612E08" w:rsidRDefault="00FD1244"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4054F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5EFFC421" w14:textId="77777777" w:rsidTr="009A347A">
        <w:tc>
          <w:tcPr>
            <w:tcW w:w="9180" w:type="dxa"/>
            <w:gridSpan w:val="11"/>
            <w:tcBorders>
              <w:top w:val="nil"/>
              <w:left w:val="single" w:sz="4" w:space="0" w:color="auto"/>
              <w:bottom w:val="single" w:sz="4" w:space="0" w:color="auto"/>
              <w:right w:val="single" w:sz="4" w:space="0" w:color="auto"/>
            </w:tcBorders>
            <w:shd w:val="clear" w:color="auto" w:fill="FFFFFF"/>
          </w:tcPr>
          <w:p w14:paraId="263DCBAF" w14:textId="77777777" w:rsidR="001B23B7" w:rsidRPr="00612E08" w:rsidRDefault="001B23B7" w:rsidP="009A347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2BBBCEF8" w14:textId="77777777" w:rsidR="001B23B7" w:rsidRPr="00612E08" w:rsidRDefault="001B23B7" w:rsidP="009A347A">
            <w:pPr>
              <w:rPr>
                <w:rFonts w:ascii="Times New Roman" w:eastAsia="Times New Roman" w:hAnsi="Times New Roman" w:cs="Times New Roman"/>
                <w:sz w:val="20"/>
                <w:szCs w:val="20"/>
                <w:lang w:eastAsia="sk-SK"/>
              </w:rPr>
            </w:pPr>
          </w:p>
        </w:tc>
      </w:tr>
      <w:tr w:rsidR="00612E08" w:rsidRPr="00612E08" w14:paraId="3AE2BE58" w14:textId="77777777" w:rsidTr="009A34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513FD22"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119DD993" w14:textId="77777777" w:rsidTr="009A347A">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346F9371" w14:textId="77777777">
              <w:trPr>
                <w:trHeight w:val="90"/>
              </w:trPr>
              <w:tc>
                <w:tcPr>
                  <w:tcW w:w="8643" w:type="dxa"/>
                </w:tcPr>
                <w:p w14:paraId="27AD0A44" w14:textId="77777777"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14:paraId="10524491" w14:textId="77777777">
              <w:trPr>
                <w:trHeight w:val="296"/>
              </w:trPr>
              <w:tc>
                <w:tcPr>
                  <w:tcW w:w="8643" w:type="dxa"/>
                </w:tcPr>
                <w:p w14:paraId="37782D7E" w14:textId="77777777"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837C72">
                        <w:rPr>
                          <w:rFonts w:ascii="MS Gothic" w:eastAsia="MS Gothic" w:hAnsi="MS Gothic" w:hint="eastAsia"/>
                          <w:b/>
                          <w:iCs/>
                          <w:color w:val="auto"/>
                          <w:sz w:val="20"/>
                          <w:szCs w:val="20"/>
                        </w:rPr>
                        <w:t>☒</w:t>
                      </w:r>
                    </w:sdtContent>
                  </w:sdt>
                  <w:r w:rsidRPr="00612E08">
                    <w:rPr>
                      <w:b/>
                      <w:iCs/>
                      <w:color w:val="auto"/>
                      <w:sz w:val="20"/>
                      <w:szCs w:val="20"/>
                    </w:rPr>
                    <w:t xml:space="preserve"> Nie</w:t>
                  </w:r>
                </w:p>
                <w:p w14:paraId="187613A4" w14:textId="77777777" w:rsidR="00A7788F" w:rsidRPr="00612E08" w:rsidRDefault="00A7788F" w:rsidP="00A7788F">
                  <w:pPr>
                    <w:pStyle w:val="Default"/>
                    <w:rPr>
                      <w:i/>
                      <w:iCs/>
                      <w:color w:val="auto"/>
                      <w:sz w:val="20"/>
                      <w:szCs w:val="20"/>
                    </w:rPr>
                  </w:pPr>
                </w:p>
                <w:p w14:paraId="04DC3E64"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14:paraId="5EFB5E13" w14:textId="77777777">
              <w:trPr>
                <w:trHeight w:val="296"/>
              </w:trPr>
              <w:tc>
                <w:tcPr>
                  <w:tcW w:w="8643" w:type="dxa"/>
                </w:tcPr>
                <w:p w14:paraId="3F1D3808" w14:textId="77777777" w:rsidR="00A7788F" w:rsidRPr="00612E08" w:rsidRDefault="00A7788F" w:rsidP="00A7788F">
                  <w:pPr>
                    <w:pStyle w:val="Default"/>
                    <w:rPr>
                      <w:rFonts w:ascii="Segoe UI Symbol" w:hAnsi="Segoe UI Symbol" w:cs="Segoe UI Symbol"/>
                      <w:color w:val="auto"/>
                      <w:sz w:val="20"/>
                      <w:szCs w:val="20"/>
                    </w:rPr>
                  </w:pPr>
                </w:p>
              </w:tc>
            </w:tr>
          </w:tbl>
          <w:p w14:paraId="6C54F091" w14:textId="77777777" w:rsidR="001B23B7" w:rsidRPr="00612E08" w:rsidRDefault="001B23B7" w:rsidP="009A347A">
            <w:pPr>
              <w:jc w:val="both"/>
              <w:rPr>
                <w:rFonts w:ascii="Times New Roman" w:eastAsia="Times New Roman" w:hAnsi="Times New Roman" w:cs="Times New Roman"/>
                <w:i/>
                <w:sz w:val="20"/>
                <w:szCs w:val="20"/>
                <w:lang w:eastAsia="sk-SK"/>
              </w:rPr>
            </w:pPr>
          </w:p>
        </w:tc>
      </w:tr>
      <w:tr w:rsidR="00612E08" w:rsidRPr="00612E08" w14:paraId="628F87CA" w14:textId="77777777" w:rsidTr="009A347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FB08948" w14:textId="77777777" w:rsidR="001B23B7" w:rsidRPr="00612E08" w:rsidRDefault="001B23B7" w:rsidP="00CF33FE">
            <w:pPr>
              <w:rPr>
                <w:rFonts w:ascii="Times New Roman" w:eastAsia="Times New Roman" w:hAnsi="Times New Roman" w:cs="Times New Roman"/>
                <w:sz w:val="20"/>
                <w:szCs w:val="20"/>
                <w:lang w:eastAsia="sk-SK"/>
              </w:rPr>
            </w:pPr>
          </w:p>
        </w:tc>
      </w:tr>
      <w:tr w:rsidR="00612E08" w:rsidRPr="00612E08" w14:paraId="754500E4" w14:textId="77777777" w:rsidTr="009A34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7593B4E"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52FF664F" w14:textId="77777777" w:rsidTr="009A347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34017B2" w14:textId="77777777" w:rsidR="009F276B" w:rsidRPr="00003543" w:rsidRDefault="000C1B34" w:rsidP="00803DDA">
            <w:pPr>
              <w:jc w:val="both"/>
              <w:rPr>
                <w:sz w:val="20"/>
                <w:szCs w:val="20"/>
              </w:rPr>
            </w:pPr>
            <w:r w:rsidRPr="00BE3357">
              <w:rPr>
                <w:rFonts w:ascii="Times New Roman" w:hAnsi="Times New Roman" w:cs="Times New Roman"/>
                <w:sz w:val="20"/>
                <w:szCs w:val="20"/>
                <w:lang w:eastAsia="sk-SK"/>
              </w:rPr>
              <w:t>Vzhľadom na nedostupnosť údajov nie je možné určiť dátum preskúmania účelnosti.</w:t>
            </w:r>
            <w:r>
              <w:rPr>
                <w:rFonts w:ascii="Times New Roman" w:hAnsi="Times New Roman" w:cs="Times New Roman"/>
                <w:sz w:val="20"/>
                <w:szCs w:val="20"/>
                <w:lang w:eastAsia="sk-SK"/>
              </w:rPr>
              <w:t xml:space="preserve"> </w:t>
            </w:r>
            <w:r w:rsidR="009F276B" w:rsidRPr="00003543">
              <w:rPr>
                <w:rFonts w:ascii="Times New Roman" w:hAnsi="Times New Roman" w:cs="Times New Roman"/>
                <w:sz w:val="20"/>
                <w:szCs w:val="20"/>
                <w:lang w:eastAsia="sk-SK"/>
              </w:rPr>
              <w:t>Ministerstvo financií Slovenskej republiky preskúma účelnosť návrhu zákona na základe podnetov orgánov finančnej správy vykonávajúcich správu daní</w:t>
            </w:r>
            <w:r w:rsidR="002D7D80">
              <w:rPr>
                <w:rFonts w:ascii="Times New Roman" w:hAnsi="Times New Roman"/>
                <w:sz w:val="20"/>
                <w:szCs w:val="20"/>
                <w:lang w:eastAsia="sk-SK"/>
              </w:rPr>
              <w:t xml:space="preserve"> </w:t>
            </w:r>
            <w:r w:rsidR="009F276B" w:rsidRPr="00003543">
              <w:rPr>
                <w:rFonts w:ascii="Times New Roman" w:hAnsi="Times New Roman" w:cs="Times New Roman"/>
                <w:sz w:val="20"/>
                <w:szCs w:val="20"/>
                <w:lang w:eastAsia="sk-SK"/>
              </w:rPr>
              <w:t>a na základe podnetov subjektov podnikajúcich v energetike v súlade s bodom 10. Jednotnej metodiky na posudzovanie vybraných vplyvov (Ex post hodnotenie).</w:t>
            </w:r>
          </w:p>
          <w:p w14:paraId="7CDA0504" w14:textId="77777777" w:rsidR="00837C72" w:rsidRPr="00612E08" w:rsidRDefault="00837C72" w:rsidP="00837C72">
            <w:pPr>
              <w:rPr>
                <w:rFonts w:ascii="Times New Roman" w:eastAsia="Times New Roman" w:hAnsi="Times New Roman" w:cs="Times New Roman"/>
                <w:i/>
                <w:sz w:val="20"/>
                <w:szCs w:val="20"/>
                <w:lang w:eastAsia="sk-SK"/>
              </w:rPr>
            </w:pPr>
          </w:p>
        </w:tc>
      </w:tr>
      <w:tr w:rsidR="00612E08" w:rsidRPr="00612E08" w14:paraId="21E811E6" w14:textId="77777777" w:rsidTr="009A347A">
        <w:tc>
          <w:tcPr>
            <w:tcW w:w="9180" w:type="dxa"/>
            <w:gridSpan w:val="11"/>
            <w:tcBorders>
              <w:top w:val="nil"/>
              <w:left w:val="nil"/>
              <w:bottom w:val="single" w:sz="4" w:space="0" w:color="auto"/>
              <w:right w:val="nil"/>
            </w:tcBorders>
            <w:shd w:val="clear" w:color="auto" w:fill="FFFFFF"/>
          </w:tcPr>
          <w:p w14:paraId="2B04C848" w14:textId="77777777" w:rsidR="001B23B7" w:rsidRPr="00612E08" w:rsidRDefault="001B23B7" w:rsidP="00A7788F">
            <w:pPr>
              <w:jc w:val="both"/>
              <w:rPr>
                <w:rFonts w:ascii="Times New Roman" w:eastAsia="Times New Roman" w:hAnsi="Times New Roman" w:cs="Times New Roman"/>
                <w:b/>
                <w:sz w:val="20"/>
                <w:szCs w:val="20"/>
                <w:lang w:eastAsia="sk-SK"/>
              </w:rPr>
            </w:pPr>
          </w:p>
          <w:p w14:paraId="718434FD"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7F1CF02"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129F7EBC"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0BCDA148" w14:textId="77777777" w:rsidR="004C6831" w:rsidRPr="00612E08" w:rsidRDefault="004C6831" w:rsidP="00A7788F">
            <w:pPr>
              <w:jc w:val="both"/>
              <w:rPr>
                <w:rFonts w:ascii="Times New Roman" w:eastAsia="Times New Roman" w:hAnsi="Times New Roman" w:cs="Times New Roman"/>
                <w:sz w:val="20"/>
                <w:szCs w:val="20"/>
                <w:lang w:eastAsia="sk-SK"/>
              </w:rPr>
            </w:pPr>
          </w:p>
          <w:p w14:paraId="6AB0F65C"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1EF8D535"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F035C4D"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214D97AF"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4B1826EC" w14:textId="77777777" w:rsidR="001B23B7" w:rsidRPr="00612E08" w:rsidRDefault="001B23B7" w:rsidP="009A34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89A0F50" w14:textId="77777777" w:rsidR="001B23B7" w:rsidRPr="00612E08" w:rsidRDefault="00A03B05" w:rsidP="009A34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94A5943" w14:textId="77777777" w:rsidR="001B23B7" w:rsidRPr="00612E08" w:rsidRDefault="001B23B7" w:rsidP="009A34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44F3A14" w14:textId="77777777" w:rsidR="001B23B7" w:rsidRPr="00612E08" w:rsidRDefault="00C05873" w:rsidP="009A34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E73E9D5" w14:textId="77777777" w:rsidR="001B23B7" w:rsidRPr="00612E08" w:rsidRDefault="001B23B7" w:rsidP="009A34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FDE5EAE" w14:textId="77777777" w:rsidR="001B23B7" w:rsidRPr="00612E08" w:rsidRDefault="00C05873" w:rsidP="009A347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0E30BF0" w14:textId="77777777" w:rsidR="001B23B7" w:rsidRPr="00612E08" w:rsidRDefault="001B23B7" w:rsidP="009A347A">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B60F130" w14:textId="77777777" w:rsidTr="004C6831">
        <w:tc>
          <w:tcPr>
            <w:tcW w:w="3812" w:type="dxa"/>
            <w:tcBorders>
              <w:top w:val="nil"/>
              <w:left w:val="single" w:sz="4" w:space="0" w:color="auto"/>
              <w:bottom w:val="nil"/>
              <w:right w:val="single" w:sz="4" w:space="0" w:color="auto"/>
            </w:tcBorders>
            <w:shd w:val="clear" w:color="auto" w:fill="E2E2E2"/>
          </w:tcPr>
          <w:p w14:paraId="38C0CF78"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57E40B17"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628A6771"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2AF3E14" w14:textId="77777777" w:rsidR="001B23B7" w:rsidRPr="00612E08" w:rsidRDefault="00C0587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7ED71E9"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B37E02B" w14:textId="77777777"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99FBA5F"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FBDA5F3"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9945A81"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4DF97126" w14:textId="77777777" w:rsidTr="004C6831">
        <w:tc>
          <w:tcPr>
            <w:tcW w:w="3812" w:type="dxa"/>
            <w:tcBorders>
              <w:top w:val="nil"/>
              <w:left w:val="single" w:sz="4" w:space="0" w:color="auto"/>
              <w:bottom w:val="nil"/>
              <w:right w:val="single" w:sz="4" w:space="0" w:color="auto"/>
            </w:tcBorders>
            <w:shd w:val="clear" w:color="auto" w:fill="E2E2E2"/>
          </w:tcPr>
          <w:p w14:paraId="41118E9C"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998DE26"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88F2BB9"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78D42D5" w14:textId="77777777" w:rsidR="003145AE" w:rsidRPr="00612E08" w:rsidRDefault="00C05873"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149AB10"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12345BCF"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DB2C340"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1359ABD"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7576A53B"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63ADADE2"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8F4B535"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ED880A0"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2CB7A2D" w14:textId="77777777" w:rsidR="003145AE" w:rsidRPr="00612E08" w:rsidRDefault="0094189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31AFA85"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D09A8EB"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6A208BB"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220CE5B2"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07E3653" w14:textId="77777777" w:rsidR="00A7788F" w:rsidRPr="00612E08" w:rsidRDefault="00A7788F" w:rsidP="009A347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4F6FD0B" w14:textId="77777777" w:rsidR="00A7788F" w:rsidRPr="00612E08" w:rsidRDefault="00CD6E04" w:rsidP="009A34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256889A" w14:textId="77777777" w:rsidR="00A7788F" w:rsidRPr="00612E08" w:rsidRDefault="00A7788F" w:rsidP="009A34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CC37494" w14:textId="77777777" w:rsidR="00A7788F" w:rsidRPr="00612E08" w:rsidRDefault="00A7788F" w:rsidP="009A347A">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715C3CB0" w14:textId="77777777" w:rsidR="00A7788F" w:rsidRPr="00612E08" w:rsidRDefault="00A7788F" w:rsidP="009A34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A910D91" w14:textId="77777777" w:rsidR="00A7788F" w:rsidRPr="00612E08" w:rsidRDefault="00187182" w:rsidP="009A34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9C26797" w14:textId="77777777" w:rsidR="00A7788F" w:rsidRPr="00612E08" w:rsidRDefault="00A7788F" w:rsidP="009A34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2D7695F"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3D4AF56"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1574FA1"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D96C814"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5C867304" w14:textId="77777777" w:rsidR="007F587A" w:rsidRPr="00612E08" w:rsidRDefault="00466FEC"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CF752CC"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73016A1" w14:textId="77777777" w:rsidR="007F587A" w:rsidRPr="00612E08" w:rsidRDefault="00466FEC"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AE0F301"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91F6CF0"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3CF22CA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1A856B7" w14:textId="77777777" w:rsidR="007F587A" w:rsidRPr="00612E08" w:rsidRDefault="002A0B2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21385F8"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2074C9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D1314D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013C5A9" w14:textId="77777777" w:rsidR="007F587A" w:rsidRPr="00612E08" w:rsidRDefault="002A0B2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192D5C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CDD3DDA" w14:textId="77777777" w:rsidTr="00203EE3">
        <w:tc>
          <w:tcPr>
            <w:tcW w:w="3812" w:type="dxa"/>
            <w:tcBorders>
              <w:top w:val="nil"/>
              <w:left w:val="single" w:sz="4" w:space="0" w:color="000000"/>
              <w:bottom w:val="nil"/>
              <w:right w:val="single" w:sz="4" w:space="0" w:color="000000"/>
            </w:tcBorders>
            <w:shd w:val="clear" w:color="auto" w:fill="E2E2E2"/>
          </w:tcPr>
          <w:p w14:paraId="05A2F787"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57FE9C55"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DC03BC0"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2C10A8B"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2BE4F83"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9FD2656"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FB4919A"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D428B0D"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0785BE0A"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6E9A9CA6"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3C787EF2"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5AAE074" w14:textId="77777777" w:rsidR="007F587A" w:rsidRPr="00612E08" w:rsidRDefault="00F50E6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3771BA7A"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10BA95F"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76D6D30"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C02B5D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F05AB34"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B05272" w14:paraId="584C402D"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30D8386F" w14:textId="77777777" w:rsidR="007F587A" w:rsidRPr="009F276B" w:rsidRDefault="007F587A" w:rsidP="007F587A">
            <w:pPr>
              <w:rPr>
                <w:rFonts w:ascii="Times New Roman" w:eastAsia="Times New Roman" w:hAnsi="Times New Roman" w:cs="Times New Roman"/>
                <w:b/>
                <w:sz w:val="20"/>
                <w:szCs w:val="20"/>
                <w:lang w:eastAsia="sk-SK"/>
              </w:rPr>
            </w:pPr>
            <w:r w:rsidRPr="009F276B">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1F9DA01" w14:textId="77777777" w:rsidR="007F587A" w:rsidRPr="009F276B" w:rsidRDefault="009F276B" w:rsidP="007F587A">
                <w:pPr>
                  <w:jc w:val="center"/>
                  <w:rPr>
                    <w:rFonts w:ascii="Times New Roman" w:eastAsia="Times New Roman" w:hAnsi="Times New Roman" w:cs="Times New Roman"/>
                    <w:b/>
                    <w:sz w:val="20"/>
                    <w:szCs w:val="20"/>
                    <w:lang w:eastAsia="sk-SK"/>
                  </w:rPr>
                </w:pPr>
                <w:r w:rsidRPr="009F276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92D56D8" w14:textId="77777777" w:rsidR="007F587A" w:rsidRPr="009F276B" w:rsidRDefault="007F587A" w:rsidP="007F587A">
            <w:pPr>
              <w:ind w:right="-108"/>
              <w:rPr>
                <w:rFonts w:ascii="Times New Roman" w:eastAsia="Times New Roman" w:hAnsi="Times New Roman" w:cs="Times New Roman"/>
                <w:b/>
                <w:sz w:val="20"/>
                <w:szCs w:val="20"/>
                <w:lang w:eastAsia="sk-SK"/>
              </w:rPr>
            </w:pPr>
            <w:r w:rsidRPr="009F276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B696752" w14:textId="77777777" w:rsidR="007F587A" w:rsidRPr="009F276B" w:rsidRDefault="00B05272" w:rsidP="007F587A">
                <w:pPr>
                  <w:jc w:val="center"/>
                  <w:rPr>
                    <w:rFonts w:ascii="Times New Roman" w:eastAsia="Times New Roman" w:hAnsi="Times New Roman" w:cs="Times New Roman"/>
                    <w:b/>
                    <w:sz w:val="20"/>
                    <w:szCs w:val="20"/>
                    <w:lang w:eastAsia="sk-SK"/>
                  </w:rPr>
                </w:pPr>
                <w:r w:rsidRPr="009F276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5ADA03D" w14:textId="77777777" w:rsidR="007F587A" w:rsidRPr="009F276B" w:rsidRDefault="007F587A" w:rsidP="007F587A">
            <w:pPr>
              <w:rPr>
                <w:rFonts w:ascii="Times New Roman" w:eastAsia="Times New Roman" w:hAnsi="Times New Roman" w:cs="Times New Roman"/>
                <w:b/>
                <w:sz w:val="20"/>
                <w:szCs w:val="20"/>
                <w:lang w:eastAsia="sk-SK"/>
              </w:rPr>
            </w:pPr>
            <w:r w:rsidRPr="009F276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0E909EB" w14:textId="77777777" w:rsidR="007F587A" w:rsidRPr="009F276B" w:rsidRDefault="009F276B" w:rsidP="007F587A">
                <w:pPr>
                  <w:jc w:val="center"/>
                  <w:rPr>
                    <w:rFonts w:ascii="Times New Roman" w:eastAsia="Times New Roman" w:hAnsi="Times New Roman" w:cs="Times New Roman"/>
                    <w:b/>
                    <w:sz w:val="20"/>
                    <w:szCs w:val="20"/>
                    <w:lang w:eastAsia="sk-SK"/>
                  </w:rPr>
                </w:pPr>
                <w:r w:rsidRPr="009F276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72E5A55" w14:textId="77777777" w:rsidR="007F587A" w:rsidRPr="009F276B" w:rsidRDefault="007F587A" w:rsidP="007F587A">
            <w:pPr>
              <w:ind w:left="54"/>
              <w:rPr>
                <w:rFonts w:ascii="Times New Roman" w:eastAsia="Times New Roman" w:hAnsi="Times New Roman" w:cs="Times New Roman"/>
                <w:b/>
                <w:sz w:val="20"/>
                <w:szCs w:val="20"/>
                <w:lang w:eastAsia="sk-SK"/>
              </w:rPr>
            </w:pPr>
            <w:r w:rsidRPr="009F276B">
              <w:rPr>
                <w:rFonts w:ascii="Times New Roman" w:eastAsia="Times New Roman" w:hAnsi="Times New Roman" w:cs="Times New Roman"/>
                <w:b/>
                <w:sz w:val="20"/>
                <w:szCs w:val="20"/>
                <w:lang w:eastAsia="sk-SK"/>
              </w:rPr>
              <w:t>Negatívne</w:t>
            </w:r>
          </w:p>
        </w:tc>
      </w:tr>
      <w:tr w:rsidR="00612E08" w:rsidRPr="00612E08" w14:paraId="029AF20B"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0046DB4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95655CF"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026B015"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73DDB3D" w14:textId="77777777" w:rsidR="007F587A" w:rsidRPr="00612E08" w:rsidRDefault="002A0B2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B10833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3857B9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2E4123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DDD5E65"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0D44365D" w14:textId="77777777" w:rsidR="007F587A" w:rsidRPr="00612E08" w:rsidRDefault="007F587A" w:rsidP="007F587A">
            <w:pPr>
              <w:rPr>
                <w:rFonts w:ascii="Times New Roman" w:eastAsia="Times New Roman" w:hAnsi="Times New Roman" w:cs="Times New Roman"/>
                <w:sz w:val="20"/>
                <w:szCs w:val="20"/>
                <w:lang w:eastAsia="sk-SK"/>
              </w:rPr>
            </w:pPr>
          </w:p>
          <w:p w14:paraId="0CE65843"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BD4C351"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C56054A"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B15A9E4"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9239102"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47EB2E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BA1EBBB"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4BFCA58A"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007B0D1B"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BB27212" w14:textId="77777777" w:rsidR="007F587A" w:rsidRPr="00612E08" w:rsidRDefault="002A0B2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7CEC4ED"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26599C5"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EC8D84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A1F1BF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07A7D0E" w14:textId="77777777" w:rsidR="007F587A"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p w14:paraId="346D7968" w14:textId="77777777" w:rsidR="00CF33FE" w:rsidRDefault="00CF33FE" w:rsidP="007F587A">
            <w:pPr>
              <w:ind w:left="54"/>
              <w:rPr>
                <w:rFonts w:ascii="Times New Roman" w:eastAsia="Times New Roman" w:hAnsi="Times New Roman" w:cs="Times New Roman"/>
                <w:b/>
                <w:sz w:val="20"/>
                <w:szCs w:val="20"/>
                <w:lang w:eastAsia="sk-SK"/>
              </w:rPr>
            </w:pPr>
          </w:p>
          <w:p w14:paraId="16801D9C" w14:textId="77777777" w:rsidR="00CF33FE" w:rsidRPr="00612E08" w:rsidRDefault="00CF33FE" w:rsidP="007F587A">
            <w:pPr>
              <w:ind w:left="54"/>
              <w:rPr>
                <w:rFonts w:ascii="Times New Roman" w:eastAsia="Times New Roman" w:hAnsi="Times New Roman" w:cs="Times New Roman"/>
                <w:b/>
                <w:sz w:val="20"/>
                <w:szCs w:val="20"/>
                <w:lang w:eastAsia="sk-SK"/>
              </w:rPr>
            </w:pP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32EEECC6"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36677DFE" w14:textId="77777777" w:rsidR="000F2BE9" w:rsidRPr="00612E08" w:rsidRDefault="000F2BE9" w:rsidP="009A347A">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lastRenderedPageBreak/>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3B595177" w14:textId="77777777" w:rsidR="000F2BE9" w:rsidRPr="00612E08" w:rsidRDefault="000F2BE9" w:rsidP="009A347A">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C97140D" w14:textId="77777777" w:rsidR="000F2BE9" w:rsidRPr="00612E08" w:rsidRDefault="000F2BE9" w:rsidP="009A347A">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AE91E0C" w14:textId="77777777" w:rsidR="000F2BE9" w:rsidRPr="00612E08" w:rsidRDefault="000F2BE9" w:rsidP="009A347A">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C329EC7" w14:textId="77777777" w:rsidR="000F2BE9" w:rsidRPr="00612E08" w:rsidRDefault="000F2BE9" w:rsidP="009A347A">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D023234" w14:textId="77777777" w:rsidR="000F2BE9" w:rsidRPr="00612E08" w:rsidRDefault="000F2BE9" w:rsidP="009A347A">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84CBCAB" w14:textId="77777777" w:rsidR="000F2BE9" w:rsidRPr="00612E08" w:rsidRDefault="000F2BE9" w:rsidP="009A347A">
            <w:pPr>
              <w:spacing w:after="0" w:line="240" w:lineRule="auto"/>
              <w:ind w:left="54"/>
              <w:rPr>
                <w:rFonts w:ascii="Times New Roman" w:eastAsia="Times New Roman" w:hAnsi="Times New Roman" w:cs="Times New Roman"/>
                <w:b/>
                <w:sz w:val="20"/>
                <w:szCs w:val="20"/>
                <w:lang w:eastAsia="sk-SK"/>
              </w:rPr>
            </w:pPr>
          </w:p>
        </w:tc>
      </w:tr>
      <w:tr w:rsidR="00612E08" w:rsidRPr="00612E08" w14:paraId="0F11E63A" w14:textId="77777777" w:rsidTr="00B547F5">
        <w:tc>
          <w:tcPr>
            <w:tcW w:w="3812" w:type="dxa"/>
            <w:tcBorders>
              <w:top w:val="nil"/>
              <w:left w:val="single" w:sz="4" w:space="0" w:color="auto"/>
              <w:bottom w:val="nil"/>
              <w:right w:val="single" w:sz="4" w:space="0" w:color="auto"/>
            </w:tcBorders>
            <w:shd w:val="clear" w:color="auto" w:fill="E2E2E2"/>
          </w:tcPr>
          <w:p w14:paraId="12FE3D20" w14:textId="77777777" w:rsidR="000F2BE9" w:rsidRPr="00612E08" w:rsidRDefault="000F2BE9" w:rsidP="009A347A">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E7BBC4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BF1FC54"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D69FFDF" w14:textId="77777777" w:rsidR="000F2BE9" w:rsidRPr="00612E08" w:rsidRDefault="002A0B2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68A1AA6"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B2D504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46CDAC6"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40D30C9" w14:textId="77777777" w:rsidTr="00B547F5">
        <w:tc>
          <w:tcPr>
            <w:tcW w:w="3812" w:type="dxa"/>
            <w:tcBorders>
              <w:top w:val="nil"/>
              <w:left w:val="single" w:sz="4" w:space="0" w:color="auto"/>
              <w:bottom w:val="nil"/>
              <w:right w:val="single" w:sz="4" w:space="0" w:color="auto"/>
            </w:tcBorders>
            <w:shd w:val="clear" w:color="auto" w:fill="E2E2E2"/>
          </w:tcPr>
          <w:p w14:paraId="3CBA0222" w14:textId="77777777" w:rsidR="000F2BE9" w:rsidRPr="00612E08" w:rsidRDefault="000F2BE9" w:rsidP="009A347A">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6F09BA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78F620E"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72B18282" w14:textId="77777777" w:rsidR="000F2BE9" w:rsidRPr="00612E08" w:rsidRDefault="002A0B2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EE8A3C0"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DDEAD3A"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2A877EA"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39F70895"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191574A0" w14:textId="77777777" w:rsidR="00A340BB" w:rsidRPr="00612E08" w:rsidRDefault="00A340BB" w:rsidP="009A34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727DD4A"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F613E70"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0A557BB" w14:textId="77777777" w:rsidR="00A340BB" w:rsidRPr="00612E08" w:rsidRDefault="002A0B2D"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2238350"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77180DB"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86947DF"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55111C69"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05267732" w14:textId="77777777" w:rsidTr="009A347A">
        <w:tc>
          <w:tcPr>
            <w:tcW w:w="9176" w:type="dxa"/>
            <w:tcBorders>
              <w:top w:val="single" w:sz="4" w:space="0" w:color="auto"/>
              <w:left w:val="single" w:sz="4" w:space="0" w:color="auto"/>
              <w:bottom w:val="nil"/>
              <w:right w:val="single" w:sz="4" w:space="0" w:color="auto"/>
            </w:tcBorders>
            <w:shd w:val="clear" w:color="auto" w:fill="E2E2E2"/>
          </w:tcPr>
          <w:p w14:paraId="0C7BD1A6"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28265FE7" w14:textId="77777777" w:rsidTr="009A347A">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FB75AE2" w14:textId="77777777" w:rsidR="001B23B7" w:rsidRPr="003260EE" w:rsidRDefault="00F92E7F" w:rsidP="006F38FE">
            <w:pPr>
              <w:jc w:val="both"/>
              <w:rPr>
                <w:rFonts w:ascii="Times New Roman" w:eastAsia="Times New Roman" w:hAnsi="Times New Roman" w:cs="Times New Roman"/>
                <w:sz w:val="20"/>
                <w:szCs w:val="20"/>
                <w:lang w:eastAsia="sk-SK"/>
              </w:rPr>
            </w:pPr>
            <w:r w:rsidRPr="00F92E7F">
              <w:rPr>
                <w:rFonts w:ascii="Times New Roman" w:eastAsia="Times New Roman" w:hAnsi="Times New Roman" w:cs="Times New Roman"/>
                <w:sz w:val="20"/>
                <w:szCs w:val="20"/>
                <w:lang w:eastAsia="sk-SK"/>
              </w:rPr>
              <w:t xml:space="preserve">Verejnosť bola o príprave návrhu zákona informovaná prostredníctvom predbežnej informácie zverejnenej </w:t>
            </w:r>
            <w:r w:rsidR="00466FEC">
              <w:rPr>
                <w:rFonts w:ascii="Times New Roman" w:eastAsia="Times New Roman" w:hAnsi="Times New Roman" w:cs="Times New Roman"/>
                <w:sz w:val="20"/>
                <w:szCs w:val="20"/>
                <w:lang w:eastAsia="sk-SK"/>
              </w:rPr>
              <w:br/>
            </w:r>
            <w:r w:rsidRPr="00F92E7F">
              <w:rPr>
                <w:rFonts w:ascii="Times New Roman" w:eastAsia="Times New Roman" w:hAnsi="Times New Roman" w:cs="Times New Roman"/>
                <w:sz w:val="20"/>
                <w:szCs w:val="20"/>
                <w:lang w:eastAsia="sk-SK"/>
              </w:rPr>
              <w:t>v informačnom systéme verejnej správy Slov-Lex (PI/2020/34) od 28. februára 2020 do 16. marca 2020.</w:t>
            </w:r>
            <w:r w:rsidR="003260EE">
              <w:rPr>
                <w:rFonts w:ascii="Times New Roman" w:eastAsia="Times New Roman" w:hAnsi="Times New Roman" w:cs="Times New Roman"/>
                <w:sz w:val="20"/>
                <w:szCs w:val="20"/>
                <w:lang w:eastAsia="sk-SK"/>
              </w:rPr>
              <w:t xml:space="preserve"> </w:t>
            </w:r>
            <w:r w:rsidR="006F38FE">
              <w:rPr>
                <w:rFonts w:ascii="Times New Roman" w:eastAsia="Times New Roman" w:hAnsi="Times New Roman" w:cs="Times New Roman"/>
                <w:sz w:val="20"/>
                <w:szCs w:val="20"/>
                <w:lang w:eastAsia="sk-SK"/>
              </w:rPr>
              <w:br/>
            </w:r>
            <w:r w:rsidR="006F38FE" w:rsidRPr="006F38FE">
              <w:rPr>
                <w:rFonts w:ascii="Times New Roman" w:eastAsia="Times New Roman" w:hAnsi="Times New Roman" w:cs="Times New Roman"/>
                <w:sz w:val="20"/>
                <w:szCs w:val="20"/>
                <w:lang w:eastAsia="sk-SK"/>
              </w:rPr>
              <w:t>V najbližšom období sa nepredpokladá významný pozitívny vplyv zavedenia zdanenia zemného plynu (LNG a BioLNG) ako pohonnej látky a paliva na výrobu tepla na daňové príjmy, pričom tento vplyv je považovaný za marginálny, resp. zanedbateľný. Navrhované úpravy pre zemný plyn (LNG a BioLNG) nie je možné presne kvantifikovať z dôvodu nedostupnosti relevantných údajov.</w:t>
            </w:r>
            <w:r w:rsidR="006F38FE">
              <w:rPr>
                <w:rFonts w:ascii="Times New Roman" w:eastAsia="Times New Roman" w:hAnsi="Times New Roman" w:cs="Times New Roman"/>
                <w:sz w:val="20"/>
                <w:szCs w:val="20"/>
                <w:lang w:eastAsia="sk-SK"/>
              </w:rPr>
              <w:t xml:space="preserve"> </w:t>
            </w:r>
          </w:p>
        </w:tc>
      </w:tr>
      <w:tr w:rsidR="00612E08" w:rsidRPr="00612E08" w14:paraId="3F283ABF" w14:textId="77777777" w:rsidTr="009A347A">
        <w:tc>
          <w:tcPr>
            <w:tcW w:w="9176" w:type="dxa"/>
            <w:tcBorders>
              <w:top w:val="single" w:sz="4" w:space="0" w:color="auto"/>
              <w:left w:val="single" w:sz="4" w:space="0" w:color="auto"/>
              <w:bottom w:val="single" w:sz="4" w:space="0" w:color="FFFFFF"/>
              <w:right w:val="single" w:sz="4" w:space="0" w:color="auto"/>
            </w:tcBorders>
            <w:shd w:val="clear" w:color="auto" w:fill="E2E2E2"/>
          </w:tcPr>
          <w:p w14:paraId="6339E58D"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5ABF743B" w14:textId="77777777" w:rsidTr="009A347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5629A24" w14:textId="77777777" w:rsidR="002A0B2D" w:rsidRPr="002A0B2D" w:rsidRDefault="002A0B2D" w:rsidP="002A0B2D">
            <w:pPr>
              <w:rPr>
                <w:rFonts w:ascii="Times New Roman" w:eastAsia="Times New Roman" w:hAnsi="Times New Roman" w:cs="Times New Roman"/>
                <w:sz w:val="20"/>
                <w:szCs w:val="20"/>
                <w:lang w:eastAsia="sk-SK"/>
              </w:rPr>
            </w:pPr>
            <w:r w:rsidRPr="002A0B2D">
              <w:rPr>
                <w:rFonts w:ascii="Times New Roman" w:eastAsia="Times New Roman" w:hAnsi="Times New Roman" w:cs="Times New Roman"/>
                <w:sz w:val="20"/>
                <w:szCs w:val="20"/>
                <w:lang w:eastAsia="sk-SK"/>
              </w:rPr>
              <w:t>Ministerstvo financií Slovenskej republiky, Sekcia daňová a colná, Odbor nepriamych daní,</w:t>
            </w:r>
          </w:p>
          <w:p w14:paraId="32C00802" w14:textId="77777777" w:rsidR="002A0B2D" w:rsidRPr="002A0B2D" w:rsidRDefault="002A0B2D" w:rsidP="002A0B2D">
            <w:pPr>
              <w:rPr>
                <w:rFonts w:ascii="Times New Roman" w:eastAsia="Times New Roman" w:hAnsi="Times New Roman" w:cs="Times New Roman"/>
                <w:sz w:val="20"/>
                <w:szCs w:val="20"/>
                <w:lang w:eastAsia="sk-SK"/>
              </w:rPr>
            </w:pPr>
            <w:r w:rsidRPr="002A0B2D">
              <w:rPr>
                <w:rFonts w:ascii="Times New Roman" w:eastAsia="Times New Roman" w:hAnsi="Times New Roman" w:cs="Times New Roman"/>
                <w:sz w:val="20"/>
                <w:szCs w:val="20"/>
                <w:lang w:eastAsia="sk-SK"/>
              </w:rPr>
              <w:t>Oddelenie spotrebných daní, Štefanovičova 5, 817 82 Bratislava 15</w:t>
            </w:r>
          </w:p>
          <w:p w14:paraId="0BFFFFA9" w14:textId="77777777" w:rsidR="002A0B2D" w:rsidRPr="002A0B2D" w:rsidRDefault="002A0B2D" w:rsidP="002A0B2D">
            <w:pPr>
              <w:rPr>
                <w:rFonts w:ascii="Times New Roman" w:eastAsia="Times New Roman" w:hAnsi="Times New Roman" w:cs="Times New Roman"/>
                <w:sz w:val="20"/>
                <w:szCs w:val="20"/>
                <w:lang w:eastAsia="sk-SK"/>
              </w:rPr>
            </w:pPr>
            <w:r w:rsidRPr="002A0B2D">
              <w:rPr>
                <w:rFonts w:ascii="Times New Roman" w:eastAsia="Times New Roman" w:hAnsi="Times New Roman" w:cs="Times New Roman"/>
                <w:sz w:val="20"/>
                <w:szCs w:val="20"/>
                <w:lang w:eastAsia="sk-SK"/>
              </w:rPr>
              <w:t xml:space="preserve">RNDr. Martina Hičáková; e-mail: </w:t>
            </w:r>
            <w:hyperlink r:id="rId9" w:history="1">
              <w:r w:rsidRPr="002A0B2D">
                <w:rPr>
                  <w:rStyle w:val="Hypertextovprepojenie"/>
                  <w:rFonts w:ascii="Times New Roman" w:eastAsia="Times New Roman" w:hAnsi="Times New Roman" w:cs="Times New Roman"/>
                  <w:sz w:val="20"/>
                  <w:szCs w:val="20"/>
                  <w:lang w:eastAsia="sk-SK"/>
                </w:rPr>
                <w:t>martina.hicakova@mfsr.sk</w:t>
              </w:r>
            </w:hyperlink>
            <w:r w:rsidRPr="002A0B2D">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2A0B2D">
              <w:rPr>
                <w:rFonts w:ascii="Times New Roman" w:eastAsia="Times New Roman" w:hAnsi="Times New Roman" w:cs="Times New Roman"/>
                <w:sz w:val="20"/>
                <w:szCs w:val="20"/>
                <w:lang w:eastAsia="sk-SK"/>
              </w:rPr>
              <w:t>tel: 02/ 5958 5490</w:t>
            </w:r>
          </w:p>
          <w:p w14:paraId="76FF9C15" w14:textId="77777777" w:rsidR="002A0B2D" w:rsidRPr="002A0B2D" w:rsidRDefault="002A0B2D" w:rsidP="002A0B2D">
            <w:pPr>
              <w:rPr>
                <w:rFonts w:ascii="Times New Roman" w:eastAsia="Times New Roman" w:hAnsi="Times New Roman" w:cs="Times New Roman"/>
                <w:sz w:val="20"/>
                <w:szCs w:val="20"/>
                <w:lang w:eastAsia="sk-SK"/>
              </w:rPr>
            </w:pPr>
            <w:r w:rsidRPr="002A0B2D">
              <w:rPr>
                <w:rFonts w:ascii="Times New Roman" w:eastAsia="Times New Roman" w:hAnsi="Times New Roman" w:cs="Times New Roman"/>
                <w:sz w:val="20"/>
                <w:szCs w:val="20"/>
                <w:lang w:eastAsia="sk-SK"/>
              </w:rPr>
              <w:t>Ing. Zuzana</w:t>
            </w:r>
            <w:r>
              <w:rPr>
                <w:rFonts w:ascii="Times New Roman" w:eastAsia="Times New Roman" w:hAnsi="Times New Roman" w:cs="Times New Roman"/>
                <w:sz w:val="20"/>
                <w:szCs w:val="20"/>
                <w:lang w:eastAsia="sk-SK"/>
              </w:rPr>
              <w:t xml:space="preserve"> Füleová;</w:t>
            </w:r>
            <w:r w:rsidRPr="002A0B2D">
              <w:rPr>
                <w:rFonts w:ascii="Times New Roman" w:eastAsia="Times New Roman" w:hAnsi="Times New Roman" w:cs="Times New Roman"/>
                <w:sz w:val="20"/>
                <w:szCs w:val="20"/>
                <w:lang w:eastAsia="sk-SK"/>
              </w:rPr>
              <w:t xml:space="preserve"> e-mail: </w:t>
            </w:r>
            <w:hyperlink r:id="rId10" w:history="1">
              <w:r w:rsidRPr="00E33AD5">
                <w:rPr>
                  <w:rStyle w:val="Hypertextovprepojenie"/>
                  <w:rFonts w:ascii="Times New Roman" w:eastAsia="Times New Roman" w:hAnsi="Times New Roman" w:cs="Times New Roman"/>
                  <w:sz w:val="20"/>
                  <w:szCs w:val="20"/>
                  <w:lang w:eastAsia="sk-SK"/>
                </w:rPr>
                <w:t>zuzana.fuleova@mfsr.sk</w:t>
              </w:r>
            </w:hyperlink>
            <w:r w:rsidRPr="002A0B2D">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tel: 02/ 5958 3492</w:t>
            </w:r>
          </w:p>
          <w:p w14:paraId="4713B97B" w14:textId="77777777" w:rsidR="002A0B2D" w:rsidRPr="002A0B2D" w:rsidRDefault="002A0B2D" w:rsidP="002A0B2D">
            <w:pPr>
              <w:rPr>
                <w:rFonts w:ascii="Times New Roman" w:eastAsia="Times New Roman" w:hAnsi="Times New Roman" w:cs="Times New Roman"/>
                <w:sz w:val="20"/>
                <w:szCs w:val="20"/>
                <w:lang w:eastAsia="sk-SK"/>
              </w:rPr>
            </w:pPr>
          </w:p>
        </w:tc>
      </w:tr>
      <w:tr w:rsidR="00612E08" w:rsidRPr="00612E08" w14:paraId="50B8BEA4" w14:textId="77777777" w:rsidTr="009A347A">
        <w:tc>
          <w:tcPr>
            <w:tcW w:w="9176" w:type="dxa"/>
            <w:tcBorders>
              <w:top w:val="single" w:sz="4" w:space="0" w:color="auto"/>
              <w:left w:val="single" w:sz="4" w:space="0" w:color="auto"/>
              <w:bottom w:val="single" w:sz="4" w:space="0" w:color="FFFFFF"/>
              <w:right w:val="single" w:sz="4" w:space="0" w:color="auto"/>
            </w:tcBorders>
            <w:shd w:val="clear" w:color="auto" w:fill="E2E2E2"/>
          </w:tcPr>
          <w:p w14:paraId="7DDADF62"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02606763" w14:textId="77777777" w:rsidTr="009A347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A768626" w14:textId="77777777" w:rsidR="00F92E7F" w:rsidRPr="00F92E7F" w:rsidRDefault="00F92E7F" w:rsidP="00F92E7F">
            <w:pPr>
              <w:rPr>
                <w:rFonts w:ascii="Times New Roman" w:eastAsia="Times New Roman" w:hAnsi="Times New Roman" w:cs="Times New Roman"/>
                <w:sz w:val="20"/>
                <w:szCs w:val="20"/>
                <w:lang w:eastAsia="sk-SK"/>
              </w:rPr>
            </w:pPr>
            <w:r w:rsidRPr="00F92E7F">
              <w:rPr>
                <w:rFonts w:ascii="Times New Roman" w:eastAsia="Times New Roman" w:hAnsi="Times New Roman" w:cs="Times New Roman"/>
                <w:sz w:val="20"/>
                <w:szCs w:val="20"/>
                <w:lang w:eastAsia="sk-SK"/>
              </w:rPr>
              <w:t>Inštitút finančnej politiky Ministerstva financií Slovenskej republiky</w:t>
            </w:r>
          </w:p>
          <w:p w14:paraId="10054137" w14:textId="77777777" w:rsidR="001B23B7" w:rsidRPr="00F92E7F" w:rsidRDefault="00F92E7F" w:rsidP="00F92E7F">
            <w:pPr>
              <w:rPr>
                <w:rFonts w:ascii="Times New Roman" w:eastAsia="Times New Roman" w:hAnsi="Times New Roman" w:cs="Times New Roman"/>
                <w:sz w:val="20"/>
                <w:szCs w:val="20"/>
                <w:lang w:eastAsia="sk-SK"/>
              </w:rPr>
            </w:pPr>
            <w:r w:rsidRPr="00F92E7F">
              <w:rPr>
                <w:rFonts w:ascii="Times New Roman" w:eastAsia="Times New Roman" w:hAnsi="Times New Roman" w:cs="Times New Roman"/>
                <w:sz w:val="20"/>
                <w:szCs w:val="20"/>
                <w:lang w:eastAsia="sk-SK"/>
              </w:rPr>
              <w:t>Finančné riaditeľstvo Slovenskej republiky</w:t>
            </w:r>
          </w:p>
          <w:p w14:paraId="34A3938D" w14:textId="77777777" w:rsidR="001B23B7" w:rsidRPr="00612E08" w:rsidRDefault="001B23B7" w:rsidP="009A347A">
            <w:pPr>
              <w:rPr>
                <w:rFonts w:ascii="Times New Roman" w:eastAsia="Times New Roman" w:hAnsi="Times New Roman" w:cs="Times New Roman"/>
                <w:b/>
                <w:sz w:val="20"/>
                <w:szCs w:val="20"/>
                <w:lang w:eastAsia="sk-SK"/>
              </w:rPr>
            </w:pPr>
          </w:p>
        </w:tc>
      </w:tr>
      <w:tr w:rsidR="00612E08" w:rsidRPr="00612E08" w14:paraId="2C05FB50" w14:textId="77777777" w:rsidTr="009A347A">
        <w:tc>
          <w:tcPr>
            <w:tcW w:w="9176" w:type="dxa"/>
            <w:tcBorders>
              <w:top w:val="single" w:sz="4" w:space="0" w:color="auto"/>
              <w:left w:val="single" w:sz="4" w:space="0" w:color="auto"/>
              <w:bottom w:val="single" w:sz="4" w:space="0" w:color="FFFFFF"/>
              <w:right w:val="single" w:sz="4" w:space="0" w:color="auto"/>
            </w:tcBorders>
            <w:shd w:val="clear" w:color="auto" w:fill="E2E2E2"/>
          </w:tcPr>
          <w:p w14:paraId="476AE84D" w14:textId="77777777" w:rsidR="001B23B7" w:rsidRPr="00612E08" w:rsidRDefault="001B23B7" w:rsidP="009A347A">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14:paraId="6B5EB9AC" w14:textId="77777777" w:rsidR="001B23B7" w:rsidRPr="00612E08" w:rsidRDefault="001B23B7" w:rsidP="009A347A">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F92E7F" w:rsidRPr="00612E08" w14:paraId="2775F0C9"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C870167" w14:textId="77777777" w:rsidR="00F92E7F" w:rsidRPr="00B043B4" w:rsidRDefault="00F92E7F" w:rsidP="00F92E7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92E7F" w:rsidRPr="00B043B4" w14:paraId="452A6AEE" w14:textId="77777777" w:rsidTr="009A347A">
              <w:trPr>
                <w:trHeight w:val="396"/>
              </w:trPr>
              <w:tc>
                <w:tcPr>
                  <w:tcW w:w="2552" w:type="dxa"/>
                </w:tcPr>
                <w:p w14:paraId="624DC859" w14:textId="77777777" w:rsidR="00F92E7F" w:rsidRPr="00B043B4" w:rsidRDefault="00FD1244" w:rsidP="00F92E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F92E7F">
                        <w:rPr>
                          <w:rFonts w:ascii="MS Gothic" w:eastAsia="MS Gothic" w:hAnsi="MS Gothic" w:cs="Times New Roman" w:hint="eastAsia"/>
                          <w:b/>
                          <w:sz w:val="20"/>
                          <w:szCs w:val="20"/>
                          <w:lang w:eastAsia="sk-SK"/>
                        </w:rPr>
                        <w:t>☐</w:t>
                      </w:r>
                    </w:sdtContent>
                  </w:sdt>
                  <w:r w:rsidR="00F92E7F">
                    <w:rPr>
                      <w:rFonts w:ascii="Times New Roman" w:eastAsia="Times New Roman" w:hAnsi="Times New Roman" w:cs="Times New Roman"/>
                      <w:b/>
                      <w:sz w:val="20"/>
                      <w:szCs w:val="20"/>
                      <w:lang w:eastAsia="sk-SK"/>
                    </w:rPr>
                    <w:t xml:space="preserve">  </w:t>
                  </w:r>
                  <w:r w:rsidR="00F92E7F" w:rsidRPr="00B043B4">
                    <w:rPr>
                      <w:rFonts w:ascii="Times New Roman" w:eastAsia="Times New Roman" w:hAnsi="Times New Roman" w:cs="Times New Roman"/>
                      <w:b/>
                      <w:sz w:val="20"/>
                      <w:szCs w:val="20"/>
                      <w:lang w:eastAsia="sk-SK"/>
                    </w:rPr>
                    <w:t xml:space="preserve">Súhlasné </w:t>
                  </w:r>
                </w:p>
              </w:tc>
              <w:tc>
                <w:tcPr>
                  <w:tcW w:w="3827" w:type="dxa"/>
                </w:tcPr>
                <w:p w14:paraId="5D0BE8F4" w14:textId="77777777" w:rsidR="00F92E7F" w:rsidRPr="00B043B4" w:rsidRDefault="00FD1244" w:rsidP="00F92E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F92E7F">
                        <w:rPr>
                          <w:rFonts w:ascii="MS Gothic" w:eastAsia="MS Gothic" w:hAnsi="MS Gothic" w:cs="Times New Roman" w:hint="eastAsia"/>
                          <w:b/>
                          <w:sz w:val="20"/>
                          <w:szCs w:val="20"/>
                          <w:lang w:eastAsia="sk-SK"/>
                        </w:rPr>
                        <w:t>☐</w:t>
                      </w:r>
                    </w:sdtContent>
                  </w:sdt>
                  <w:r w:rsidR="00F92E7F">
                    <w:rPr>
                      <w:rFonts w:ascii="Times New Roman" w:eastAsia="Times New Roman" w:hAnsi="Times New Roman" w:cs="Times New Roman"/>
                      <w:b/>
                      <w:sz w:val="20"/>
                      <w:szCs w:val="20"/>
                      <w:lang w:eastAsia="sk-SK"/>
                    </w:rPr>
                    <w:t xml:space="preserve">  </w:t>
                  </w:r>
                  <w:r w:rsidR="00F92E7F" w:rsidRPr="00B043B4">
                    <w:rPr>
                      <w:rFonts w:ascii="Times New Roman" w:eastAsia="Times New Roman" w:hAnsi="Times New Roman" w:cs="Times New Roman"/>
                      <w:b/>
                      <w:sz w:val="20"/>
                      <w:szCs w:val="20"/>
                      <w:lang w:eastAsia="sk-SK"/>
                    </w:rPr>
                    <w:t>Súhlasné s návrhom na dopracovanie</w:t>
                  </w:r>
                </w:p>
              </w:tc>
              <w:tc>
                <w:tcPr>
                  <w:tcW w:w="2534" w:type="dxa"/>
                </w:tcPr>
                <w:p w14:paraId="2CF4C4B0" w14:textId="77777777" w:rsidR="00F92E7F" w:rsidRPr="00B043B4" w:rsidRDefault="00FD1244" w:rsidP="00F92E7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F92E7F">
                        <w:rPr>
                          <w:rFonts w:ascii="MS Gothic" w:eastAsia="MS Gothic" w:hAnsi="MS Gothic" w:cs="Times New Roman" w:hint="eastAsia"/>
                          <w:b/>
                          <w:sz w:val="20"/>
                          <w:szCs w:val="20"/>
                          <w:lang w:eastAsia="sk-SK"/>
                        </w:rPr>
                        <w:t>☐</w:t>
                      </w:r>
                    </w:sdtContent>
                  </w:sdt>
                  <w:r w:rsidR="00F92E7F">
                    <w:rPr>
                      <w:rFonts w:ascii="Times New Roman" w:eastAsia="Times New Roman" w:hAnsi="Times New Roman" w:cs="Times New Roman"/>
                      <w:b/>
                      <w:sz w:val="20"/>
                      <w:szCs w:val="20"/>
                      <w:lang w:eastAsia="sk-SK"/>
                    </w:rPr>
                    <w:t xml:space="preserve">  </w:t>
                  </w:r>
                  <w:r w:rsidR="00F92E7F" w:rsidRPr="00B043B4">
                    <w:rPr>
                      <w:rFonts w:ascii="Times New Roman" w:eastAsia="Times New Roman" w:hAnsi="Times New Roman" w:cs="Times New Roman"/>
                      <w:b/>
                      <w:sz w:val="20"/>
                      <w:szCs w:val="20"/>
                      <w:lang w:eastAsia="sk-SK"/>
                    </w:rPr>
                    <w:t>Nesúhlasné</w:t>
                  </w:r>
                </w:p>
              </w:tc>
            </w:tr>
          </w:tbl>
          <w:p w14:paraId="075501E2" w14:textId="77777777" w:rsidR="00F92E7F" w:rsidRPr="004C5AD3" w:rsidRDefault="00F92E7F" w:rsidP="00F92E7F">
            <w:pPr>
              <w:jc w:val="both"/>
              <w:rPr>
                <w:rFonts w:ascii="Times New Roman" w:hAnsi="Times New Roman" w:cs="Times New Roman"/>
                <w:sz w:val="20"/>
                <w:szCs w:val="20"/>
              </w:rPr>
            </w:pPr>
          </w:p>
          <w:p w14:paraId="6335F146" w14:textId="77777777" w:rsidR="00F92E7F" w:rsidRPr="00B043B4" w:rsidRDefault="00F92E7F" w:rsidP="00003543">
            <w:pPr>
              <w:jc w:val="both"/>
              <w:rPr>
                <w:rFonts w:ascii="Times New Roman" w:eastAsia="Times New Roman" w:hAnsi="Times New Roman" w:cs="Times New Roman"/>
                <w:b/>
                <w:sz w:val="20"/>
                <w:szCs w:val="20"/>
                <w:lang w:eastAsia="sk-SK"/>
              </w:rPr>
            </w:pPr>
          </w:p>
        </w:tc>
      </w:tr>
      <w:tr w:rsidR="00F92E7F" w:rsidRPr="00612E08" w14:paraId="7355CBCA" w14:textId="77777777" w:rsidTr="009A347A">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2A30723" w14:textId="696320EB" w:rsidR="00F92E7F" w:rsidRPr="00612E08" w:rsidRDefault="00F92E7F" w:rsidP="00F92E7F">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w:t>
            </w:r>
            <w:r w:rsidR="00803DDA">
              <w:rPr>
                <w:rFonts w:ascii="Times New Roman" w:eastAsia="Calibri" w:hAnsi="Times New Roman" w:cs="Times New Roman"/>
                <w:b/>
              </w:rPr>
              <w:t>erečného posúdenia č. 239/2024</w:t>
            </w:r>
            <w:r w:rsidRPr="00612E08">
              <w:rPr>
                <w:rFonts w:ascii="Times New Roman" w:eastAsia="Calibri" w:hAnsi="Times New Roman" w:cs="Times New Roman"/>
              </w:rPr>
              <w:t xml:space="preserve"> (v prípade, ak sa uskutočnilo v zmysle bodu 9.1. Jednotnej metodiky) </w:t>
            </w:r>
          </w:p>
        </w:tc>
      </w:tr>
      <w:tr w:rsidR="00F92E7F" w:rsidRPr="00612E08" w14:paraId="2AC5194F" w14:textId="77777777" w:rsidTr="009A347A">
        <w:tblPrEx>
          <w:tblBorders>
            <w:insideH w:val="single" w:sz="4" w:space="0" w:color="FFFFFF"/>
            <w:insideV w:val="single" w:sz="4" w:space="0" w:color="FFFFFF"/>
          </w:tblBorders>
        </w:tblPrEx>
        <w:tc>
          <w:tcPr>
            <w:tcW w:w="9176" w:type="dxa"/>
            <w:shd w:val="clear" w:color="auto" w:fill="FFFFFF"/>
          </w:tcPr>
          <w:p w14:paraId="3D77EACF" w14:textId="77777777" w:rsidR="00F92E7F" w:rsidRPr="00612E08" w:rsidRDefault="00F92E7F" w:rsidP="00F92E7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92E7F" w:rsidRPr="00612E08" w14:paraId="2213506E" w14:textId="77777777" w:rsidTr="009A347A">
              <w:trPr>
                <w:trHeight w:val="396"/>
              </w:trPr>
              <w:tc>
                <w:tcPr>
                  <w:tcW w:w="2552" w:type="dxa"/>
                </w:tcPr>
                <w:p w14:paraId="3C77ECBA" w14:textId="2273EACD" w:rsidR="00F92E7F" w:rsidRPr="00612E08" w:rsidRDefault="00FD1244" w:rsidP="00F92E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03DDA">
                        <w:rPr>
                          <w:rFonts w:ascii="MS Gothic" w:eastAsia="MS Gothic" w:hAnsi="MS Gothic" w:cs="Times New Roman" w:hint="eastAsia"/>
                          <w:b/>
                          <w:sz w:val="20"/>
                          <w:szCs w:val="20"/>
                          <w:lang w:eastAsia="sk-SK"/>
                        </w:rPr>
                        <w:t>☐</w:t>
                      </w:r>
                    </w:sdtContent>
                  </w:sdt>
                  <w:r w:rsidR="00F92E7F" w:rsidRPr="00612E08">
                    <w:rPr>
                      <w:rFonts w:ascii="Times New Roman" w:eastAsia="Times New Roman" w:hAnsi="Times New Roman" w:cs="Times New Roman"/>
                      <w:b/>
                      <w:sz w:val="20"/>
                      <w:szCs w:val="20"/>
                      <w:lang w:eastAsia="sk-SK"/>
                    </w:rPr>
                    <w:t xml:space="preserve">   Súhlasné </w:t>
                  </w:r>
                </w:p>
              </w:tc>
              <w:tc>
                <w:tcPr>
                  <w:tcW w:w="3827" w:type="dxa"/>
                </w:tcPr>
                <w:p w14:paraId="5FC17A21" w14:textId="75C5402D" w:rsidR="00F92E7F" w:rsidRPr="00612E08" w:rsidRDefault="00FD1244" w:rsidP="00F92E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1"/>
                        <w14:checkedState w14:val="2612" w14:font="MS Gothic"/>
                        <w14:uncheckedState w14:val="2610" w14:font="MS Gothic"/>
                      </w14:checkbox>
                    </w:sdtPr>
                    <w:sdtEndPr/>
                    <w:sdtContent>
                      <w:r w:rsidR="00803DDA">
                        <w:rPr>
                          <w:rFonts w:ascii="MS Gothic" w:eastAsia="MS Gothic" w:hAnsi="MS Gothic" w:cs="Times New Roman" w:hint="eastAsia"/>
                          <w:b/>
                          <w:sz w:val="20"/>
                          <w:szCs w:val="20"/>
                          <w:lang w:eastAsia="sk-SK"/>
                        </w:rPr>
                        <w:t>☒</w:t>
                      </w:r>
                    </w:sdtContent>
                  </w:sdt>
                  <w:r w:rsidR="00F92E7F"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1C7726AC" w14:textId="77777777" w:rsidR="00F92E7F" w:rsidRPr="00612E08" w:rsidRDefault="00FD1244" w:rsidP="00F92E7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F92E7F" w:rsidRPr="00612E08">
                        <w:rPr>
                          <w:rFonts w:ascii="MS Gothic" w:eastAsia="MS Gothic" w:hAnsi="MS Gothic" w:cs="Times New Roman" w:hint="eastAsia"/>
                          <w:b/>
                          <w:sz w:val="20"/>
                          <w:szCs w:val="20"/>
                          <w:lang w:eastAsia="sk-SK"/>
                        </w:rPr>
                        <w:t>☐</w:t>
                      </w:r>
                    </w:sdtContent>
                  </w:sdt>
                  <w:r w:rsidR="00F92E7F" w:rsidRPr="00612E08">
                    <w:rPr>
                      <w:rFonts w:ascii="Times New Roman" w:eastAsia="Times New Roman" w:hAnsi="Times New Roman" w:cs="Times New Roman"/>
                      <w:b/>
                      <w:sz w:val="20"/>
                      <w:szCs w:val="20"/>
                      <w:lang w:eastAsia="sk-SK"/>
                    </w:rPr>
                    <w:t xml:space="preserve">  Nesúhlasné</w:t>
                  </w:r>
                </w:p>
              </w:tc>
            </w:tr>
          </w:tbl>
          <w:p w14:paraId="5A014B6D" w14:textId="77777777" w:rsidR="00F92E7F" w:rsidRPr="00713BEF" w:rsidRDefault="00F92E7F" w:rsidP="00F92E7F">
            <w:pPr>
              <w:jc w:val="both"/>
              <w:rPr>
                <w:rFonts w:ascii="Times New Roman" w:eastAsia="Times New Roman" w:hAnsi="Times New Roman" w:cs="Times New Roman"/>
                <w:b/>
                <w:lang w:eastAsia="sk-SK"/>
              </w:rPr>
            </w:pPr>
            <w:r w:rsidRPr="00713BEF">
              <w:rPr>
                <w:rFonts w:ascii="Times New Roman" w:eastAsia="Times New Roman" w:hAnsi="Times New Roman" w:cs="Times New Roman"/>
                <w:b/>
                <w:lang w:eastAsia="sk-SK"/>
              </w:rPr>
              <w:t>Uveďte pripomienky zo stanoviska Komisie z časti II. spolu s Vaším vyhodnotením:</w:t>
            </w:r>
          </w:p>
          <w:p w14:paraId="6669A955" w14:textId="77777777" w:rsidR="00803DDA" w:rsidRPr="000B1500" w:rsidRDefault="00803DDA" w:rsidP="00803DDA">
            <w:pPr>
              <w:suppressAutoHyphens/>
              <w:jc w:val="both"/>
              <w:rPr>
                <w:rFonts w:ascii="Times New Roman" w:eastAsia="Times New Roman" w:hAnsi="Times New Roman" w:cs="Times New Roman"/>
                <w:b/>
                <w:sz w:val="20"/>
                <w:szCs w:val="20"/>
                <w:lang w:eastAsia="ar-SA"/>
              </w:rPr>
            </w:pPr>
          </w:p>
          <w:p w14:paraId="1D332B03" w14:textId="12411906" w:rsidR="00803DDA" w:rsidRPr="00803DDA" w:rsidRDefault="00803DDA" w:rsidP="00803DDA">
            <w:pPr>
              <w:suppressAutoHyphens/>
              <w:jc w:val="both"/>
              <w:rPr>
                <w:rFonts w:ascii="Times New Roman" w:eastAsia="Times New Roman" w:hAnsi="Times New Roman" w:cs="Times New Roman"/>
                <w:b/>
                <w:lang w:eastAsia="ar-SA"/>
              </w:rPr>
            </w:pPr>
            <w:r w:rsidRPr="00803DDA">
              <w:rPr>
                <w:rFonts w:ascii="Times New Roman" w:eastAsia="Times New Roman" w:hAnsi="Times New Roman" w:cs="Times New Roman"/>
                <w:b/>
                <w:lang w:eastAsia="ar-SA"/>
              </w:rPr>
              <w:t>K doložke vybraných vplyvov</w:t>
            </w:r>
          </w:p>
          <w:p w14:paraId="4F05CF61" w14:textId="77777777" w:rsidR="00803DDA" w:rsidRPr="00803DDA" w:rsidRDefault="00803DDA" w:rsidP="00803DDA">
            <w:pPr>
              <w:suppressAutoHyphens/>
              <w:jc w:val="both"/>
              <w:rPr>
                <w:rFonts w:ascii="Times New Roman" w:eastAsia="Times New Roman" w:hAnsi="Times New Roman" w:cs="Times New Roman"/>
                <w:b/>
                <w:sz w:val="20"/>
                <w:szCs w:val="20"/>
                <w:lang w:eastAsia="ar-SA"/>
              </w:rPr>
            </w:pPr>
            <w:r w:rsidRPr="00803DDA">
              <w:rPr>
                <w:rFonts w:ascii="Times New Roman" w:eastAsia="Times New Roman" w:hAnsi="Times New Roman" w:cs="Times New Roman"/>
                <w:sz w:val="20"/>
                <w:szCs w:val="20"/>
                <w:lang w:eastAsia="ar-SA"/>
              </w:rPr>
              <w:t>Komisia odporúča predkladateľovi v Doložke vybraných vplyvov v časti 8. Preskúmanie účelnosti doplniť dátum hodnotenia účelnosti predkladaného materiálu.</w:t>
            </w:r>
          </w:p>
          <w:p w14:paraId="2CF1AC68" w14:textId="77777777" w:rsidR="00803DDA" w:rsidRPr="00803DDA" w:rsidRDefault="00803DDA" w:rsidP="00803DDA">
            <w:pPr>
              <w:suppressAutoHyphens/>
              <w:jc w:val="both"/>
              <w:rPr>
                <w:rFonts w:ascii="Times New Roman" w:eastAsia="Times New Roman" w:hAnsi="Times New Roman" w:cs="Times New Roman"/>
                <w:sz w:val="20"/>
                <w:szCs w:val="20"/>
                <w:lang w:eastAsia="ar-SA"/>
              </w:rPr>
            </w:pPr>
            <w:r w:rsidRPr="00803DDA">
              <w:rPr>
                <w:rFonts w:ascii="Times New Roman" w:eastAsia="Times New Roman" w:hAnsi="Times New Roman" w:cs="Times New Roman"/>
                <w:sz w:val="20"/>
                <w:szCs w:val="20"/>
                <w:u w:val="single"/>
                <w:lang w:eastAsia="ar-SA"/>
              </w:rPr>
              <w:t>Odôvodnenie:</w:t>
            </w:r>
            <w:r w:rsidRPr="00803DDA">
              <w:rPr>
                <w:rFonts w:ascii="Times New Roman" w:eastAsia="Times New Roman" w:hAnsi="Times New Roman" w:cs="Times New Roman"/>
                <w:sz w:val="20"/>
                <w:szCs w:val="20"/>
                <w:lang w:eastAsia="ar-SA"/>
              </w:rPr>
              <w:t xml:space="preserve"> Preskúmanie účelnosti sa nastavuje po určitom čase, aby sa zhodnotilo, či a na základe akých kritérií bol cieľ naplnený.</w:t>
            </w:r>
          </w:p>
          <w:p w14:paraId="4E6FE866" w14:textId="607666DF" w:rsidR="00803DDA" w:rsidRPr="000B1500" w:rsidRDefault="00803DDA" w:rsidP="00803DDA">
            <w:pPr>
              <w:suppressAutoHyphens/>
              <w:jc w:val="both"/>
              <w:rPr>
                <w:rFonts w:ascii="Times New Roman" w:eastAsia="Times New Roman" w:hAnsi="Times New Roman" w:cs="Times New Roman"/>
                <w:sz w:val="20"/>
                <w:szCs w:val="20"/>
                <w:lang w:eastAsia="ar-SA"/>
              </w:rPr>
            </w:pPr>
          </w:p>
          <w:p w14:paraId="232A0B7D" w14:textId="77777777" w:rsidR="00803DDA" w:rsidRPr="00803DDA" w:rsidRDefault="00803DDA" w:rsidP="00803DDA">
            <w:pPr>
              <w:spacing w:after="40" w:line="252" w:lineRule="auto"/>
              <w:jc w:val="both"/>
              <w:rPr>
                <w:rFonts w:ascii="Times New Roman" w:hAnsi="Times New Roman" w:cs="Times New Roman"/>
                <w:b/>
              </w:rPr>
            </w:pPr>
            <w:r w:rsidRPr="00803DDA">
              <w:rPr>
                <w:rFonts w:ascii="Times New Roman" w:hAnsi="Times New Roman" w:cs="Times New Roman"/>
                <w:b/>
              </w:rPr>
              <w:t>Pripomienka neakceptovaná.</w:t>
            </w:r>
          </w:p>
          <w:p w14:paraId="1F078A70" w14:textId="77777777" w:rsidR="00803DDA" w:rsidRPr="00803DDA" w:rsidRDefault="00803DDA" w:rsidP="00803DDA">
            <w:pPr>
              <w:spacing w:after="40"/>
              <w:jc w:val="both"/>
              <w:rPr>
                <w:rFonts w:ascii="Times New Roman" w:hAnsi="Times New Roman" w:cs="Times New Roman"/>
                <w:bCs/>
                <w:sz w:val="20"/>
                <w:szCs w:val="20"/>
              </w:rPr>
            </w:pPr>
            <w:r w:rsidRPr="00803DDA">
              <w:rPr>
                <w:rFonts w:ascii="Times New Roman" w:hAnsi="Times New Roman" w:cs="Times New Roman"/>
                <w:b/>
                <w:sz w:val="20"/>
                <w:szCs w:val="20"/>
              </w:rPr>
              <w:t xml:space="preserve">Odôvodnenie: </w:t>
            </w:r>
            <w:r w:rsidRPr="00803DDA">
              <w:rPr>
                <w:rFonts w:ascii="Times New Roman" w:eastAsia="Times New Roman" w:hAnsi="Times New Roman" w:cs="Times New Roman"/>
                <w:sz w:val="20"/>
                <w:szCs w:val="20"/>
                <w:lang w:eastAsia="sk-SK"/>
              </w:rPr>
              <w:t>MF SR okrem uvedeného v bode 8 vyššie posudzuje účelnosť prijatých zákonov na základe podnetov orgánov finančnej správy vykonávajúcich správu daní.</w:t>
            </w:r>
          </w:p>
          <w:p w14:paraId="29654C02" w14:textId="6326E8E4" w:rsidR="00803DDA" w:rsidRPr="00803DDA" w:rsidRDefault="00803DDA" w:rsidP="00803DDA">
            <w:pPr>
              <w:suppressAutoHyphens/>
              <w:jc w:val="both"/>
              <w:rPr>
                <w:rFonts w:ascii="Times New Roman" w:eastAsia="Times New Roman" w:hAnsi="Times New Roman" w:cs="Times New Roman"/>
                <w:sz w:val="20"/>
                <w:szCs w:val="20"/>
                <w:lang w:eastAsia="ar-SA"/>
              </w:rPr>
            </w:pPr>
          </w:p>
          <w:p w14:paraId="363369FF" w14:textId="77777777" w:rsidR="00803DDA" w:rsidRPr="00803DDA" w:rsidRDefault="00803DDA" w:rsidP="00803DDA">
            <w:pPr>
              <w:suppressAutoHyphens/>
              <w:jc w:val="both"/>
              <w:rPr>
                <w:rFonts w:ascii="Times New Roman" w:eastAsia="Times New Roman" w:hAnsi="Times New Roman" w:cs="Times New Roman"/>
                <w:b/>
                <w:lang w:eastAsia="ar-SA"/>
              </w:rPr>
            </w:pPr>
            <w:r w:rsidRPr="00803DDA">
              <w:rPr>
                <w:rFonts w:ascii="Times New Roman" w:eastAsia="Times New Roman" w:hAnsi="Times New Roman" w:cs="Times New Roman"/>
                <w:b/>
                <w:lang w:eastAsia="ar-SA"/>
              </w:rPr>
              <w:t>Ku goldplatingu</w:t>
            </w:r>
          </w:p>
          <w:p w14:paraId="6D76266A" w14:textId="77777777" w:rsidR="00803DDA" w:rsidRPr="00803DDA" w:rsidRDefault="00803DDA" w:rsidP="00803DDA">
            <w:pPr>
              <w:suppressAutoHyphens/>
              <w:jc w:val="both"/>
              <w:rPr>
                <w:rFonts w:ascii="Times New Roman" w:eastAsia="Times New Roman" w:hAnsi="Times New Roman" w:cs="Times New Roman"/>
                <w:sz w:val="20"/>
                <w:szCs w:val="20"/>
                <w:lang w:eastAsia="ar-SA"/>
              </w:rPr>
            </w:pPr>
            <w:r w:rsidRPr="00803DDA">
              <w:rPr>
                <w:rFonts w:ascii="Times New Roman" w:eastAsia="Times New Roman" w:hAnsi="Times New Roman" w:cs="Times New Roman"/>
                <w:sz w:val="20"/>
                <w:szCs w:val="20"/>
                <w:lang w:eastAsia="ar-SA"/>
              </w:rPr>
              <w:t>Čl. 1 smernice (EÚ) 2020/262 v platnom znení obsahuje ako bežnú transpozíciu, tak aj dobrovoľnú, je preto potrebné ho rozdeliť v tabuľke zhody do jednotlivých riadkov na odseky, písmená, s cieľom oddeliť tieto ustanovenia do samostatných riadkov, a to podľa prílohy č. 3 k Legislatívnym pravidlám vlády SR, zároveň je potrebné  pri týchto ustanoveniach samostatne vyznačiť identifikáciu goldplatingu a vyplniť stĺpce 9 a 10 tabuľky zhody, prípadne „Vyjadrenie k opodstatnenosti goldplatingu“ pod tabuľkou zhody.</w:t>
            </w:r>
          </w:p>
          <w:p w14:paraId="68AC94FC" w14:textId="77777777" w:rsidR="00803DDA" w:rsidRPr="00803DDA" w:rsidRDefault="00803DDA" w:rsidP="00803DDA">
            <w:pPr>
              <w:suppressAutoHyphens/>
              <w:jc w:val="both"/>
              <w:rPr>
                <w:rFonts w:ascii="Times New Roman" w:eastAsia="Times New Roman" w:hAnsi="Times New Roman" w:cs="Times New Roman"/>
                <w:sz w:val="20"/>
                <w:szCs w:val="20"/>
                <w:lang w:eastAsia="ar-SA"/>
              </w:rPr>
            </w:pPr>
            <w:r w:rsidRPr="00803DDA">
              <w:rPr>
                <w:rFonts w:ascii="Times New Roman" w:eastAsia="Times New Roman" w:hAnsi="Times New Roman" w:cs="Times New Roman"/>
                <w:sz w:val="20"/>
                <w:szCs w:val="20"/>
                <w:lang w:eastAsia="ar-SA"/>
              </w:rPr>
              <w:t xml:space="preserve"> </w:t>
            </w:r>
          </w:p>
          <w:p w14:paraId="3FDC77B7" w14:textId="77777777" w:rsidR="00803DDA" w:rsidRPr="00803DDA" w:rsidRDefault="00803DDA" w:rsidP="00803DDA">
            <w:pPr>
              <w:suppressAutoHyphens/>
              <w:jc w:val="both"/>
              <w:rPr>
                <w:rFonts w:ascii="Times New Roman" w:eastAsia="Times New Roman" w:hAnsi="Times New Roman" w:cs="Times New Roman"/>
                <w:sz w:val="20"/>
                <w:szCs w:val="20"/>
                <w:lang w:eastAsia="ar-SA"/>
              </w:rPr>
            </w:pPr>
            <w:r w:rsidRPr="00803DDA">
              <w:rPr>
                <w:rFonts w:ascii="Times New Roman" w:eastAsia="Times New Roman" w:hAnsi="Times New Roman" w:cs="Times New Roman"/>
                <w:sz w:val="20"/>
                <w:szCs w:val="20"/>
                <w:lang w:eastAsia="ar-SA"/>
              </w:rPr>
              <w:t xml:space="preserve">Pri preukazovaní čl. 3 smernice (EÚ) 2020/262 v platnom znení je potrebné identifikovať v stĺpci 9, či ide o goldplating. V prípade, že transponované ustanovenie predstavuje goldplating, je potrebné posúdiť nielen či </w:t>
            </w:r>
            <w:r w:rsidRPr="00803DDA">
              <w:rPr>
                <w:rFonts w:ascii="Times New Roman" w:eastAsia="Times New Roman" w:hAnsi="Times New Roman" w:cs="Times New Roman"/>
                <w:sz w:val="20"/>
                <w:szCs w:val="20"/>
                <w:lang w:eastAsia="ar-SA"/>
              </w:rPr>
              <w:lastRenderedPageBreak/>
              <w:t>dochádza ku goldplatingu, ale aj o akú kategóriu goldplatingu ide, a  následne je potrebné vyplniť aj stĺpec 10 tabuľky zhody, a „Vyjadrenie k opodstatnenosti goldplatingu“ pod tabuľkou zhody, a to podľa prílohy č. 3 k Legislatívnym pravidlám vlády SR.</w:t>
            </w:r>
          </w:p>
          <w:p w14:paraId="07E97E1A" w14:textId="384C37D5" w:rsidR="00803DDA" w:rsidRPr="000B1500" w:rsidRDefault="00803DDA" w:rsidP="00803DDA">
            <w:pPr>
              <w:suppressAutoHyphens/>
              <w:jc w:val="both"/>
              <w:rPr>
                <w:rFonts w:ascii="Times New Roman" w:eastAsia="Times New Roman" w:hAnsi="Times New Roman" w:cs="Times New Roman"/>
                <w:b/>
                <w:bCs/>
                <w:sz w:val="20"/>
                <w:szCs w:val="20"/>
                <w:lang w:eastAsia="ar-SA"/>
              </w:rPr>
            </w:pPr>
          </w:p>
          <w:p w14:paraId="7BB6ECB1" w14:textId="12A03584" w:rsidR="00803DDA" w:rsidRPr="00803DDA" w:rsidRDefault="00803DDA" w:rsidP="00803DDA">
            <w:pPr>
              <w:spacing w:after="40" w:line="252" w:lineRule="auto"/>
              <w:jc w:val="both"/>
              <w:rPr>
                <w:rFonts w:ascii="Times New Roman" w:hAnsi="Times New Roman" w:cs="Times New Roman"/>
                <w:b/>
              </w:rPr>
            </w:pPr>
            <w:r w:rsidRPr="00803DDA">
              <w:rPr>
                <w:rFonts w:ascii="Times New Roman" w:hAnsi="Times New Roman" w:cs="Times New Roman"/>
                <w:b/>
              </w:rPr>
              <w:t>Pripomienka akceptovaná.</w:t>
            </w:r>
          </w:p>
          <w:p w14:paraId="5D373A51" w14:textId="77777777" w:rsidR="00F92E7F" w:rsidRPr="00612E08" w:rsidRDefault="00F92E7F" w:rsidP="00F92E7F">
            <w:pPr>
              <w:rPr>
                <w:rFonts w:ascii="Times New Roman" w:eastAsia="Times New Roman" w:hAnsi="Times New Roman" w:cs="Times New Roman"/>
                <w:b/>
                <w:sz w:val="20"/>
                <w:szCs w:val="20"/>
                <w:lang w:eastAsia="sk-SK"/>
              </w:rPr>
            </w:pPr>
          </w:p>
        </w:tc>
      </w:tr>
    </w:tbl>
    <w:p w14:paraId="6668A40B" w14:textId="77777777" w:rsidR="00314360" w:rsidRDefault="00314360"/>
    <w:p w14:paraId="576A2A9D" w14:textId="77777777" w:rsidR="00CC478D" w:rsidRDefault="00CC478D"/>
    <w:p w14:paraId="1EF1A31A" w14:textId="77777777" w:rsidR="00CC478D" w:rsidRDefault="00CC478D"/>
    <w:p w14:paraId="370ADCA9" w14:textId="77777777" w:rsidR="00CC478D" w:rsidRDefault="00CC478D"/>
    <w:p w14:paraId="36C00C6C" w14:textId="77777777" w:rsidR="00CC478D" w:rsidRDefault="00CC478D"/>
    <w:p w14:paraId="00A95A96" w14:textId="77777777" w:rsidR="003E34F5" w:rsidRDefault="003E34F5"/>
    <w:p w14:paraId="7C04EDAD" w14:textId="017AF5D7" w:rsidR="003E34F5" w:rsidRDefault="003E34F5"/>
    <w:p w14:paraId="6535F259" w14:textId="18B93B37" w:rsidR="00803DDA" w:rsidRDefault="00803DDA"/>
    <w:p w14:paraId="15215A9D" w14:textId="6D9B8AE4" w:rsidR="00803DDA" w:rsidRDefault="00803DDA"/>
    <w:p w14:paraId="032C49F6" w14:textId="5EE07165" w:rsidR="00803DDA" w:rsidRDefault="00803DDA"/>
    <w:p w14:paraId="636B0D93" w14:textId="4BAD46BD" w:rsidR="00803DDA" w:rsidRDefault="00803DDA"/>
    <w:p w14:paraId="517FA091" w14:textId="653EE447" w:rsidR="00803DDA" w:rsidRDefault="00803DDA"/>
    <w:p w14:paraId="38C86ACF" w14:textId="333DF005" w:rsidR="00803DDA" w:rsidRDefault="00803DDA"/>
    <w:p w14:paraId="6A2DC708" w14:textId="1080BD26" w:rsidR="00803DDA" w:rsidRDefault="00803DDA"/>
    <w:p w14:paraId="35E520A4" w14:textId="44BD1ED9" w:rsidR="00803DDA" w:rsidRDefault="00803DDA"/>
    <w:p w14:paraId="26554C77" w14:textId="1627EC4B" w:rsidR="00803DDA" w:rsidRDefault="00803DDA"/>
    <w:p w14:paraId="14A0C48D" w14:textId="211AB31C" w:rsidR="00803DDA" w:rsidRDefault="00803DDA"/>
    <w:p w14:paraId="18561051" w14:textId="70AA4F8E" w:rsidR="00803DDA" w:rsidRDefault="00803DDA"/>
    <w:p w14:paraId="50BAE1E9" w14:textId="7353A44B" w:rsidR="00803DDA" w:rsidRDefault="00803DDA"/>
    <w:p w14:paraId="6AD2D352" w14:textId="26DFF960" w:rsidR="00803DDA" w:rsidRDefault="00803DDA"/>
    <w:p w14:paraId="796E8DF8" w14:textId="442A229F" w:rsidR="00803DDA" w:rsidRDefault="00803DDA"/>
    <w:p w14:paraId="1F7F1444" w14:textId="342BDCA5" w:rsidR="00803DDA" w:rsidRDefault="00803DDA"/>
    <w:p w14:paraId="11BC7538" w14:textId="019226D2" w:rsidR="00803DDA" w:rsidRDefault="00803DDA"/>
    <w:p w14:paraId="5EE7F724" w14:textId="021B7D60" w:rsidR="00803DDA" w:rsidRDefault="00803DDA"/>
    <w:p w14:paraId="73A57FDF" w14:textId="0EC7ED11" w:rsidR="005B4123" w:rsidRDefault="005B4123"/>
    <w:p w14:paraId="26DE64CB" w14:textId="77777777" w:rsidR="005B4123" w:rsidRDefault="005B4123"/>
    <w:p w14:paraId="641F0719" w14:textId="77777777" w:rsidR="00CC478D" w:rsidRDefault="00CC478D"/>
    <w:p w14:paraId="15603C33" w14:textId="77777777" w:rsidR="00103D18" w:rsidRDefault="00103D18"/>
    <w:p w14:paraId="130801C0" w14:textId="77777777" w:rsidR="00103D18" w:rsidRPr="007B7470" w:rsidRDefault="00103D18" w:rsidP="00103D1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14:paraId="3537D0E8" w14:textId="77777777" w:rsidR="00103D18" w:rsidRPr="007B7470" w:rsidRDefault="00103D18" w:rsidP="00103D1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14:paraId="395629ED" w14:textId="77777777" w:rsidR="00103D18" w:rsidRPr="007B7470" w:rsidRDefault="00103D18" w:rsidP="00103D18">
      <w:pPr>
        <w:spacing w:after="0" w:line="240" w:lineRule="auto"/>
        <w:jc w:val="right"/>
        <w:rPr>
          <w:rFonts w:ascii="Times New Roman" w:eastAsia="Times New Roman" w:hAnsi="Times New Roman" w:cs="Times New Roman"/>
          <w:b/>
          <w:bCs/>
          <w:sz w:val="24"/>
          <w:szCs w:val="24"/>
          <w:lang w:eastAsia="sk-SK"/>
        </w:rPr>
      </w:pPr>
    </w:p>
    <w:p w14:paraId="3993342D" w14:textId="77777777" w:rsidR="00103D18" w:rsidRPr="00F73B0D" w:rsidRDefault="00103D18" w:rsidP="00103D18">
      <w:pPr>
        <w:spacing w:after="0" w:line="240" w:lineRule="auto"/>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2.1 Zhrnutie vplyvov na rozpočet verejnej správy v návrhu</w:t>
      </w:r>
    </w:p>
    <w:p w14:paraId="5F457C56" w14:textId="77777777" w:rsidR="00103D18" w:rsidRPr="007B7470" w:rsidRDefault="00103D18" w:rsidP="00103D1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103D18" w:rsidRPr="007B7470" w14:paraId="1DB6C8F2" w14:textId="77777777" w:rsidTr="009A347A">
        <w:trPr>
          <w:cantSplit/>
          <w:trHeight w:val="194"/>
          <w:jc w:val="center"/>
        </w:trPr>
        <w:tc>
          <w:tcPr>
            <w:tcW w:w="4661" w:type="dxa"/>
            <w:vMerge w:val="restart"/>
            <w:shd w:val="clear" w:color="auto" w:fill="BFBFBF" w:themeFill="background1" w:themeFillShade="BF"/>
            <w:vAlign w:val="center"/>
          </w:tcPr>
          <w:p w14:paraId="07BFCEDB"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bookmarkStart w:id="0" w:name="OLE_LINK1"/>
            <w:r w:rsidRPr="00F73B0D">
              <w:rPr>
                <w:rFonts w:ascii="Times New Roman" w:eastAsia="Times New Roman" w:hAnsi="Times New Roman" w:cs="Times New Roman"/>
                <w:b/>
                <w:bCs/>
                <w:lang w:eastAsia="sk-SK"/>
              </w:rPr>
              <w:t>Vplyvy na rozpočet verejnej správy</w:t>
            </w:r>
          </w:p>
        </w:tc>
        <w:tc>
          <w:tcPr>
            <w:tcW w:w="5068" w:type="dxa"/>
            <w:gridSpan w:val="4"/>
            <w:shd w:val="clear" w:color="auto" w:fill="BFBFBF" w:themeFill="background1" w:themeFillShade="BF"/>
            <w:vAlign w:val="center"/>
          </w:tcPr>
          <w:p w14:paraId="646F5257"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Vplyv na rozpočet verejnej správy (v eurách)</w:t>
            </w:r>
          </w:p>
        </w:tc>
      </w:tr>
      <w:tr w:rsidR="00103D18" w:rsidRPr="007B7470" w14:paraId="66901123" w14:textId="77777777" w:rsidTr="009A347A">
        <w:trPr>
          <w:cantSplit/>
          <w:trHeight w:val="70"/>
          <w:jc w:val="center"/>
        </w:trPr>
        <w:tc>
          <w:tcPr>
            <w:tcW w:w="4661" w:type="dxa"/>
            <w:vMerge/>
            <w:shd w:val="clear" w:color="auto" w:fill="BFBFBF" w:themeFill="background1" w:themeFillShade="BF"/>
            <w:vAlign w:val="center"/>
          </w:tcPr>
          <w:p w14:paraId="0847B0A1"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414FB341"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2024</w:t>
            </w:r>
          </w:p>
        </w:tc>
        <w:tc>
          <w:tcPr>
            <w:tcW w:w="1267" w:type="dxa"/>
            <w:shd w:val="clear" w:color="auto" w:fill="BFBFBF" w:themeFill="background1" w:themeFillShade="BF"/>
            <w:vAlign w:val="center"/>
          </w:tcPr>
          <w:p w14:paraId="299CA93E"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2025</w:t>
            </w:r>
          </w:p>
        </w:tc>
        <w:tc>
          <w:tcPr>
            <w:tcW w:w="1267" w:type="dxa"/>
            <w:shd w:val="clear" w:color="auto" w:fill="BFBFBF" w:themeFill="background1" w:themeFillShade="BF"/>
            <w:vAlign w:val="center"/>
          </w:tcPr>
          <w:p w14:paraId="7A158730"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2026</w:t>
            </w:r>
          </w:p>
        </w:tc>
        <w:tc>
          <w:tcPr>
            <w:tcW w:w="1267" w:type="dxa"/>
            <w:shd w:val="clear" w:color="auto" w:fill="BFBFBF" w:themeFill="background1" w:themeFillShade="BF"/>
            <w:vAlign w:val="center"/>
          </w:tcPr>
          <w:p w14:paraId="26F02A36"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2027</w:t>
            </w:r>
          </w:p>
        </w:tc>
      </w:tr>
      <w:tr w:rsidR="00103D18" w:rsidRPr="007B7470" w14:paraId="1E6337CE" w14:textId="77777777" w:rsidTr="009A347A">
        <w:trPr>
          <w:trHeight w:val="70"/>
          <w:jc w:val="center"/>
        </w:trPr>
        <w:tc>
          <w:tcPr>
            <w:tcW w:w="4661" w:type="dxa"/>
            <w:shd w:val="clear" w:color="auto" w:fill="C0C0C0"/>
            <w:noWrap/>
            <w:vAlign w:val="center"/>
          </w:tcPr>
          <w:p w14:paraId="3FEE5C68" w14:textId="77777777" w:rsidR="00103D18" w:rsidRPr="00F73B0D" w:rsidRDefault="00103D18" w:rsidP="009A347A">
            <w:pPr>
              <w:spacing w:after="0" w:line="240" w:lineRule="auto"/>
              <w:rPr>
                <w:rFonts w:ascii="Times New Roman" w:eastAsia="Times New Roman" w:hAnsi="Times New Roman" w:cs="Times New Roman"/>
                <w:lang w:eastAsia="sk-SK"/>
              </w:rPr>
            </w:pPr>
            <w:r w:rsidRPr="00F73B0D">
              <w:rPr>
                <w:rFonts w:ascii="Times New Roman" w:eastAsia="Times New Roman" w:hAnsi="Times New Roman" w:cs="Times New Roman"/>
                <w:b/>
                <w:bCs/>
                <w:lang w:eastAsia="sk-SK"/>
              </w:rPr>
              <w:t>Príjmy verejnej správy celkom</w:t>
            </w:r>
          </w:p>
        </w:tc>
        <w:tc>
          <w:tcPr>
            <w:tcW w:w="1267" w:type="dxa"/>
            <w:shd w:val="clear" w:color="auto" w:fill="C0C0C0"/>
            <w:vAlign w:val="center"/>
          </w:tcPr>
          <w:p w14:paraId="365BE2D0"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vAlign w:val="center"/>
          </w:tcPr>
          <w:p w14:paraId="7E192804"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vAlign w:val="center"/>
          </w:tcPr>
          <w:p w14:paraId="26211538"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vAlign w:val="center"/>
          </w:tcPr>
          <w:p w14:paraId="5E37D13F"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r>
      <w:tr w:rsidR="00103D18" w:rsidRPr="007B7470" w14:paraId="67815990" w14:textId="77777777" w:rsidTr="009A347A">
        <w:trPr>
          <w:trHeight w:val="132"/>
          <w:jc w:val="center"/>
        </w:trPr>
        <w:tc>
          <w:tcPr>
            <w:tcW w:w="4661" w:type="dxa"/>
            <w:noWrap/>
            <w:vAlign w:val="center"/>
          </w:tcPr>
          <w:p w14:paraId="5F608C1C" w14:textId="77777777" w:rsidR="00103D18" w:rsidRPr="00F73B0D" w:rsidRDefault="00103D18" w:rsidP="009A347A">
            <w:pPr>
              <w:spacing w:after="0" w:line="240" w:lineRule="auto"/>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 xml:space="preserve">v tom: </w:t>
            </w:r>
          </w:p>
        </w:tc>
        <w:tc>
          <w:tcPr>
            <w:tcW w:w="1267" w:type="dxa"/>
            <w:noWrap/>
            <w:vAlign w:val="center"/>
          </w:tcPr>
          <w:p w14:paraId="15EC09CE"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1B40F270"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25A17AEC"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3EF5671B"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r>
      <w:tr w:rsidR="00103D18" w:rsidRPr="007B7470" w14:paraId="3DDE1AD6" w14:textId="77777777" w:rsidTr="009A347A">
        <w:trPr>
          <w:trHeight w:val="70"/>
          <w:jc w:val="center"/>
        </w:trPr>
        <w:tc>
          <w:tcPr>
            <w:tcW w:w="4661" w:type="dxa"/>
            <w:noWrap/>
            <w:vAlign w:val="center"/>
          </w:tcPr>
          <w:p w14:paraId="6855D296"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xml:space="preserve">z toho:  </w:t>
            </w:r>
          </w:p>
        </w:tc>
        <w:tc>
          <w:tcPr>
            <w:tcW w:w="1267" w:type="dxa"/>
            <w:noWrap/>
            <w:vAlign w:val="center"/>
          </w:tcPr>
          <w:p w14:paraId="3F7CA63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2C00C6F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34DE0D2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45AAA08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r>
      <w:tr w:rsidR="00103D18" w:rsidRPr="007B7470" w14:paraId="0A926C59" w14:textId="77777777" w:rsidTr="009A347A">
        <w:trPr>
          <w:trHeight w:val="125"/>
          <w:jc w:val="center"/>
        </w:trPr>
        <w:tc>
          <w:tcPr>
            <w:tcW w:w="4661" w:type="dxa"/>
            <w:noWrap/>
            <w:vAlign w:val="center"/>
          </w:tcPr>
          <w:p w14:paraId="0CB866E0"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ŠR</w:t>
            </w:r>
          </w:p>
        </w:tc>
        <w:tc>
          <w:tcPr>
            <w:tcW w:w="1267" w:type="dxa"/>
            <w:noWrap/>
            <w:vAlign w:val="center"/>
          </w:tcPr>
          <w:p w14:paraId="194F5EC4"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4F3524F"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55A950A7"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5B87FA19"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r>
      <w:tr w:rsidR="00103D18" w:rsidRPr="007B7470" w14:paraId="6A257C3A" w14:textId="77777777" w:rsidTr="009A347A">
        <w:trPr>
          <w:trHeight w:val="125"/>
          <w:jc w:val="center"/>
        </w:trPr>
        <w:tc>
          <w:tcPr>
            <w:tcW w:w="4661" w:type="dxa"/>
            <w:noWrap/>
            <w:vAlign w:val="center"/>
          </w:tcPr>
          <w:p w14:paraId="2E534EF3" w14:textId="77777777" w:rsidR="00103D18" w:rsidRPr="00F73B0D" w:rsidRDefault="00103D18" w:rsidP="009A347A">
            <w:pPr>
              <w:spacing w:after="0" w:line="240" w:lineRule="auto"/>
              <w:ind w:left="259"/>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Cs/>
                <w:i/>
                <w:iCs/>
                <w:sz w:val="20"/>
                <w:szCs w:val="20"/>
                <w:lang w:eastAsia="sk-SK"/>
              </w:rPr>
              <w:t>Rozpočtové prostriedky</w:t>
            </w:r>
          </w:p>
        </w:tc>
        <w:tc>
          <w:tcPr>
            <w:tcW w:w="1267" w:type="dxa"/>
            <w:noWrap/>
            <w:vAlign w:val="center"/>
          </w:tcPr>
          <w:p w14:paraId="4D08981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5DBFA610"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1C528962"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256D38B7"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r>
      <w:tr w:rsidR="00103D18" w:rsidRPr="007B7470" w14:paraId="70DA97F9" w14:textId="77777777" w:rsidTr="009A347A">
        <w:trPr>
          <w:trHeight w:val="125"/>
          <w:jc w:val="center"/>
        </w:trPr>
        <w:tc>
          <w:tcPr>
            <w:tcW w:w="4661" w:type="dxa"/>
            <w:noWrap/>
            <w:vAlign w:val="center"/>
          </w:tcPr>
          <w:p w14:paraId="3B1B9C4E" w14:textId="77777777" w:rsidR="00103D18" w:rsidRPr="00F73B0D" w:rsidRDefault="00103D18" w:rsidP="009A347A">
            <w:pPr>
              <w:spacing w:after="0" w:line="240" w:lineRule="auto"/>
              <w:ind w:left="259"/>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EÚ zdroje</w:t>
            </w:r>
          </w:p>
        </w:tc>
        <w:tc>
          <w:tcPr>
            <w:tcW w:w="1267" w:type="dxa"/>
            <w:noWrap/>
            <w:vAlign w:val="center"/>
          </w:tcPr>
          <w:p w14:paraId="2D483102"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458CD6F1"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471EC4C0"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026ED47E"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32746306" w14:textId="77777777" w:rsidTr="009A347A">
        <w:trPr>
          <w:trHeight w:val="125"/>
          <w:jc w:val="center"/>
        </w:trPr>
        <w:tc>
          <w:tcPr>
            <w:tcW w:w="4661" w:type="dxa"/>
            <w:noWrap/>
            <w:vAlign w:val="center"/>
          </w:tcPr>
          <w:p w14:paraId="0D052020"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obce</w:t>
            </w:r>
          </w:p>
        </w:tc>
        <w:tc>
          <w:tcPr>
            <w:tcW w:w="1267" w:type="dxa"/>
            <w:noWrap/>
            <w:vAlign w:val="center"/>
          </w:tcPr>
          <w:p w14:paraId="18AE2EF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D4D5EB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C36DB1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F80922B"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129933BB" w14:textId="77777777" w:rsidTr="009A347A">
        <w:trPr>
          <w:trHeight w:val="125"/>
          <w:jc w:val="center"/>
        </w:trPr>
        <w:tc>
          <w:tcPr>
            <w:tcW w:w="4661" w:type="dxa"/>
            <w:noWrap/>
            <w:vAlign w:val="center"/>
          </w:tcPr>
          <w:p w14:paraId="3607AA22"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vyššie územné celky</w:t>
            </w:r>
          </w:p>
        </w:tc>
        <w:tc>
          <w:tcPr>
            <w:tcW w:w="1267" w:type="dxa"/>
            <w:noWrap/>
            <w:vAlign w:val="center"/>
          </w:tcPr>
          <w:p w14:paraId="5F16A2BB"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26DCB9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928D3D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E530951"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5A3C22EC" w14:textId="77777777" w:rsidTr="009A347A">
        <w:trPr>
          <w:trHeight w:val="125"/>
          <w:jc w:val="center"/>
        </w:trPr>
        <w:tc>
          <w:tcPr>
            <w:tcW w:w="4661" w:type="dxa"/>
            <w:noWrap/>
            <w:vAlign w:val="center"/>
          </w:tcPr>
          <w:p w14:paraId="1A625578"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ostatné subjekty verejnej správy</w:t>
            </w:r>
          </w:p>
        </w:tc>
        <w:tc>
          <w:tcPr>
            <w:tcW w:w="1267" w:type="dxa"/>
            <w:noWrap/>
            <w:vAlign w:val="center"/>
          </w:tcPr>
          <w:p w14:paraId="4975897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D27DF9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DB98EA1"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2A18A1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04A5DFAF" w14:textId="77777777" w:rsidTr="009A347A">
        <w:trPr>
          <w:trHeight w:val="125"/>
          <w:jc w:val="center"/>
        </w:trPr>
        <w:tc>
          <w:tcPr>
            <w:tcW w:w="4661" w:type="dxa"/>
            <w:shd w:val="clear" w:color="auto" w:fill="C0C0C0"/>
            <w:noWrap/>
            <w:vAlign w:val="center"/>
          </w:tcPr>
          <w:p w14:paraId="50148DE7" w14:textId="77777777" w:rsidR="00103D18" w:rsidRPr="00F73B0D" w:rsidRDefault="00103D18" w:rsidP="009A347A">
            <w:pPr>
              <w:spacing w:after="0" w:line="240" w:lineRule="auto"/>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Výdavky verejnej správy celkom</w:t>
            </w:r>
          </w:p>
        </w:tc>
        <w:tc>
          <w:tcPr>
            <w:tcW w:w="1267" w:type="dxa"/>
            <w:shd w:val="clear" w:color="auto" w:fill="C0C0C0"/>
            <w:noWrap/>
            <w:vAlign w:val="center"/>
          </w:tcPr>
          <w:p w14:paraId="3F94AC69"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 xml:space="preserve">0 </w:t>
            </w:r>
          </w:p>
        </w:tc>
        <w:tc>
          <w:tcPr>
            <w:tcW w:w="1267" w:type="dxa"/>
            <w:shd w:val="clear" w:color="auto" w:fill="C0C0C0"/>
            <w:noWrap/>
            <w:vAlign w:val="center"/>
          </w:tcPr>
          <w:p w14:paraId="45A71BA6"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 xml:space="preserve">346 281,90 </w:t>
            </w:r>
          </w:p>
        </w:tc>
        <w:tc>
          <w:tcPr>
            <w:tcW w:w="1267" w:type="dxa"/>
            <w:shd w:val="clear" w:color="auto" w:fill="C0C0C0"/>
            <w:noWrap/>
            <w:vAlign w:val="center"/>
          </w:tcPr>
          <w:p w14:paraId="36DC9189"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noWrap/>
            <w:vAlign w:val="center"/>
          </w:tcPr>
          <w:p w14:paraId="46C813A1"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 xml:space="preserve">0   </w:t>
            </w:r>
          </w:p>
        </w:tc>
      </w:tr>
      <w:tr w:rsidR="00103D18" w:rsidRPr="007B7470" w14:paraId="53F5C60D" w14:textId="77777777" w:rsidTr="009A347A">
        <w:trPr>
          <w:trHeight w:val="70"/>
          <w:jc w:val="center"/>
        </w:trPr>
        <w:tc>
          <w:tcPr>
            <w:tcW w:w="4661" w:type="dxa"/>
            <w:noWrap/>
            <w:vAlign w:val="center"/>
          </w:tcPr>
          <w:p w14:paraId="6A82E808" w14:textId="77777777" w:rsidR="00103D18" w:rsidRPr="00F73B0D" w:rsidRDefault="00103D18" w:rsidP="009A347A">
            <w:pPr>
              <w:spacing w:after="0" w:line="240" w:lineRule="auto"/>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 xml:space="preserve">v tom: </w:t>
            </w:r>
            <w:r w:rsidRPr="00F73B0D">
              <w:rPr>
                <w:rFonts w:ascii="Times New Roman" w:eastAsia="Times New Roman" w:hAnsi="Times New Roman" w:cs="Times New Roman"/>
                <w:i/>
                <w:iCs/>
                <w:sz w:val="20"/>
                <w:szCs w:val="20"/>
                <w:lang w:eastAsia="sk-SK"/>
              </w:rPr>
              <w:t>kapitola MF SR/0EK 0D IT financované zo ŠR – MF SR (org. FR SR)</w:t>
            </w:r>
          </w:p>
        </w:tc>
        <w:tc>
          <w:tcPr>
            <w:tcW w:w="1267" w:type="dxa"/>
            <w:noWrap/>
            <w:vAlign w:val="center"/>
          </w:tcPr>
          <w:p w14:paraId="3B0C623C"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65215DC7"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 xml:space="preserve">346 281,90 </w:t>
            </w:r>
          </w:p>
        </w:tc>
        <w:tc>
          <w:tcPr>
            <w:tcW w:w="1267" w:type="dxa"/>
            <w:noWrap/>
            <w:vAlign w:val="center"/>
          </w:tcPr>
          <w:p w14:paraId="4C178E28"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3EB57FD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33A5EF48" w14:textId="77777777" w:rsidTr="009A347A">
        <w:trPr>
          <w:trHeight w:val="70"/>
          <w:jc w:val="center"/>
        </w:trPr>
        <w:tc>
          <w:tcPr>
            <w:tcW w:w="4661" w:type="dxa"/>
            <w:noWrap/>
            <w:vAlign w:val="center"/>
          </w:tcPr>
          <w:p w14:paraId="16BBB8FE"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xml:space="preserve">z toho: </w:t>
            </w:r>
          </w:p>
        </w:tc>
        <w:tc>
          <w:tcPr>
            <w:tcW w:w="1267" w:type="dxa"/>
            <w:noWrap/>
            <w:vAlign w:val="center"/>
          </w:tcPr>
          <w:p w14:paraId="3AB49AB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3D9FA83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3105CC2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4675E38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r>
      <w:tr w:rsidR="00103D18" w:rsidRPr="007B7470" w14:paraId="79119E71" w14:textId="77777777" w:rsidTr="009A347A">
        <w:trPr>
          <w:trHeight w:val="70"/>
          <w:jc w:val="center"/>
        </w:trPr>
        <w:tc>
          <w:tcPr>
            <w:tcW w:w="4661" w:type="dxa"/>
            <w:noWrap/>
            <w:vAlign w:val="center"/>
          </w:tcPr>
          <w:p w14:paraId="7FD97D10"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ŠR</w:t>
            </w:r>
          </w:p>
        </w:tc>
        <w:tc>
          <w:tcPr>
            <w:tcW w:w="1267" w:type="dxa"/>
            <w:noWrap/>
            <w:vAlign w:val="center"/>
          </w:tcPr>
          <w:p w14:paraId="559FBBD5"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BF5BF4E"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 xml:space="preserve">346 281,90 </w:t>
            </w:r>
          </w:p>
        </w:tc>
        <w:tc>
          <w:tcPr>
            <w:tcW w:w="1267" w:type="dxa"/>
            <w:noWrap/>
            <w:vAlign w:val="center"/>
          </w:tcPr>
          <w:p w14:paraId="4DB906E0"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E499CCF"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0052FBC0" w14:textId="77777777" w:rsidTr="009A347A">
        <w:trPr>
          <w:trHeight w:val="70"/>
          <w:jc w:val="center"/>
        </w:trPr>
        <w:tc>
          <w:tcPr>
            <w:tcW w:w="4661" w:type="dxa"/>
            <w:noWrap/>
            <w:vAlign w:val="center"/>
          </w:tcPr>
          <w:p w14:paraId="33F84ECF" w14:textId="77777777" w:rsidR="00103D18" w:rsidRPr="00F73B0D" w:rsidRDefault="00103D18" w:rsidP="009A347A">
            <w:pPr>
              <w:spacing w:after="0" w:line="240" w:lineRule="auto"/>
              <w:ind w:left="259"/>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Cs/>
                <w:i/>
                <w:iCs/>
                <w:sz w:val="20"/>
                <w:szCs w:val="20"/>
                <w:lang w:eastAsia="sk-SK"/>
              </w:rPr>
              <w:t>Rozpočtové prostriedky</w:t>
            </w:r>
          </w:p>
        </w:tc>
        <w:tc>
          <w:tcPr>
            <w:tcW w:w="1267" w:type="dxa"/>
            <w:noWrap/>
            <w:vAlign w:val="center"/>
          </w:tcPr>
          <w:p w14:paraId="57F43B7B"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F9AC72F"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 xml:space="preserve">346 281,90 </w:t>
            </w:r>
          </w:p>
        </w:tc>
        <w:tc>
          <w:tcPr>
            <w:tcW w:w="1267" w:type="dxa"/>
            <w:noWrap/>
            <w:vAlign w:val="center"/>
          </w:tcPr>
          <w:p w14:paraId="7FD8265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243063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02F725FA" w14:textId="77777777" w:rsidTr="009A347A">
        <w:trPr>
          <w:trHeight w:val="70"/>
          <w:jc w:val="center"/>
        </w:trPr>
        <w:tc>
          <w:tcPr>
            <w:tcW w:w="4661" w:type="dxa"/>
            <w:noWrap/>
            <w:vAlign w:val="center"/>
          </w:tcPr>
          <w:p w14:paraId="0A90A0F6" w14:textId="77777777" w:rsidR="00103D18" w:rsidRPr="00F73B0D" w:rsidRDefault="00103D18" w:rsidP="009A347A">
            <w:pPr>
              <w:spacing w:after="0" w:line="240" w:lineRule="auto"/>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 xml:space="preserve">    EÚ zdroje</w:t>
            </w:r>
          </w:p>
        </w:tc>
        <w:tc>
          <w:tcPr>
            <w:tcW w:w="1267" w:type="dxa"/>
            <w:noWrap/>
            <w:vAlign w:val="center"/>
          </w:tcPr>
          <w:p w14:paraId="697BB749"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4A336365"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3078FC39"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2C70EB1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187AFBC1" w14:textId="77777777" w:rsidTr="009A347A">
        <w:trPr>
          <w:trHeight w:val="70"/>
          <w:jc w:val="center"/>
        </w:trPr>
        <w:tc>
          <w:tcPr>
            <w:tcW w:w="4661" w:type="dxa"/>
            <w:noWrap/>
            <w:vAlign w:val="center"/>
          </w:tcPr>
          <w:p w14:paraId="5E7894C7" w14:textId="77777777" w:rsidR="00103D18" w:rsidRPr="00F73B0D" w:rsidRDefault="00103D18" w:rsidP="009A347A">
            <w:pPr>
              <w:spacing w:after="0" w:line="240" w:lineRule="auto"/>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 xml:space="preserve">    spolufinancovanie</w:t>
            </w:r>
          </w:p>
        </w:tc>
        <w:tc>
          <w:tcPr>
            <w:tcW w:w="1267" w:type="dxa"/>
            <w:noWrap/>
            <w:vAlign w:val="center"/>
          </w:tcPr>
          <w:p w14:paraId="52F06F89"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6CF3B20F"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5C02DABD"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748E7713"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43F2CC42" w14:textId="77777777" w:rsidTr="009A347A">
        <w:trPr>
          <w:trHeight w:val="125"/>
          <w:jc w:val="center"/>
        </w:trPr>
        <w:tc>
          <w:tcPr>
            <w:tcW w:w="4661" w:type="dxa"/>
            <w:noWrap/>
            <w:vAlign w:val="center"/>
          </w:tcPr>
          <w:p w14:paraId="4118EBA9"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obce</w:t>
            </w:r>
          </w:p>
        </w:tc>
        <w:tc>
          <w:tcPr>
            <w:tcW w:w="1267" w:type="dxa"/>
            <w:noWrap/>
            <w:vAlign w:val="center"/>
          </w:tcPr>
          <w:p w14:paraId="7415965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B35BA0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572DCB4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2DD041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26052021" w14:textId="77777777" w:rsidTr="009A347A">
        <w:trPr>
          <w:trHeight w:val="125"/>
          <w:jc w:val="center"/>
        </w:trPr>
        <w:tc>
          <w:tcPr>
            <w:tcW w:w="4661" w:type="dxa"/>
            <w:noWrap/>
            <w:vAlign w:val="center"/>
          </w:tcPr>
          <w:p w14:paraId="5492DB03" w14:textId="77777777" w:rsidR="00103D18" w:rsidRPr="00F73B0D" w:rsidRDefault="00103D18" w:rsidP="009A347A">
            <w:pPr>
              <w:spacing w:after="0" w:line="240" w:lineRule="auto"/>
              <w:ind w:left="203"/>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 xml:space="preserve">z toho vplyv nových úloh v zmysle ods. 2 Čl. 6 ústavného zákona č. 493/2011 Z. z. </w:t>
            </w:r>
          </w:p>
          <w:p w14:paraId="20E8F688" w14:textId="77777777" w:rsidR="00103D18" w:rsidRPr="00F73B0D" w:rsidRDefault="00103D18" w:rsidP="009A347A">
            <w:pPr>
              <w:spacing w:after="0" w:line="240" w:lineRule="auto"/>
              <w:ind w:left="203"/>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Cs/>
                <w:i/>
                <w:iCs/>
                <w:sz w:val="20"/>
                <w:szCs w:val="20"/>
                <w:lang w:eastAsia="sk-SK"/>
              </w:rPr>
              <w:t>o rozpočtovej zodpovednosti</w:t>
            </w:r>
          </w:p>
        </w:tc>
        <w:tc>
          <w:tcPr>
            <w:tcW w:w="1267" w:type="dxa"/>
            <w:noWrap/>
            <w:vAlign w:val="center"/>
          </w:tcPr>
          <w:p w14:paraId="24467D39"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3F3EC7ED"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6688AF3B"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24B745FF"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0272EA62" w14:textId="77777777" w:rsidTr="009A347A">
        <w:trPr>
          <w:trHeight w:val="125"/>
          <w:jc w:val="center"/>
        </w:trPr>
        <w:tc>
          <w:tcPr>
            <w:tcW w:w="4661" w:type="dxa"/>
            <w:noWrap/>
            <w:vAlign w:val="center"/>
          </w:tcPr>
          <w:p w14:paraId="2DAE5952"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vyššie územné celky</w:t>
            </w:r>
          </w:p>
        </w:tc>
        <w:tc>
          <w:tcPr>
            <w:tcW w:w="1267" w:type="dxa"/>
            <w:noWrap/>
            <w:vAlign w:val="center"/>
          </w:tcPr>
          <w:p w14:paraId="14A575A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A9E8F56"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FED94A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86CD6A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5D19775D" w14:textId="77777777" w:rsidTr="009A347A">
        <w:trPr>
          <w:trHeight w:val="125"/>
          <w:jc w:val="center"/>
        </w:trPr>
        <w:tc>
          <w:tcPr>
            <w:tcW w:w="4661" w:type="dxa"/>
            <w:noWrap/>
            <w:vAlign w:val="center"/>
          </w:tcPr>
          <w:p w14:paraId="0D9669E0" w14:textId="77777777" w:rsidR="00103D18" w:rsidRPr="00F73B0D" w:rsidRDefault="00103D18" w:rsidP="009A347A">
            <w:pPr>
              <w:spacing w:after="0" w:line="240" w:lineRule="auto"/>
              <w:ind w:left="203"/>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 xml:space="preserve">z toho vplyv nových úloh v zmysle ods. 2 Čl. 6 ústavného zákona č. 493/2011 Z. z. </w:t>
            </w:r>
          </w:p>
          <w:p w14:paraId="5E6879A9" w14:textId="77777777" w:rsidR="00103D18" w:rsidRPr="00F73B0D" w:rsidRDefault="00103D18" w:rsidP="009A347A">
            <w:pPr>
              <w:spacing w:after="0" w:line="240" w:lineRule="auto"/>
              <w:ind w:left="203"/>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Cs/>
                <w:i/>
                <w:iCs/>
                <w:sz w:val="20"/>
                <w:szCs w:val="20"/>
                <w:lang w:eastAsia="sk-SK"/>
              </w:rPr>
              <w:t>o rozpočtovej zodpovednosti</w:t>
            </w:r>
          </w:p>
        </w:tc>
        <w:tc>
          <w:tcPr>
            <w:tcW w:w="1267" w:type="dxa"/>
            <w:noWrap/>
            <w:vAlign w:val="center"/>
          </w:tcPr>
          <w:p w14:paraId="69103D95"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2F175A4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2DEEB41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397F20C8"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609630B0" w14:textId="77777777" w:rsidTr="009A347A">
        <w:trPr>
          <w:trHeight w:val="70"/>
          <w:jc w:val="center"/>
        </w:trPr>
        <w:tc>
          <w:tcPr>
            <w:tcW w:w="4661" w:type="dxa"/>
            <w:noWrap/>
            <w:vAlign w:val="center"/>
          </w:tcPr>
          <w:p w14:paraId="35051B67" w14:textId="77777777" w:rsidR="00103D18" w:rsidRPr="00F73B0D" w:rsidRDefault="00103D18" w:rsidP="009A347A">
            <w:pPr>
              <w:spacing w:after="0" w:line="240" w:lineRule="auto"/>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i/>
                <w:iCs/>
                <w:sz w:val="20"/>
                <w:szCs w:val="20"/>
                <w:lang w:eastAsia="sk-SK"/>
              </w:rPr>
              <w:t>- vplyv na ostatné subjekty verejnej správy</w:t>
            </w:r>
          </w:p>
        </w:tc>
        <w:tc>
          <w:tcPr>
            <w:tcW w:w="1267" w:type="dxa"/>
            <w:noWrap/>
            <w:vAlign w:val="center"/>
          </w:tcPr>
          <w:p w14:paraId="1FF9187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22D0D4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562905F"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1493580"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76A4AEBD" w14:textId="77777777" w:rsidTr="009A347A">
        <w:trPr>
          <w:trHeight w:val="70"/>
          <w:jc w:val="center"/>
        </w:trPr>
        <w:tc>
          <w:tcPr>
            <w:tcW w:w="4661" w:type="dxa"/>
            <w:shd w:val="clear" w:color="auto" w:fill="BFBFBF" w:themeFill="background1" w:themeFillShade="BF"/>
            <w:noWrap/>
            <w:vAlign w:val="center"/>
          </w:tcPr>
          <w:p w14:paraId="7CD6AAD2" w14:textId="77777777" w:rsidR="00103D18" w:rsidRPr="00F73B0D" w:rsidRDefault="00103D18" w:rsidP="009A347A">
            <w:pPr>
              <w:spacing w:after="0" w:line="240" w:lineRule="auto"/>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 xml:space="preserve">Vplyv na počet zamestnancov </w:t>
            </w:r>
          </w:p>
        </w:tc>
        <w:tc>
          <w:tcPr>
            <w:tcW w:w="1267" w:type="dxa"/>
            <w:shd w:val="clear" w:color="auto" w:fill="BFBFBF" w:themeFill="background1" w:themeFillShade="BF"/>
            <w:noWrap/>
            <w:vAlign w:val="center"/>
          </w:tcPr>
          <w:p w14:paraId="52644727"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6C0A8F96"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6C336753"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0B0FC27B"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r>
      <w:tr w:rsidR="00103D18" w:rsidRPr="00F73B0D" w14:paraId="17706D4C" w14:textId="77777777" w:rsidTr="009A347A">
        <w:trPr>
          <w:trHeight w:val="70"/>
          <w:jc w:val="center"/>
        </w:trPr>
        <w:tc>
          <w:tcPr>
            <w:tcW w:w="4661" w:type="dxa"/>
            <w:noWrap/>
            <w:vAlign w:val="center"/>
          </w:tcPr>
          <w:p w14:paraId="26D0827F"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ŠR</w:t>
            </w:r>
          </w:p>
        </w:tc>
        <w:tc>
          <w:tcPr>
            <w:tcW w:w="1267" w:type="dxa"/>
            <w:noWrap/>
            <w:vAlign w:val="center"/>
          </w:tcPr>
          <w:p w14:paraId="282B031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522C26E"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189C276"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CF6142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3DB8A47D" w14:textId="77777777" w:rsidTr="009A347A">
        <w:trPr>
          <w:trHeight w:val="70"/>
          <w:jc w:val="center"/>
        </w:trPr>
        <w:tc>
          <w:tcPr>
            <w:tcW w:w="4661" w:type="dxa"/>
            <w:noWrap/>
            <w:vAlign w:val="center"/>
          </w:tcPr>
          <w:p w14:paraId="4F1DAE83"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obce</w:t>
            </w:r>
          </w:p>
        </w:tc>
        <w:tc>
          <w:tcPr>
            <w:tcW w:w="1267" w:type="dxa"/>
            <w:noWrap/>
            <w:vAlign w:val="center"/>
          </w:tcPr>
          <w:p w14:paraId="40BCB061"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1C75C7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83247C5"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BF83FE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566A6D61" w14:textId="77777777" w:rsidTr="009A347A">
        <w:trPr>
          <w:trHeight w:val="70"/>
          <w:jc w:val="center"/>
        </w:trPr>
        <w:tc>
          <w:tcPr>
            <w:tcW w:w="4661" w:type="dxa"/>
            <w:noWrap/>
            <w:vAlign w:val="center"/>
          </w:tcPr>
          <w:p w14:paraId="6F8B16E4"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vyššie územné celky</w:t>
            </w:r>
          </w:p>
        </w:tc>
        <w:tc>
          <w:tcPr>
            <w:tcW w:w="1267" w:type="dxa"/>
            <w:noWrap/>
            <w:vAlign w:val="center"/>
          </w:tcPr>
          <w:p w14:paraId="45FA0D9B"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4E8D8F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3D9280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CE20870"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32634359" w14:textId="77777777" w:rsidTr="009A347A">
        <w:trPr>
          <w:trHeight w:val="70"/>
          <w:jc w:val="center"/>
        </w:trPr>
        <w:tc>
          <w:tcPr>
            <w:tcW w:w="4661" w:type="dxa"/>
            <w:noWrap/>
            <w:vAlign w:val="center"/>
          </w:tcPr>
          <w:p w14:paraId="4BF30106"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ostatné subjekty verejnej správy</w:t>
            </w:r>
          </w:p>
        </w:tc>
        <w:tc>
          <w:tcPr>
            <w:tcW w:w="1267" w:type="dxa"/>
            <w:noWrap/>
            <w:vAlign w:val="center"/>
          </w:tcPr>
          <w:p w14:paraId="447B1467"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0CA895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5047560"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717AD6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0194F52F" w14:textId="77777777" w:rsidTr="009A347A">
        <w:trPr>
          <w:trHeight w:val="70"/>
          <w:jc w:val="center"/>
        </w:trPr>
        <w:tc>
          <w:tcPr>
            <w:tcW w:w="4661" w:type="dxa"/>
            <w:shd w:val="clear" w:color="auto" w:fill="BFBFBF" w:themeFill="background1" w:themeFillShade="BF"/>
            <w:noWrap/>
            <w:vAlign w:val="center"/>
          </w:tcPr>
          <w:p w14:paraId="251B7065" w14:textId="77777777" w:rsidR="00103D18" w:rsidRPr="00F73B0D" w:rsidRDefault="00103D18" w:rsidP="009A347A">
            <w:pPr>
              <w:spacing w:after="0" w:line="240" w:lineRule="auto"/>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Vplyv na mzdové výdavky</w:t>
            </w:r>
          </w:p>
        </w:tc>
        <w:tc>
          <w:tcPr>
            <w:tcW w:w="1267" w:type="dxa"/>
            <w:shd w:val="clear" w:color="auto" w:fill="BFBFBF" w:themeFill="background1" w:themeFillShade="BF"/>
            <w:noWrap/>
            <w:vAlign w:val="center"/>
          </w:tcPr>
          <w:p w14:paraId="28B39BF9" w14:textId="77777777" w:rsidR="00103D18" w:rsidRPr="00F73B0D" w:rsidRDefault="00103D18" w:rsidP="009A347A">
            <w:pPr>
              <w:spacing w:after="0" w:line="240" w:lineRule="auto"/>
              <w:jc w:val="right"/>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0D736BAA" w14:textId="77777777" w:rsidR="00103D18" w:rsidRPr="00F73B0D" w:rsidRDefault="00103D18" w:rsidP="009A347A">
            <w:pPr>
              <w:spacing w:after="0" w:line="240" w:lineRule="auto"/>
              <w:jc w:val="right"/>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1FF601D2" w14:textId="77777777" w:rsidR="00103D18" w:rsidRPr="00F73B0D" w:rsidRDefault="00103D18" w:rsidP="009A347A">
            <w:pPr>
              <w:spacing w:after="0" w:line="240" w:lineRule="auto"/>
              <w:jc w:val="right"/>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3BB09D72" w14:textId="77777777" w:rsidR="00103D18" w:rsidRPr="00F73B0D" w:rsidRDefault="00103D18" w:rsidP="009A347A">
            <w:pPr>
              <w:spacing w:after="0" w:line="240" w:lineRule="auto"/>
              <w:jc w:val="right"/>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0</w:t>
            </w:r>
          </w:p>
        </w:tc>
      </w:tr>
      <w:tr w:rsidR="00103D18" w:rsidRPr="007B7470" w14:paraId="65223F48" w14:textId="77777777" w:rsidTr="009A347A">
        <w:trPr>
          <w:trHeight w:val="70"/>
          <w:jc w:val="center"/>
        </w:trPr>
        <w:tc>
          <w:tcPr>
            <w:tcW w:w="4661" w:type="dxa"/>
            <w:noWrap/>
            <w:vAlign w:val="center"/>
          </w:tcPr>
          <w:p w14:paraId="4A8ECC96"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ŠR</w:t>
            </w:r>
          </w:p>
        </w:tc>
        <w:tc>
          <w:tcPr>
            <w:tcW w:w="1267" w:type="dxa"/>
            <w:noWrap/>
            <w:vAlign w:val="center"/>
          </w:tcPr>
          <w:p w14:paraId="634B7F64"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2631005"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D6A70D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778174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60A773E0" w14:textId="77777777" w:rsidTr="009A347A">
        <w:trPr>
          <w:trHeight w:val="70"/>
          <w:jc w:val="center"/>
        </w:trPr>
        <w:tc>
          <w:tcPr>
            <w:tcW w:w="4661" w:type="dxa"/>
            <w:noWrap/>
            <w:vAlign w:val="center"/>
          </w:tcPr>
          <w:p w14:paraId="6DE29F58"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obce</w:t>
            </w:r>
          </w:p>
        </w:tc>
        <w:tc>
          <w:tcPr>
            <w:tcW w:w="1267" w:type="dxa"/>
            <w:noWrap/>
            <w:vAlign w:val="center"/>
          </w:tcPr>
          <w:p w14:paraId="2A07EC4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D003CA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5D22C85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A6CF2B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09409BDF" w14:textId="77777777" w:rsidTr="009A347A">
        <w:trPr>
          <w:trHeight w:val="70"/>
          <w:jc w:val="center"/>
        </w:trPr>
        <w:tc>
          <w:tcPr>
            <w:tcW w:w="4661" w:type="dxa"/>
            <w:noWrap/>
            <w:vAlign w:val="center"/>
          </w:tcPr>
          <w:p w14:paraId="131530B8"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vyššie územné celky</w:t>
            </w:r>
          </w:p>
        </w:tc>
        <w:tc>
          <w:tcPr>
            <w:tcW w:w="1267" w:type="dxa"/>
            <w:noWrap/>
            <w:vAlign w:val="center"/>
          </w:tcPr>
          <w:p w14:paraId="2EFABC3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4144F3E"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A30EA9E"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1A59B3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0F25201D" w14:textId="77777777" w:rsidTr="009A347A">
        <w:trPr>
          <w:trHeight w:val="70"/>
          <w:jc w:val="center"/>
        </w:trPr>
        <w:tc>
          <w:tcPr>
            <w:tcW w:w="4661" w:type="dxa"/>
            <w:noWrap/>
            <w:vAlign w:val="center"/>
          </w:tcPr>
          <w:p w14:paraId="0EA87C67" w14:textId="77777777" w:rsidR="00103D18" w:rsidRPr="00F73B0D" w:rsidRDefault="00103D18" w:rsidP="009A347A">
            <w:pPr>
              <w:spacing w:after="0" w:line="240" w:lineRule="auto"/>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i/>
                <w:iCs/>
                <w:sz w:val="20"/>
                <w:szCs w:val="20"/>
                <w:lang w:eastAsia="sk-SK"/>
              </w:rPr>
              <w:t>- vplyv na ostatné subjekty verejnej správy</w:t>
            </w:r>
          </w:p>
        </w:tc>
        <w:tc>
          <w:tcPr>
            <w:tcW w:w="1267" w:type="dxa"/>
            <w:noWrap/>
            <w:vAlign w:val="center"/>
          </w:tcPr>
          <w:p w14:paraId="70B92C5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AE71D44"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5F5A5F64"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90A672E"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3641138E" w14:textId="77777777" w:rsidTr="009A347A">
        <w:trPr>
          <w:trHeight w:val="70"/>
          <w:jc w:val="center"/>
        </w:trPr>
        <w:tc>
          <w:tcPr>
            <w:tcW w:w="4661" w:type="dxa"/>
            <w:shd w:val="clear" w:color="auto" w:fill="C0C0C0"/>
            <w:noWrap/>
            <w:vAlign w:val="center"/>
          </w:tcPr>
          <w:p w14:paraId="1E4DA831" w14:textId="77777777" w:rsidR="00103D18" w:rsidRPr="00F73B0D" w:rsidRDefault="00103D18" w:rsidP="009A347A">
            <w:pPr>
              <w:spacing w:after="0" w:line="240" w:lineRule="auto"/>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Financovanie zabezpečené v rozpočte</w:t>
            </w:r>
          </w:p>
        </w:tc>
        <w:tc>
          <w:tcPr>
            <w:tcW w:w="1267" w:type="dxa"/>
            <w:shd w:val="clear" w:color="auto" w:fill="C0C0C0"/>
            <w:noWrap/>
            <w:vAlign w:val="center"/>
          </w:tcPr>
          <w:p w14:paraId="243A275C"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noWrap/>
            <w:vAlign w:val="center"/>
          </w:tcPr>
          <w:p w14:paraId="6604B9CE" w14:textId="77777777" w:rsidR="00103D18" w:rsidRPr="00F73B0D" w:rsidRDefault="00103D18" w:rsidP="009A347A">
            <w:pPr>
              <w:spacing w:after="0" w:line="240" w:lineRule="auto"/>
              <w:jc w:val="right"/>
              <w:rPr>
                <w:rFonts w:ascii="Times New Roman" w:eastAsia="Times New Roman" w:hAnsi="Times New Roman" w:cs="Times New Roman"/>
                <w:bCs/>
                <w:lang w:eastAsia="sk-SK"/>
              </w:rPr>
            </w:pPr>
            <w:r w:rsidRPr="00F73B0D">
              <w:rPr>
                <w:rFonts w:ascii="Times New Roman" w:eastAsia="Times New Roman" w:hAnsi="Times New Roman" w:cs="Times New Roman"/>
                <w:b/>
                <w:bCs/>
                <w:lang w:eastAsia="sk-SK"/>
              </w:rPr>
              <w:t>346 281,90</w:t>
            </w:r>
          </w:p>
        </w:tc>
        <w:tc>
          <w:tcPr>
            <w:tcW w:w="1267" w:type="dxa"/>
            <w:shd w:val="clear" w:color="auto" w:fill="C0C0C0"/>
            <w:noWrap/>
            <w:vAlign w:val="center"/>
          </w:tcPr>
          <w:p w14:paraId="5E58F551"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noWrap/>
            <w:vAlign w:val="center"/>
          </w:tcPr>
          <w:p w14:paraId="15C80A55"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r>
      <w:tr w:rsidR="00103D18" w:rsidRPr="007B7470" w14:paraId="18F715CF" w14:textId="77777777" w:rsidTr="009A347A">
        <w:trPr>
          <w:trHeight w:val="70"/>
          <w:jc w:val="center"/>
        </w:trPr>
        <w:tc>
          <w:tcPr>
            <w:tcW w:w="4661" w:type="dxa"/>
            <w:noWrap/>
            <w:vAlign w:val="center"/>
          </w:tcPr>
          <w:p w14:paraId="7997FCA8" w14:textId="77777777" w:rsidR="00103D18" w:rsidRPr="00F73B0D" w:rsidRDefault="00103D18" w:rsidP="009A347A">
            <w:pPr>
              <w:spacing w:after="0" w:line="240" w:lineRule="auto"/>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 xml:space="preserve">v tom: </w:t>
            </w:r>
            <w:r w:rsidRPr="00F73B0D">
              <w:rPr>
                <w:rFonts w:ascii="Times New Roman" w:eastAsia="Times New Roman" w:hAnsi="Times New Roman" w:cs="Times New Roman"/>
                <w:i/>
                <w:iCs/>
                <w:sz w:val="20"/>
                <w:szCs w:val="20"/>
                <w:lang w:eastAsia="sk-SK"/>
              </w:rPr>
              <w:t>kapitola MF SR/0EK 0D IT financované zo ŠR – MF SR (org. FR SR)</w:t>
            </w:r>
          </w:p>
        </w:tc>
        <w:tc>
          <w:tcPr>
            <w:tcW w:w="1267" w:type="dxa"/>
            <w:noWrap/>
            <w:vAlign w:val="center"/>
          </w:tcPr>
          <w:p w14:paraId="56C4C393"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558FB2B2"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b/>
                <w:bCs/>
                <w:sz w:val="20"/>
                <w:szCs w:val="20"/>
                <w:lang w:eastAsia="sk-SK"/>
              </w:rPr>
              <w:t>346 281,90</w:t>
            </w:r>
          </w:p>
        </w:tc>
        <w:tc>
          <w:tcPr>
            <w:tcW w:w="1267" w:type="dxa"/>
            <w:noWrap/>
            <w:vAlign w:val="center"/>
          </w:tcPr>
          <w:p w14:paraId="04C73DC5"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6A995FA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F44C36" w14:paraId="5450FFC5" w14:textId="77777777" w:rsidTr="009A347A">
        <w:trPr>
          <w:trHeight w:val="70"/>
          <w:jc w:val="center"/>
        </w:trPr>
        <w:tc>
          <w:tcPr>
            <w:tcW w:w="4661" w:type="dxa"/>
            <w:shd w:val="clear" w:color="auto" w:fill="BFBFBF" w:themeFill="background1" w:themeFillShade="BF"/>
            <w:noWrap/>
            <w:vAlign w:val="center"/>
          </w:tcPr>
          <w:p w14:paraId="5A0C6A02" w14:textId="77777777" w:rsidR="00103D18" w:rsidRPr="00F44C36" w:rsidRDefault="00103D18" w:rsidP="009A347A">
            <w:pPr>
              <w:spacing w:after="0" w:line="240" w:lineRule="auto"/>
              <w:rPr>
                <w:rFonts w:ascii="Times New Roman" w:eastAsia="Times New Roman" w:hAnsi="Times New Roman" w:cs="Times New Roman"/>
                <w:b/>
                <w:lang w:eastAsia="sk-SK"/>
              </w:rPr>
            </w:pPr>
            <w:r w:rsidRPr="00F44C36">
              <w:rPr>
                <w:rFonts w:ascii="Times New Roman" w:eastAsia="Times New Roman" w:hAnsi="Times New Roman" w:cs="Times New Roman"/>
                <w:b/>
                <w:lang w:eastAsia="sk-SK"/>
              </w:rPr>
              <w:t>Iné ako rozpočtové zdroje</w:t>
            </w:r>
          </w:p>
        </w:tc>
        <w:tc>
          <w:tcPr>
            <w:tcW w:w="1267" w:type="dxa"/>
            <w:shd w:val="clear" w:color="auto" w:fill="BFBFBF" w:themeFill="background1" w:themeFillShade="BF"/>
            <w:noWrap/>
            <w:vAlign w:val="center"/>
          </w:tcPr>
          <w:p w14:paraId="294BB754"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58C4DADF"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130D702F"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05958662"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r>
      <w:tr w:rsidR="00103D18" w:rsidRPr="00F44C36" w14:paraId="05488F86" w14:textId="77777777" w:rsidTr="009A347A">
        <w:trPr>
          <w:trHeight w:val="70"/>
          <w:jc w:val="center"/>
        </w:trPr>
        <w:tc>
          <w:tcPr>
            <w:tcW w:w="4661" w:type="dxa"/>
            <w:shd w:val="clear" w:color="auto" w:fill="A6A6A6" w:themeFill="background1" w:themeFillShade="A6"/>
            <w:noWrap/>
            <w:vAlign w:val="center"/>
          </w:tcPr>
          <w:p w14:paraId="4270FBD0" w14:textId="77777777" w:rsidR="00103D18" w:rsidRPr="00F44C36" w:rsidRDefault="00103D18" w:rsidP="009A347A">
            <w:pPr>
              <w:spacing w:after="0" w:line="240" w:lineRule="auto"/>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Rozpočtovo nekrytý vplyv / úspora</w:t>
            </w:r>
          </w:p>
        </w:tc>
        <w:tc>
          <w:tcPr>
            <w:tcW w:w="1267" w:type="dxa"/>
            <w:shd w:val="clear" w:color="auto" w:fill="A6A6A6" w:themeFill="background1" w:themeFillShade="A6"/>
            <w:noWrap/>
            <w:vAlign w:val="center"/>
          </w:tcPr>
          <w:p w14:paraId="03792CD6"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5AB9D227"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25BFF5CA"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50451522"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r>
      <w:bookmarkEnd w:id="0"/>
    </w:tbl>
    <w:p w14:paraId="4BB6B6CF" w14:textId="77777777" w:rsidR="00F44C36" w:rsidRDefault="00F44C36" w:rsidP="00103D18">
      <w:pPr>
        <w:spacing w:after="0"/>
        <w:rPr>
          <w:rFonts w:ascii="Times New Roman" w:eastAsia="Times New Roman" w:hAnsi="Times New Roman" w:cs="Times New Roman"/>
          <w:bCs/>
          <w:sz w:val="20"/>
          <w:szCs w:val="20"/>
          <w:lang w:eastAsia="sk-SK"/>
        </w:rPr>
      </w:pPr>
    </w:p>
    <w:p w14:paraId="3B9006B4" w14:textId="77777777" w:rsidR="00F44C36" w:rsidRDefault="00F44C36" w:rsidP="00103D18">
      <w:pPr>
        <w:spacing w:after="0"/>
        <w:rPr>
          <w:rFonts w:ascii="Times New Roman" w:eastAsia="Times New Roman" w:hAnsi="Times New Roman" w:cs="Times New Roman"/>
          <w:bCs/>
          <w:sz w:val="20"/>
          <w:szCs w:val="20"/>
          <w:lang w:eastAsia="sk-SK"/>
        </w:rPr>
      </w:pPr>
    </w:p>
    <w:p w14:paraId="1F5E09A0" w14:textId="77777777" w:rsidR="00F44C36" w:rsidRDefault="00F44C36" w:rsidP="00103D18">
      <w:pPr>
        <w:spacing w:after="0"/>
        <w:rPr>
          <w:rFonts w:ascii="Times New Roman" w:eastAsia="Times New Roman" w:hAnsi="Times New Roman" w:cs="Times New Roman"/>
          <w:bCs/>
          <w:sz w:val="20"/>
          <w:szCs w:val="20"/>
          <w:lang w:eastAsia="sk-SK"/>
        </w:rPr>
      </w:pPr>
    </w:p>
    <w:p w14:paraId="75A3F79E" w14:textId="77777777" w:rsidR="00F44C36" w:rsidRDefault="00F44C36" w:rsidP="00103D18">
      <w:pPr>
        <w:spacing w:after="0"/>
        <w:rPr>
          <w:rFonts w:ascii="Times New Roman" w:eastAsia="Times New Roman" w:hAnsi="Times New Roman" w:cs="Times New Roman"/>
          <w:bCs/>
          <w:sz w:val="20"/>
          <w:szCs w:val="20"/>
          <w:lang w:eastAsia="sk-SK"/>
        </w:rPr>
      </w:pPr>
    </w:p>
    <w:p w14:paraId="2E5F66F4" w14:textId="77777777" w:rsidR="00F44C36" w:rsidRDefault="00F44C36" w:rsidP="00103D18">
      <w:pPr>
        <w:spacing w:after="0"/>
        <w:rPr>
          <w:rFonts w:ascii="Times New Roman" w:eastAsia="Times New Roman" w:hAnsi="Times New Roman" w:cs="Times New Roman"/>
          <w:bCs/>
          <w:sz w:val="20"/>
          <w:szCs w:val="20"/>
          <w:lang w:eastAsia="sk-SK"/>
        </w:rPr>
      </w:pPr>
    </w:p>
    <w:p w14:paraId="1CFD708A" w14:textId="77777777" w:rsidR="00F44C36" w:rsidRDefault="00F44C36" w:rsidP="00103D18">
      <w:pPr>
        <w:spacing w:after="0"/>
        <w:rPr>
          <w:rFonts w:ascii="Times New Roman" w:eastAsia="Times New Roman" w:hAnsi="Times New Roman" w:cs="Times New Roman"/>
          <w:bCs/>
          <w:sz w:val="20"/>
          <w:szCs w:val="20"/>
          <w:lang w:eastAsia="sk-SK"/>
        </w:rPr>
      </w:pPr>
    </w:p>
    <w:p w14:paraId="41D32610" w14:textId="77777777" w:rsidR="00F44C36" w:rsidRDefault="00F44C36" w:rsidP="00103D18">
      <w:pPr>
        <w:spacing w:after="0"/>
        <w:rPr>
          <w:rFonts w:ascii="Times New Roman" w:eastAsia="Times New Roman" w:hAnsi="Times New Roman" w:cs="Times New Roman"/>
          <w:bCs/>
          <w:sz w:val="20"/>
          <w:szCs w:val="20"/>
          <w:lang w:eastAsia="sk-SK"/>
        </w:rPr>
      </w:pPr>
    </w:p>
    <w:p w14:paraId="5C681C09" w14:textId="77777777" w:rsidR="00F44C36" w:rsidRDefault="00F44C36" w:rsidP="00103D18">
      <w:pPr>
        <w:spacing w:after="0"/>
        <w:rPr>
          <w:rFonts w:ascii="Times New Roman" w:eastAsia="Times New Roman" w:hAnsi="Times New Roman" w:cs="Times New Roman"/>
          <w:bCs/>
          <w:sz w:val="20"/>
          <w:szCs w:val="20"/>
          <w:lang w:eastAsia="sk-SK"/>
        </w:rPr>
      </w:pPr>
    </w:p>
    <w:p w14:paraId="704D38A8" w14:textId="77777777" w:rsidR="00CF33FE" w:rsidRDefault="00CF33FE" w:rsidP="00103D18">
      <w:pPr>
        <w:spacing w:after="0"/>
        <w:rPr>
          <w:rFonts w:ascii="Times New Roman" w:eastAsia="Times New Roman" w:hAnsi="Times New Roman" w:cs="Times New Roman"/>
          <w:bCs/>
          <w:sz w:val="20"/>
          <w:szCs w:val="20"/>
          <w:lang w:eastAsia="sk-SK"/>
        </w:rPr>
      </w:pPr>
    </w:p>
    <w:p w14:paraId="21087883" w14:textId="77777777" w:rsidR="00103D18" w:rsidRPr="007B7470" w:rsidRDefault="00103D18" w:rsidP="00103D18">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103D18" w:rsidRPr="007B7470" w14:paraId="5737F03B" w14:textId="77777777" w:rsidTr="009A347A">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D03FB00" w14:textId="77777777" w:rsidR="00103D18" w:rsidRPr="00F44C36" w:rsidRDefault="00103D18" w:rsidP="009A347A">
            <w:pPr>
              <w:spacing w:after="0" w:line="240" w:lineRule="auto"/>
              <w:rPr>
                <w:rFonts w:ascii="Times New Roman" w:eastAsia="Times New Roman" w:hAnsi="Times New Roman" w:cs="Times New Roman"/>
                <w:color w:val="000000"/>
                <w:lang w:eastAsia="sk-SK"/>
              </w:rPr>
            </w:pPr>
            <w:r w:rsidRPr="00F44C36">
              <w:rPr>
                <w:rFonts w:ascii="Times New Roman" w:eastAsia="Times New Roman" w:hAnsi="Times New Roman" w:cs="Times New Roman"/>
                <w:color w:val="000000"/>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C11ECA" w14:textId="77777777" w:rsidR="00103D18" w:rsidRPr="00F44C36" w:rsidRDefault="00103D18" w:rsidP="009A347A">
            <w:pPr>
              <w:spacing w:after="0" w:line="240" w:lineRule="auto"/>
              <w:jc w:val="center"/>
              <w:rPr>
                <w:rFonts w:ascii="Times New Roman" w:eastAsia="Times New Roman" w:hAnsi="Times New Roman" w:cs="Times New Roman"/>
                <w:b/>
                <w:bCs/>
                <w:color w:val="000000"/>
                <w:lang w:eastAsia="sk-SK"/>
              </w:rPr>
            </w:pPr>
            <w:r w:rsidRPr="00F44C36">
              <w:rPr>
                <w:rFonts w:ascii="Times New Roman" w:eastAsia="Times New Roman" w:hAnsi="Times New Roman" w:cs="Times New Roman"/>
                <w:b/>
                <w:bCs/>
                <w:color w:val="000000"/>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7C72BE3" w14:textId="77777777" w:rsidR="00103D18" w:rsidRPr="00F44C36" w:rsidRDefault="00103D18" w:rsidP="009A347A">
            <w:pPr>
              <w:spacing w:after="0" w:line="240" w:lineRule="auto"/>
              <w:jc w:val="center"/>
              <w:rPr>
                <w:rFonts w:ascii="Times New Roman" w:eastAsia="Times New Roman" w:hAnsi="Times New Roman" w:cs="Times New Roman"/>
                <w:b/>
                <w:bCs/>
                <w:color w:val="000000"/>
                <w:lang w:eastAsia="sk-SK"/>
              </w:rPr>
            </w:pPr>
            <w:r w:rsidRPr="00F44C36">
              <w:rPr>
                <w:rFonts w:ascii="Times New Roman" w:eastAsia="Times New Roman" w:hAnsi="Times New Roman" w:cs="Times New Roman"/>
                <w:b/>
                <w:bCs/>
                <w:color w:val="000000"/>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EB6AB9" w14:textId="77777777" w:rsidR="00103D18" w:rsidRPr="00F44C36" w:rsidRDefault="00103D18" w:rsidP="009A347A">
            <w:pPr>
              <w:spacing w:after="0" w:line="240" w:lineRule="auto"/>
              <w:jc w:val="center"/>
              <w:rPr>
                <w:rFonts w:ascii="Times New Roman" w:eastAsia="Times New Roman" w:hAnsi="Times New Roman" w:cs="Times New Roman"/>
                <w:b/>
                <w:bCs/>
                <w:color w:val="000000"/>
                <w:lang w:eastAsia="sk-SK"/>
              </w:rPr>
            </w:pPr>
            <w:r w:rsidRPr="00F44C36">
              <w:rPr>
                <w:rFonts w:ascii="Times New Roman" w:eastAsia="Times New Roman" w:hAnsi="Times New Roman" w:cs="Times New Roman"/>
                <w:b/>
                <w:bCs/>
                <w:color w:val="000000"/>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6A0B15" w14:textId="77777777" w:rsidR="00103D18" w:rsidRPr="00F44C36" w:rsidRDefault="00103D18" w:rsidP="009A347A">
            <w:pPr>
              <w:spacing w:after="0" w:line="240" w:lineRule="auto"/>
              <w:jc w:val="center"/>
              <w:rPr>
                <w:rFonts w:ascii="Times New Roman" w:eastAsia="Times New Roman" w:hAnsi="Times New Roman" w:cs="Times New Roman"/>
                <w:b/>
                <w:bCs/>
                <w:color w:val="000000"/>
                <w:lang w:eastAsia="sk-SK"/>
              </w:rPr>
            </w:pPr>
            <w:r w:rsidRPr="00F44C36">
              <w:rPr>
                <w:rFonts w:ascii="Times New Roman" w:eastAsia="Times New Roman" w:hAnsi="Times New Roman" w:cs="Times New Roman"/>
                <w:b/>
                <w:bCs/>
                <w:color w:val="000000"/>
                <w:lang w:eastAsia="sk-SK"/>
              </w:rPr>
              <w:t>2027</w:t>
            </w:r>
          </w:p>
        </w:tc>
      </w:tr>
      <w:tr w:rsidR="00103D18" w:rsidRPr="007B7470" w14:paraId="2D703CEA"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807EBD7" w14:textId="77777777" w:rsidR="00103D18" w:rsidRPr="00F44C36" w:rsidRDefault="00103D18" w:rsidP="009A347A">
            <w:pPr>
              <w:spacing w:after="0" w:line="240" w:lineRule="auto"/>
              <w:rPr>
                <w:rFonts w:ascii="Times New Roman" w:eastAsia="Times New Roman" w:hAnsi="Times New Roman" w:cs="Times New Roman"/>
                <w:b/>
                <w:bCs/>
                <w:color w:val="000000" w:themeColor="text1"/>
                <w:lang w:eastAsia="sk-SK"/>
              </w:rPr>
            </w:pPr>
            <w:r w:rsidRPr="00F44C36">
              <w:rPr>
                <w:rFonts w:ascii="Times New Roman" w:eastAsia="Times New Roman" w:hAnsi="Times New Roman" w:cs="Times New Roman"/>
                <w:b/>
                <w:bCs/>
                <w:color w:val="000000" w:themeColor="text1"/>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02EF59DF"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3576D6B"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C0D7E8F"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CBD18E0"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r>
      <w:tr w:rsidR="00103D18" w:rsidRPr="00F44C36" w14:paraId="51902368"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5DDBA72" w14:textId="77777777" w:rsidR="00103D18" w:rsidRPr="00F44C36" w:rsidRDefault="00103D18" w:rsidP="009A347A">
            <w:pPr>
              <w:spacing w:after="0" w:line="240" w:lineRule="auto"/>
              <w:rPr>
                <w:rFonts w:ascii="Times New Roman" w:eastAsia="Times New Roman" w:hAnsi="Times New Roman" w:cs="Times New Roman"/>
                <w:b/>
                <w:color w:val="000000" w:themeColor="text1"/>
                <w:sz w:val="20"/>
                <w:szCs w:val="20"/>
                <w:lang w:eastAsia="sk-SK"/>
              </w:rPr>
            </w:pPr>
            <w:r w:rsidRPr="00F44C36">
              <w:rPr>
                <w:rFonts w:ascii="Times New Roman" w:eastAsia="Times New Roman" w:hAnsi="Times New Roman" w:cs="Times New Roman"/>
                <w:b/>
                <w:color w:val="000000" w:themeColor="text1"/>
                <w:sz w:val="20"/>
                <w:szCs w:val="20"/>
                <w:lang w:eastAsia="sk-SK"/>
              </w:rPr>
              <w:t>v tom:</w:t>
            </w:r>
          </w:p>
        </w:tc>
        <w:tc>
          <w:tcPr>
            <w:tcW w:w="1134" w:type="dxa"/>
            <w:tcBorders>
              <w:top w:val="nil"/>
              <w:left w:val="nil"/>
              <w:bottom w:val="single" w:sz="4" w:space="0" w:color="auto"/>
              <w:right w:val="single" w:sz="4" w:space="0" w:color="auto"/>
            </w:tcBorders>
            <w:shd w:val="clear" w:color="auto" w:fill="auto"/>
            <w:noWrap/>
            <w:vAlign w:val="center"/>
            <w:hideMark/>
          </w:tcPr>
          <w:p w14:paraId="66466E4B" w14:textId="77777777" w:rsidR="00103D18" w:rsidRPr="00F44C36" w:rsidRDefault="00103D18" w:rsidP="009A347A">
            <w:pPr>
              <w:spacing w:after="0" w:line="240" w:lineRule="auto"/>
              <w:jc w:val="center"/>
              <w:rPr>
                <w:rFonts w:ascii="Times New Roman" w:eastAsia="Times New Roman" w:hAnsi="Times New Roman" w:cs="Times New Roman"/>
                <w:color w:val="000000"/>
                <w:sz w:val="20"/>
                <w:szCs w:val="20"/>
                <w:lang w:eastAsia="sk-SK"/>
              </w:rPr>
            </w:pPr>
            <w:r w:rsidRPr="00F44C36">
              <w:rPr>
                <w:rFonts w:ascii="Times New Roman" w:eastAsia="Times New Roman" w:hAnsi="Times New Roman" w:cs="Times New Roman"/>
                <w:color w:val="000000"/>
                <w:sz w:val="20"/>
                <w:szCs w:val="2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7022D01" w14:textId="77777777" w:rsidR="00103D18" w:rsidRPr="00F44C36" w:rsidRDefault="00103D18" w:rsidP="009A347A">
            <w:pPr>
              <w:spacing w:after="0" w:line="240" w:lineRule="auto"/>
              <w:jc w:val="center"/>
              <w:rPr>
                <w:rFonts w:ascii="Times New Roman" w:eastAsia="Times New Roman" w:hAnsi="Times New Roman" w:cs="Times New Roman"/>
                <w:color w:val="000000"/>
                <w:sz w:val="20"/>
                <w:szCs w:val="20"/>
                <w:lang w:eastAsia="sk-SK"/>
              </w:rPr>
            </w:pPr>
            <w:r w:rsidRPr="00F44C36">
              <w:rPr>
                <w:rFonts w:ascii="Times New Roman" w:eastAsia="Times New Roman" w:hAnsi="Times New Roman" w:cs="Times New Roman"/>
                <w:color w:val="000000"/>
                <w:sz w:val="20"/>
                <w:szCs w:val="2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9855F92" w14:textId="77777777" w:rsidR="00103D18" w:rsidRPr="00F44C36" w:rsidRDefault="00103D18" w:rsidP="009A347A">
            <w:pPr>
              <w:spacing w:after="0" w:line="240" w:lineRule="auto"/>
              <w:jc w:val="center"/>
              <w:rPr>
                <w:rFonts w:ascii="Times New Roman" w:eastAsia="Times New Roman" w:hAnsi="Times New Roman" w:cs="Times New Roman"/>
                <w:color w:val="000000"/>
                <w:sz w:val="20"/>
                <w:szCs w:val="20"/>
                <w:lang w:eastAsia="sk-SK"/>
              </w:rPr>
            </w:pPr>
            <w:r w:rsidRPr="00F44C36">
              <w:rPr>
                <w:rFonts w:ascii="Times New Roman" w:eastAsia="Times New Roman" w:hAnsi="Times New Roman" w:cs="Times New Roman"/>
                <w:color w:val="000000"/>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3CB04692" w14:textId="77777777" w:rsidR="00103D18" w:rsidRPr="00F44C36" w:rsidRDefault="00103D18" w:rsidP="009A347A">
            <w:pPr>
              <w:spacing w:after="0" w:line="240" w:lineRule="auto"/>
              <w:jc w:val="center"/>
              <w:rPr>
                <w:rFonts w:ascii="Times New Roman" w:eastAsia="Times New Roman" w:hAnsi="Times New Roman" w:cs="Times New Roman"/>
                <w:color w:val="000000"/>
                <w:sz w:val="20"/>
                <w:szCs w:val="20"/>
                <w:lang w:eastAsia="sk-SK"/>
              </w:rPr>
            </w:pPr>
            <w:r w:rsidRPr="00F44C36">
              <w:rPr>
                <w:rFonts w:ascii="Times New Roman" w:eastAsia="Times New Roman" w:hAnsi="Times New Roman" w:cs="Times New Roman"/>
                <w:color w:val="000000"/>
                <w:sz w:val="20"/>
                <w:szCs w:val="20"/>
                <w:lang w:eastAsia="sk-SK"/>
              </w:rPr>
              <w:t>0</w:t>
            </w:r>
          </w:p>
        </w:tc>
      </w:tr>
      <w:tr w:rsidR="00103D18" w:rsidRPr="00F44C36" w14:paraId="34180B05"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1AB3ADA" w14:textId="77777777" w:rsidR="00103D18" w:rsidRPr="00F44C36" w:rsidRDefault="00103D18" w:rsidP="009A347A">
            <w:pPr>
              <w:spacing w:after="0" w:line="240" w:lineRule="auto"/>
              <w:rPr>
                <w:rFonts w:ascii="Times New Roman" w:eastAsia="Times New Roman" w:hAnsi="Times New Roman" w:cs="Times New Roman"/>
                <w:b/>
                <w:color w:val="000000" w:themeColor="text1"/>
                <w:sz w:val="20"/>
                <w:szCs w:val="20"/>
                <w:lang w:eastAsia="sk-SK"/>
              </w:rPr>
            </w:pPr>
            <w:r w:rsidRPr="00F44C36">
              <w:rPr>
                <w:rFonts w:ascii="Times New Roman" w:eastAsia="Times New Roman" w:hAnsi="Times New Roman" w:cs="Times New Roman"/>
                <w:b/>
                <w:color w:val="000000" w:themeColor="text1"/>
                <w:sz w:val="20"/>
                <w:szCs w:val="20"/>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40FD9084" w14:textId="77777777" w:rsidR="00103D18" w:rsidRPr="00F44C36" w:rsidRDefault="00103D18" w:rsidP="00F44C36">
            <w:pPr>
              <w:spacing w:after="0" w:line="240" w:lineRule="auto"/>
              <w:jc w:val="center"/>
              <w:rPr>
                <w:rFonts w:ascii="Times New Roman" w:eastAsia="Times New Roman" w:hAnsi="Times New Roman" w:cs="Times New Roman"/>
                <w:color w:val="000000"/>
                <w:sz w:val="20"/>
                <w:szCs w:val="20"/>
                <w:lang w:eastAsia="sk-SK"/>
              </w:rPr>
            </w:pPr>
          </w:p>
        </w:tc>
        <w:tc>
          <w:tcPr>
            <w:tcW w:w="1417" w:type="dxa"/>
            <w:tcBorders>
              <w:top w:val="nil"/>
              <w:left w:val="nil"/>
              <w:bottom w:val="single" w:sz="4" w:space="0" w:color="auto"/>
              <w:right w:val="single" w:sz="4" w:space="0" w:color="auto"/>
            </w:tcBorders>
            <w:shd w:val="clear" w:color="auto" w:fill="auto"/>
            <w:noWrap/>
            <w:vAlign w:val="center"/>
            <w:hideMark/>
          </w:tcPr>
          <w:p w14:paraId="5A9DF131" w14:textId="77777777" w:rsidR="00103D18" w:rsidRPr="00F44C36" w:rsidRDefault="00103D18" w:rsidP="00F44C36">
            <w:pPr>
              <w:spacing w:after="0" w:line="240" w:lineRule="auto"/>
              <w:jc w:val="center"/>
              <w:rPr>
                <w:rFonts w:ascii="Times New Roman" w:eastAsia="Times New Roman" w:hAnsi="Times New Roman" w:cs="Times New Roman"/>
                <w:color w:val="000000"/>
                <w:sz w:val="20"/>
                <w:szCs w:val="20"/>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14:paraId="783ACB73" w14:textId="77777777" w:rsidR="00103D18" w:rsidRPr="00F44C36" w:rsidRDefault="00103D18" w:rsidP="00F44C36">
            <w:pPr>
              <w:spacing w:after="0" w:line="240" w:lineRule="auto"/>
              <w:jc w:val="center"/>
              <w:rPr>
                <w:rFonts w:ascii="Times New Roman" w:eastAsia="Times New Roman" w:hAnsi="Times New Roman" w:cs="Times New Roman"/>
                <w:color w:val="000000"/>
                <w:sz w:val="20"/>
                <w:szCs w:val="20"/>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14:paraId="029BF524" w14:textId="77777777" w:rsidR="00103D18" w:rsidRPr="00F44C36" w:rsidRDefault="00103D18" w:rsidP="00F44C36">
            <w:pPr>
              <w:spacing w:after="0" w:line="240" w:lineRule="auto"/>
              <w:jc w:val="center"/>
              <w:rPr>
                <w:rFonts w:ascii="Times New Roman" w:eastAsia="Times New Roman" w:hAnsi="Times New Roman" w:cs="Times New Roman"/>
                <w:color w:val="000000"/>
                <w:sz w:val="20"/>
                <w:szCs w:val="20"/>
                <w:lang w:eastAsia="sk-SK"/>
              </w:rPr>
            </w:pPr>
          </w:p>
        </w:tc>
      </w:tr>
      <w:tr w:rsidR="00103D18" w:rsidRPr="007B7470" w14:paraId="72DF8F6D"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96B875A" w14:textId="77777777" w:rsidR="00103D18" w:rsidRPr="00F44C36" w:rsidRDefault="00103D18" w:rsidP="009A347A">
            <w:pPr>
              <w:spacing w:after="0" w:line="240" w:lineRule="auto"/>
              <w:rPr>
                <w:rFonts w:ascii="Times New Roman" w:eastAsia="Times New Roman" w:hAnsi="Times New Roman" w:cs="Times New Roman"/>
                <w:b/>
                <w:bCs/>
                <w:color w:val="000000" w:themeColor="text1"/>
                <w:lang w:eastAsia="sk-SK"/>
              </w:rPr>
            </w:pPr>
            <w:r w:rsidRPr="00F44C36">
              <w:rPr>
                <w:rFonts w:ascii="Times New Roman" w:eastAsia="Times New Roman" w:hAnsi="Times New Roman" w:cs="Times New Roman"/>
                <w:b/>
                <w:bCs/>
                <w:color w:val="000000" w:themeColor="text1"/>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4D344B94"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6A445C55"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B971479"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4DF95FDD"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r>
      <w:tr w:rsidR="00103D18" w:rsidRPr="007B7470" w14:paraId="40E84F99"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58E4941" w14:textId="77777777" w:rsidR="00103D18" w:rsidRPr="00F44C36" w:rsidRDefault="00103D18" w:rsidP="009A347A">
            <w:pPr>
              <w:spacing w:after="0" w:line="240" w:lineRule="auto"/>
              <w:rPr>
                <w:rFonts w:ascii="Times New Roman" w:eastAsia="Times New Roman" w:hAnsi="Times New Roman" w:cs="Times New Roman"/>
                <w:b/>
                <w:bCs/>
                <w:color w:val="000000" w:themeColor="text1"/>
                <w:lang w:eastAsia="sk-SK"/>
              </w:rPr>
            </w:pPr>
            <w:r w:rsidRPr="00F44C36">
              <w:rPr>
                <w:rFonts w:ascii="Times New Roman" w:eastAsia="Times New Roman" w:hAnsi="Times New Roman" w:cs="Times New Roman"/>
                <w:b/>
                <w:bCs/>
                <w:color w:val="000000" w:themeColor="text1"/>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3E9CF172"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25E76A0C"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9DC1AB6"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4BF9957A"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r>
      <w:tr w:rsidR="00103D18" w:rsidRPr="007B7470" w14:paraId="18D760C3" w14:textId="77777777" w:rsidTr="009A347A">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B42781A" w14:textId="77777777" w:rsidR="00103D18" w:rsidRPr="00F44C36" w:rsidRDefault="00103D18" w:rsidP="009A347A">
            <w:pPr>
              <w:spacing w:after="0" w:line="240" w:lineRule="auto"/>
              <w:rPr>
                <w:rFonts w:ascii="Times New Roman" w:eastAsia="Times New Roman" w:hAnsi="Times New Roman" w:cs="Times New Roman"/>
                <w:b/>
                <w:bCs/>
                <w:color w:val="000000" w:themeColor="text1"/>
                <w:lang w:eastAsia="sk-SK"/>
              </w:rPr>
            </w:pPr>
            <w:r w:rsidRPr="00F44C36">
              <w:rPr>
                <w:rFonts w:ascii="Times New Roman" w:eastAsia="Times New Roman" w:hAnsi="Times New Roman" w:cs="Times New Roman"/>
                <w:b/>
                <w:bCs/>
                <w:color w:val="000000" w:themeColor="text1"/>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0636EB"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75950F"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E4496D"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E1A082"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p>
        </w:tc>
      </w:tr>
    </w:tbl>
    <w:p w14:paraId="19A7E1E6" w14:textId="77777777" w:rsidR="00103D18" w:rsidRPr="007B7470" w:rsidRDefault="00103D18" w:rsidP="00103D18">
      <w:pPr>
        <w:rPr>
          <w:rFonts w:ascii="Times New Roman" w:eastAsia="Times New Roman" w:hAnsi="Times New Roman" w:cs="Times New Roman"/>
          <w:b/>
          <w:bCs/>
          <w:sz w:val="24"/>
          <w:szCs w:val="24"/>
          <w:lang w:eastAsia="sk-SK"/>
        </w:rPr>
      </w:pPr>
    </w:p>
    <w:p w14:paraId="5891EBDA" w14:textId="77777777" w:rsidR="00103D18" w:rsidRPr="00F44C36" w:rsidRDefault="00103D18" w:rsidP="00103D18">
      <w:pPr>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2.1.1. Financovanie návrhu - Návrh na riešenie úbytku príjmov alebo zvýšených výdavkov podľa § 33 ods. 1 zákona č. 523/2004 Z. z. o rozpočtových pravidlách verejnej správy:</w:t>
      </w:r>
    </w:p>
    <w:p w14:paraId="7111E5FB" w14:textId="77777777" w:rsidR="00103D18" w:rsidRPr="007B7470" w:rsidRDefault="00103D18" w:rsidP="00103D18">
      <w:pPr>
        <w:spacing w:after="0" w:line="240" w:lineRule="auto"/>
        <w:jc w:val="both"/>
        <w:rPr>
          <w:rFonts w:ascii="Times New Roman" w:eastAsia="Times New Roman" w:hAnsi="Times New Roman" w:cs="Times New Roman"/>
          <w:b/>
          <w:bCs/>
          <w:sz w:val="12"/>
          <w:szCs w:val="24"/>
          <w:lang w:eastAsia="sk-SK"/>
        </w:rPr>
      </w:pPr>
    </w:p>
    <w:p w14:paraId="56B0BB94" w14:textId="77777777" w:rsidR="00103D18" w:rsidRPr="003E34F5" w:rsidRDefault="00103D18" w:rsidP="003E34F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Návrh zákona predpokladá negatívny vplyv na rozpočet v dôsledku potrebných úprav informačných systémov finančnej správy. Odhadovaná suma nákladov potrebných na úpravu informačných systémov finančnej správy predstavuje sumu 346 281,90</w:t>
      </w:r>
      <w:r w:rsidRPr="003E34F5">
        <w:rPr>
          <w:rFonts w:ascii="Times New Roman" w:eastAsia="Times New Roman" w:hAnsi="Times New Roman" w:cs="Times New Roman"/>
          <w:b/>
          <w:bCs/>
          <w:lang w:eastAsia="sk-SK"/>
        </w:rPr>
        <w:t xml:space="preserve"> </w:t>
      </w:r>
      <w:r w:rsidRPr="003E34F5">
        <w:rPr>
          <w:rFonts w:ascii="Times New Roman" w:eastAsia="Times New Roman" w:hAnsi="Times New Roman" w:cs="Times New Roman"/>
          <w:lang w:eastAsia="sk-SK"/>
        </w:rPr>
        <w:t>eur</w:t>
      </w:r>
      <w:r w:rsidRPr="003E34F5">
        <w:rPr>
          <w:rFonts w:ascii="Times New Roman" w:eastAsia="Times New Roman" w:hAnsi="Times New Roman" w:cs="Times New Roman"/>
          <w:bCs/>
          <w:lang w:eastAsia="sk-SK"/>
        </w:rPr>
        <w:t>. MF SR (FR SR) má na rok 2025 zabezpečené finančné prostriedky v rámci schváleného limitu výdavkov takto:</w:t>
      </w:r>
    </w:p>
    <w:p w14:paraId="5518FE19" w14:textId="00057248" w:rsidR="00103D18" w:rsidRPr="003E34F5" w:rsidRDefault="00103D18" w:rsidP="003E34F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w:t>
      </w:r>
      <w:r w:rsidRPr="003E34F5">
        <w:rPr>
          <w:rFonts w:ascii="Times New Roman" w:eastAsia="Times New Roman" w:hAnsi="Times New Roman" w:cs="Times New Roman"/>
          <w:bCs/>
          <w:lang w:eastAsia="sk-SK"/>
        </w:rPr>
        <w:tab/>
        <w:t>IS APV SysNED</w:t>
      </w:r>
      <w:r w:rsidRPr="003E34F5">
        <w:rPr>
          <w:rFonts w:ascii="Times New Roman" w:eastAsia="Times New Roman" w:hAnsi="Times New Roman" w:cs="Times New Roman"/>
          <w:bCs/>
          <w:lang w:eastAsia="sk-SK"/>
        </w:rPr>
        <w:tab/>
      </w:r>
      <w:r w:rsidRPr="003E34F5">
        <w:rPr>
          <w:rFonts w:ascii="Times New Roman" w:eastAsia="Times New Roman" w:hAnsi="Times New Roman" w:cs="Times New Roman"/>
          <w:bCs/>
          <w:lang w:eastAsia="sk-SK"/>
        </w:rPr>
        <w:tab/>
      </w:r>
      <w:r w:rsidRPr="003E34F5">
        <w:rPr>
          <w:rFonts w:ascii="Times New Roman" w:eastAsia="Times New Roman" w:hAnsi="Times New Roman" w:cs="Times New Roman"/>
          <w:bCs/>
          <w:lang w:eastAsia="sk-SK"/>
        </w:rPr>
        <w:tab/>
        <w:t>vo výške 243 134,10 eur,</w:t>
      </w:r>
    </w:p>
    <w:p w14:paraId="3AD8DD0C" w14:textId="77777777" w:rsidR="00103D18" w:rsidRPr="003E34F5" w:rsidRDefault="00103D18" w:rsidP="003E34F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w:t>
      </w:r>
      <w:r w:rsidRPr="003E34F5">
        <w:rPr>
          <w:rFonts w:ascii="Times New Roman" w:eastAsia="Times New Roman" w:hAnsi="Times New Roman" w:cs="Times New Roman"/>
          <w:bCs/>
          <w:lang w:eastAsia="sk-SK"/>
        </w:rPr>
        <w:tab/>
        <w:t>PFS (portál finančnej správy)</w:t>
      </w:r>
      <w:r w:rsidRPr="003E34F5">
        <w:rPr>
          <w:rFonts w:ascii="Times New Roman" w:eastAsia="Times New Roman" w:hAnsi="Times New Roman" w:cs="Times New Roman"/>
          <w:bCs/>
          <w:lang w:eastAsia="sk-SK"/>
        </w:rPr>
        <w:tab/>
      </w:r>
      <w:r w:rsidRPr="003E34F5">
        <w:rPr>
          <w:rFonts w:ascii="Times New Roman" w:eastAsia="Times New Roman" w:hAnsi="Times New Roman" w:cs="Times New Roman"/>
          <w:bCs/>
          <w:lang w:eastAsia="sk-SK"/>
        </w:rPr>
        <w:tab/>
        <w:t>vo výške 103 147,80 eur.</w:t>
      </w:r>
    </w:p>
    <w:p w14:paraId="2CA4F8A4" w14:textId="77777777" w:rsidR="00103D18" w:rsidRPr="003E34F5" w:rsidRDefault="00103D18" w:rsidP="00103D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lang w:eastAsia="sk-SK"/>
        </w:rPr>
      </w:pPr>
    </w:p>
    <w:p w14:paraId="4FE378E7" w14:textId="77777777" w:rsidR="00317C3E" w:rsidRDefault="00317C3E" w:rsidP="00103D18">
      <w:pPr>
        <w:spacing w:after="0" w:line="240" w:lineRule="auto"/>
        <w:rPr>
          <w:rFonts w:ascii="Times New Roman" w:eastAsia="Times New Roman" w:hAnsi="Times New Roman" w:cs="Times New Roman"/>
          <w:b/>
          <w:bCs/>
          <w:lang w:eastAsia="sk-SK"/>
        </w:rPr>
      </w:pPr>
    </w:p>
    <w:p w14:paraId="64A22123" w14:textId="77777777" w:rsidR="00103D18" w:rsidRPr="00F44C36" w:rsidRDefault="00103D18" w:rsidP="00103D18">
      <w:pPr>
        <w:spacing w:after="0" w:line="240" w:lineRule="auto"/>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2.2. Popis a charakteristika návrhu</w:t>
      </w:r>
    </w:p>
    <w:p w14:paraId="3ADE3925" w14:textId="77777777" w:rsidR="00103D18" w:rsidRPr="007B7470" w:rsidRDefault="00103D18" w:rsidP="00103D18">
      <w:pPr>
        <w:spacing w:after="0" w:line="240" w:lineRule="auto"/>
        <w:rPr>
          <w:rFonts w:ascii="Times New Roman" w:eastAsia="Times New Roman" w:hAnsi="Times New Roman" w:cs="Times New Roman"/>
          <w:sz w:val="24"/>
          <w:szCs w:val="24"/>
          <w:lang w:eastAsia="sk-SK"/>
        </w:rPr>
      </w:pPr>
    </w:p>
    <w:p w14:paraId="7A431CD3" w14:textId="77777777" w:rsidR="00103D18" w:rsidRPr="00F44C36" w:rsidRDefault="00103D18" w:rsidP="00103D18">
      <w:pPr>
        <w:spacing w:after="0" w:line="240" w:lineRule="auto"/>
        <w:jc w:val="both"/>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2.2.1. Popis návrhu:</w:t>
      </w:r>
    </w:p>
    <w:p w14:paraId="7BB5C96D" w14:textId="77777777" w:rsidR="00103D18" w:rsidRPr="007B7470" w:rsidRDefault="00103D18" w:rsidP="00103D18">
      <w:pPr>
        <w:spacing w:after="0" w:line="240" w:lineRule="auto"/>
        <w:jc w:val="both"/>
        <w:rPr>
          <w:rFonts w:ascii="Times New Roman" w:eastAsia="Times New Roman" w:hAnsi="Times New Roman" w:cs="Times New Roman"/>
          <w:b/>
          <w:bCs/>
          <w:sz w:val="24"/>
          <w:szCs w:val="24"/>
          <w:lang w:eastAsia="sk-SK"/>
        </w:rPr>
      </w:pPr>
    </w:p>
    <w:p w14:paraId="07FD67B1" w14:textId="77777777" w:rsidR="00103D18" w:rsidRPr="003E34F5" w:rsidRDefault="00103D18" w:rsidP="003E34F5">
      <w:pPr>
        <w:pStyle w:val="Zkladntext"/>
        <w:jc w:val="both"/>
        <w:rPr>
          <w:sz w:val="22"/>
          <w:szCs w:val="22"/>
        </w:rPr>
      </w:pPr>
      <w:r w:rsidRPr="003E34F5">
        <w:rPr>
          <w:rFonts w:ascii="Times New Roman" w:hAnsi="Times New Roman" w:cs="Times New Roman"/>
          <w:sz w:val="22"/>
          <w:szCs w:val="22"/>
        </w:rPr>
        <w:t>Cieľom návrhu zákona je:</w:t>
      </w:r>
      <w:r w:rsidRPr="003E34F5">
        <w:rPr>
          <w:sz w:val="22"/>
          <w:szCs w:val="22"/>
        </w:rPr>
        <w:t xml:space="preserve"> </w:t>
      </w:r>
    </w:p>
    <w:p w14:paraId="1F7FA5FA" w14:textId="77777777" w:rsidR="00103D18" w:rsidRPr="003E34F5" w:rsidRDefault="00103D18" w:rsidP="003E34F5">
      <w:pPr>
        <w:pStyle w:val="Zkladntext"/>
        <w:jc w:val="both"/>
        <w:rPr>
          <w:rFonts w:ascii="Times New Roman" w:hAnsi="Times New Roman" w:cs="Times New Roman"/>
          <w:sz w:val="22"/>
          <w:szCs w:val="22"/>
        </w:rPr>
      </w:pPr>
      <w:r w:rsidRPr="003E34F5">
        <w:rPr>
          <w:rFonts w:ascii="Times New Roman" w:hAnsi="Times New Roman" w:cs="Times New Roman"/>
          <w:sz w:val="22"/>
          <w:szCs w:val="22"/>
        </w:rPr>
        <w:t>•</w:t>
      </w:r>
      <w:r w:rsidRPr="003E34F5">
        <w:rPr>
          <w:rFonts w:ascii="Times New Roman" w:hAnsi="Times New Roman" w:cs="Times New Roman"/>
          <w:sz w:val="22"/>
          <w:szCs w:val="22"/>
        </w:rPr>
        <w:tab/>
        <w:t>v záujme znižovania administratívnej záťaže zjednodušiť proces registrácie pre oprávnených spotrebiteľov, ktorí už sú registrovaní ako platitelia dane,</w:t>
      </w:r>
    </w:p>
    <w:p w14:paraId="7F0F35E4" w14:textId="77777777" w:rsidR="00103D18" w:rsidRPr="003E34F5" w:rsidRDefault="00103D18" w:rsidP="003E34F5">
      <w:pPr>
        <w:pStyle w:val="Zkladntext"/>
        <w:jc w:val="both"/>
        <w:rPr>
          <w:rFonts w:ascii="Times New Roman" w:hAnsi="Times New Roman" w:cs="Times New Roman"/>
          <w:sz w:val="22"/>
          <w:szCs w:val="22"/>
        </w:rPr>
      </w:pPr>
      <w:r w:rsidRPr="003E34F5">
        <w:rPr>
          <w:rFonts w:ascii="Times New Roman" w:hAnsi="Times New Roman" w:cs="Times New Roman"/>
          <w:sz w:val="22"/>
          <w:szCs w:val="22"/>
        </w:rPr>
        <w:t>•</w:t>
      </w:r>
      <w:r w:rsidRPr="003E34F5">
        <w:rPr>
          <w:rFonts w:ascii="Times New Roman" w:hAnsi="Times New Roman" w:cs="Times New Roman"/>
          <w:sz w:val="22"/>
          <w:szCs w:val="22"/>
        </w:rPr>
        <w:tab/>
        <w:t xml:space="preserve">v nadväznosti na elektronizáciu komunikácie medzi jednotlivými subjektmi a správcom dane zrušiť povinnosť preukazovať sa povoleniami a osvedčeniami o registrácii, </w:t>
      </w:r>
    </w:p>
    <w:p w14:paraId="05937660" w14:textId="77777777" w:rsidR="00103D18" w:rsidRPr="003E34F5" w:rsidRDefault="00103D18" w:rsidP="003E34F5">
      <w:pPr>
        <w:pStyle w:val="Zkladntext"/>
        <w:jc w:val="both"/>
        <w:rPr>
          <w:rFonts w:ascii="Times New Roman" w:hAnsi="Times New Roman" w:cs="Times New Roman"/>
          <w:sz w:val="22"/>
          <w:szCs w:val="22"/>
        </w:rPr>
      </w:pPr>
      <w:r w:rsidRPr="003E34F5">
        <w:rPr>
          <w:rFonts w:ascii="Times New Roman" w:hAnsi="Times New Roman" w:cs="Times New Roman"/>
          <w:sz w:val="22"/>
          <w:szCs w:val="22"/>
        </w:rPr>
        <w:t>•</w:t>
      </w:r>
      <w:r w:rsidRPr="003E34F5">
        <w:rPr>
          <w:rFonts w:ascii="Times New Roman" w:hAnsi="Times New Roman" w:cs="Times New Roman"/>
          <w:sz w:val="22"/>
          <w:szCs w:val="22"/>
        </w:rPr>
        <w:tab/>
        <w:t>legislatívna úprava zdieľania elektriny, ktorá reflektuje na aktuálne trendy v energetickej politike,</w:t>
      </w:r>
    </w:p>
    <w:p w14:paraId="0530EECF" w14:textId="77777777" w:rsidR="00103D18" w:rsidRPr="003E34F5" w:rsidRDefault="00103D18" w:rsidP="003E34F5">
      <w:pPr>
        <w:pStyle w:val="Zkladntext"/>
        <w:jc w:val="both"/>
        <w:rPr>
          <w:rFonts w:ascii="Times New Roman" w:hAnsi="Times New Roman" w:cs="Times New Roman"/>
          <w:sz w:val="22"/>
          <w:szCs w:val="22"/>
        </w:rPr>
      </w:pPr>
      <w:r w:rsidRPr="003E34F5">
        <w:rPr>
          <w:rFonts w:ascii="Times New Roman" w:hAnsi="Times New Roman" w:cs="Times New Roman"/>
          <w:sz w:val="22"/>
          <w:szCs w:val="22"/>
        </w:rPr>
        <w:t>•</w:t>
      </w:r>
      <w:r w:rsidRPr="003E34F5">
        <w:rPr>
          <w:rFonts w:ascii="Times New Roman" w:hAnsi="Times New Roman" w:cs="Times New Roman"/>
          <w:sz w:val="22"/>
          <w:szCs w:val="22"/>
        </w:rPr>
        <w:tab/>
        <w:t xml:space="preserve">vypustiť osobitné ustanovenie pre stlačený zemný plyn § 39a, keďže aktuálne platná smernica Rady 2003/96/ES o reštrukturalizácii právneho rámca spoločenstva pre zdaňovanie energetických výrobkov a elektriny nerozlišuje daňovú diferenciáciu pre stlačený zemný plyn (CNG) a skvapalnený zemný plyn (LNG). Predmetom dane by bol zemný plyn ako taký, a to bez ohľadu na to, či sa ako pohonná látka alebo palivo bude používať v stlačenej forme ako (CNG) alebo v skvapalnenej forme ako (LNG). </w:t>
      </w:r>
    </w:p>
    <w:p w14:paraId="41463BF0" w14:textId="77777777" w:rsidR="00103D18" w:rsidRPr="003E34F5" w:rsidRDefault="00103D18" w:rsidP="003E34F5">
      <w:pPr>
        <w:pStyle w:val="Odsekzoznamu"/>
        <w:spacing w:after="0" w:line="240" w:lineRule="auto"/>
        <w:ind w:left="0"/>
        <w:jc w:val="both"/>
        <w:rPr>
          <w:rFonts w:ascii="Times New Roman" w:hAnsi="Times New Roman"/>
          <w:lang w:eastAsia="sk-SK"/>
        </w:rPr>
      </w:pPr>
      <w:r w:rsidRPr="003E34F5">
        <w:rPr>
          <w:rFonts w:ascii="Times New Roman" w:hAnsi="Times New Roman"/>
          <w:lang w:eastAsia="sk-SK"/>
        </w:rPr>
        <w:t xml:space="preserve">Legislatívny návrh má za cieľ zjednodušiť systém registrácie, pričom každá osoba by mala mať pridelené iba jedno registračné číslo, pričom prioritne by mala byť registrovaná ako platiteľ dane. V nadväznosti na elektronizáciu komunikácie medzi jednotlivými subjektmi a správcom dane je cieľom zrušiť povinnosť preukazovať sa povoleniami a osvedčeniami o registrácii subjektov. Podmienky sa menia pre osobu, ktorá je alebo chce byť platiteľom dane a zároveň chce vykonávať činnosti oslobodené od dane. Takáto osoba je pri registrácii povinná okrem údajov stanovených zákonom nevyhnutných pre registráciu platiteľa dane predložiť aj údaje súvisiace s jej zámerom vykonávať činnosti oslobodené od dane. Osoba, ktorá je alebo chce byť platiteľom dane a ktorá chce zároveň vykonávať činnosti oslobodené od dane je povinná požiadať colný úrad o registráciu platiteľa dane a o vydanie povolenia na používanie elektriny, oslobodenej od dane, povolenia na používanie uhlia oslobodeného od dane a povolenia na používanie zemného plynu oslobodeného od dane. </w:t>
      </w:r>
    </w:p>
    <w:p w14:paraId="3E763DA1" w14:textId="77777777" w:rsidR="00103D18" w:rsidRPr="003E34F5" w:rsidRDefault="00103D18" w:rsidP="003E34F5">
      <w:pPr>
        <w:spacing w:after="0" w:line="240" w:lineRule="auto"/>
        <w:jc w:val="both"/>
        <w:rPr>
          <w:rFonts w:ascii="Times New Roman" w:eastAsia="Times New Roman" w:hAnsi="Times New Roman" w:cs="Times New Roman"/>
          <w:lang w:eastAsia="sk-SK"/>
        </w:rPr>
      </w:pPr>
      <w:r w:rsidRPr="003E34F5">
        <w:rPr>
          <w:rFonts w:ascii="Times New Roman" w:eastAsia="Times New Roman" w:hAnsi="Times New Roman" w:cs="Times New Roman"/>
          <w:lang w:eastAsia="sk-SK"/>
        </w:rPr>
        <w:t xml:space="preserve">Na Slovensku je registrovaných približne 127 vozidiel poháňaných zemným plynom (LNG) a existuje cca 7 čerpacích staníc určených pre tento typ paliva. V súčasnosti neexistujú optimistické očakávania </w:t>
      </w:r>
      <w:r w:rsidRPr="003E34F5">
        <w:rPr>
          <w:rFonts w:ascii="Times New Roman" w:eastAsia="Times New Roman" w:hAnsi="Times New Roman" w:cs="Times New Roman"/>
          <w:lang w:eastAsia="sk-SK"/>
        </w:rPr>
        <w:lastRenderedPageBreak/>
        <w:t>ohľadom významného pozitívneho vplyvu na daňové príjmy</w:t>
      </w:r>
      <w:r w:rsidR="00F44C36" w:rsidRPr="003E34F5">
        <w:rPr>
          <w:rFonts w:ascii="Times New Roman" w:eastAsia="Times New Roman" w:hAnsi="Times New Roman" w:cs="Times New Roman"/>
          <w:lang w:eastAsia="sk-SK"/>
        </w:rPr>
        <w:t xml:space="preserve"> </w:t>
      </w:r>
      <w:r w:rsidRPr="003E34F5">
        <w:rPr>
          <w:rFonts w:ascii="Times New Roman" w:eastAsia="Times New Roman" w:hAnsi="Times New Roman" w:cs="Times New Roman"/>
          <w:lang w:eastAsia="sk-SK"/>
        </w:rPr>
        <w:t xml:space="preserve">v najbližšom období, ktorý by mohol vzniknúť zavedením zdanenia zemného plynu (LNG) ako pohonnej látky a paliva na výrobu tepla. Napriek tomu, s možným rozšírením vozového parku a infraštruktúry v budúcnosti, by mohlo dôjsť k zvýšeniu daňových príjmov z daní súvisiacich so zemným plynom (LNG). </w:t>
      </w:r>
    </w:p>
    <w:p w14:paraId="5927225A" w14:textId="77777777" w:rsidR="00103D18" w:rsidRDefault="00103D18" w:rsidP="00103D18">
      <w:pPr>
        <w:spacing w:after="0" w:line="360" w:lineRule="auto"/>
        <w:jc w:val="both"/>
        <w:rPr>
          <w:rFonts w:ascii="Times New Roman" w:eastAsia="Times New Roman" w:hAnsi="Times New Roman" w:cs="Times New Roman"/>
          <w:b/>
          <w:sz w:val="24"/>
          <w:szCs w:val="24"/>
          <w:u w:val="single"/>
          <w:lang w:eastAsia="sk-SK"/>
        </w:rPr>
      </w:pPr>
    </w:p>
    <w:p w14:paraId="20BCED40"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14:paraId="0AE6799C" w14:textId="77777777" w:rsidR="00103D18" w:rsidRPr="007B7470" w:rsidRDefault="00103D18" w:rsidP="00103D18">
      <w:pPr>
        <w:spacing w:after="0" w:line="240" w:lineRule="auto"/>
        <w:rPr>
          <w:rFonts w:ascii="Times New Roman" w:eastAsia="Times New Roman" w:hAnsi="Times New Roman" w:cs="Times New Roman"/>
          <w:sz w:val="24"/>
          <w:szCs w:val="24"/>
          <w:lang w:eastAsia="sk-SK"/>
        </w:rPr>
      </w:pPr>
    </w:p>
    <w:p w14:paraId="46D4027B"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317C3E">
        <w:rPr>
          <w:rFonts w:ascii="Times New Roman" w:eastAsia="Times New Roman" w:hAnsi="Times New Roman" w:cs="Times New Roman"/>
          <w:b/>
          <w:sz w:val="20"/>
          <w:szCs w:val="20"/>
          <w:bdr w:val="single" w:sz="4" w:space="0" w:color="auto"/>
          <w:lang w:eastAsia="sk-SK"/>
        </w:rPr>
        <w:t xml:space="preserve">x </w:t>
      </w:r>
      <w:r w:rsidRPr="00317C3E">
        <w:rPr>
          <w:rFonts w:ascii="Times New Roman" w:eastAsia="Times New Roman" w:hAnsi="Times New Roman" w:cs="Times New Roman"/>
          <w:b/>
          <w:sz w:val="20"/>
          <w:szCs w:val="20"/>
          <w:lang w:eastAsia="sk-SK"/>
        </w:rPr>
        <w:t xml:space="preserve">  </w:t>
      </w:r>
      <w:r w:rsidRPr="00317C3E">
        <w:rPr>
          <w:rFonts w:ascii="Times New Roman" w:eastAsia="Times New Roman" w:hAnsi="Times New Roman" w:cs="Times New Roman"/>
          <w:sz w:val="20"/>
          <w:szCs w:val="20"/>
          <w:lang w:eastAsia="sk-SK"/>
        </w:rPr>
        <w:t>zmena sadzby</w:t>
      </w:r>
    </w:p>
    <w:p w14:paraId="4E6FF3FC"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317C3E">
        <w:rPr>
          <w:rFonts w:ascii="Times New Roman" w:eastAsia="Times New Roman" w:hAnsi="Times New Roman" w:cs="Times New Roman"/>
          <w:sz w:val="20"/>
          <w:szCs w:val="20"/>
          <w:bdr w:val="single" w:sz="4" w:space="0" w:color="auto"/>
          <w:lang w:eastAsia="sk-SK"/>
        </w:rPr>
        <w:t xml:space="preserve">     </w:t>
      </w:r>
      <w:r w:rsidRPr="00317C3E">
        <w:rPr>
          <w:rFonts w:ascii="Times New Roman" w:eastAsia="Times New Roman" w:hAnsi="Times New Roman" w:cs="Times New Roman"/>
          <w:sz w:val="20"/>
          <w:szCs w:val="20"/>
          <w:lang w:eastAsia="sk-SK"/>
        </w:rPr>
        <w:t xml:space="preserve">  zmena v nároku</w:t>
      </w:r>
    </w:p>
    <w:p w14:paraId="37EFF971"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317C3E">
        <w:rPr>
          <w:rFonts w:ascii="Times New Roman" w:eastAsia="Times New Roman" w:hAnsi="Times New Roman" w:cs="Times New Roman"/>
          <w:sz w:val="20"/>
          <w:szCs w:val="20"/>
          <w:bdr w:val="single" w:sz="4" w:space="0" w:color="auto"/>
          <w:lang w:eastAsia="sk-SK"/>
        </w:rPr>
        <w:t xml:space="preserve">     </w:t>
      </w:r>
      <w:r w:rsidRPr="00317C3E">
        <w:rPr>
          <w:rFonts w:ascii="Times New Roman" w:eastAsia="Times New Roman" w:hAnsi="Times New Roman" w:cs="Times New Roman"/>
          <w:sz w:val="20"/>
          <w:szCs w:val="20"/>
          <w:lang w:eastAsia="sk-SK"/>
        </w:rPr>
        <w:t xml:space="preserve">  nová služba alebo nariadenie (alebo ich zrušenie)</w:t>
      </w:r>
    </w:p>
    <w:p w14:paraId="0C41374D"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317C3E">
        <w:rPr>
          <w:rFonts w:ascii="Times New Roman" w:eastAsia="Times New Roman" w:hAnsi="Times New Roman" w:cs="Times New Roman"/>
          <w:sz w:val="20"/>
          <w:szCs w:val="20"/>
          <w:bdr w:val="single" w:sz="4" w:space="0" w:color="auto"/>
          <w:lang w:eastAsia="sk-SK"/>
        </w:rPr>
        <w:t xml:space="preserve">     </w:t>
      </w:r>
      <w:r w:rsidRPr="00317C3E">
        <w:rPr>
          <w:rFonts w:ascii="Times New Roman" w:eastAsia="Times New Roman" w:hAnsi="Times New Roman" w:cs="Times New Roman"/>
          <w:sz w:val="20"/>
          <w:szCs w:val="20"/>
          <w:lang w:eastAsia="sk-SK"/>
        </w:rPr>
        <w:t xml:space="preserve">  kombinovaný návrh</w:t>
      </w:r>
    </w:p>
    <w:p w14:paraId="3CF330E2"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317C3E">
        <w:rPr>
          <w:rFonts w:ascii="Times New Roman" w:eastAsia="Times New Roman" w:hAnsi="Times New Roman" w:cs="Times New Roman"/>
          <w:sz w:val="20"/>
          <w:szCs w:val="20"/>
          <w:bdr w:val="single" w:sz="4" w:space="0" w:color="auto"/>
          <w:lang w:eastAsia="sk-SK"/>
        </w:rPr>
        <w:t xml:space="preserve"> x  </w:t>
      </w:r>
      <w:r w:rsidRPr="00317C3E">
        <w:rPr>
          <w:rFonts w:ascii="Times New Roman" w:eastAsia="Times New Roman" w:hAnsi="Times New Roman" w:cs="Times New Roman"/>
          <w:sz w:val="20"/>
          <w:szCs w:val="20"/>
          <w:lang w:eastAsia="sk-SK"/>
        </w:rPr>
        <w:t xml:space="preserve">  iné </w:t>
      </w:r>
    </w:p>
    <w:p w14:paraId="58A71283" w14:textId="77777777" w:rsidR="00103D18" w:rsidRPr="007B7470" w:rsidRDefault="00103D18" w:rsidP="00103D18">
      <w:pPr>
        <w:spacing w:after="0" w:line="240" w:lineRule="auto"/>
        <w:rPr>
          <w:rFonts w:ascii="Times New Roman" w:eastAsia="Times New Roman" w:hAnsi="Times New Roman" w:cs="Times New Roman"/>
          <w:sz w:val="24"/>
          <w:szCs w:val="24"/>
          <w:lang w:eastAsia="sk-SK"/>
        </w:rPr>
      </w:pPr>
    </w:p>
    <w:p w14:paraId="1C7DFF36" w14:textId="77777777" w:rsidR="00103D18" w:rsidRPr="003E34F5" w:rsidRDefault="00103D18" w:rsidP="00103D18">
      <w:pPr>
        <w:spacing w:after="0" w:line="240" w:lineRule="auto"/>
        <w:rPr>
          <w:rFonts w:ascii="Times New Roman" w:eastAsia="Times New Roman" w:hAnsi="Times New Roman" w:cs="Times New Roman"/>
          <w:lang w:eastAsia="sk-SK"/>
        </w:rPr>
      </w:pPr>
      <w:r w:rsidRPr="003E34F5">
        <w:rPr>
          <w:rFonts w:ascii="Times New Roman" w:eastAsia="Times New Roman" w:hAnsi="Times New Roman" w:cs="Times New Roman"/>
          <w:b/>
          <w:bCs/>
          <w:lang w:eastAsia="sk-SK"/>
        </w:rPr>
        <w:t>2.2.3. Predpoklady vývoja objemu aktivít:</w:t>
      </w:r>
    </w:p>
    <w:p w14:paraId="28B4895E" w14:textId="77777777" w:rsidR="00103D18" w:rsidRPr="003E34F5" w:rsidRDefault="00103D18" w:rsidP="00103D18">
      <w:pPr>
        <w:spacing w:after="0" w:line="240" w:lineRule="auto"/>
        <w:rPr>
          <w:rFonts w:ascii="Times New Roman" w:eastAsia="Times New Roman" w:hAnsi="Times New Roman" w:cs="Times New Roman"/>
          <w:lang w:eastAsia="sk-SK"/>
        </w:rPr>
      </w:pPr>
    </w:p>
    <w:p w14:paraId="3106B151" w14:textId="77777777" w:rsidR="00103D18" w:rsidRPr="003E34F5" w:rsidRDefault="00103D18" w:rsidP="00103D18">
      <w:pPr>
        <w:spacing w:after="0" w:line="240" w:lineRule="auto"/>
        <w:ind w:firstLine="708"/>
        <w:jc w:val="both"/>
        <w:rPr>
          <w:rFonts w:ascii="Times New Roman" w:eastAsia="Times New Roman" w:hAnsi="Times New Roman" w:cs="Times New Roman"/>
          <w:lang w:eastAsia="sk-SK"/>
        </w:rPr>
      </w:pPr>
      <w:r w:rsidRPr="003E34F5">
        <w:rPr>
          <w:rFonts w:ascii="Times New Roman" w:eastAsia="Times New Roman" w:hAnsi="Times New Roman" w:cs="Times New Roman"/>
          <w:lang w:eastAsia="sk-SK"/>
        </w:rPr>
        <w:t>Jasne popíšte, v prípade potreby použite nižšie uvedenú tabuľku. Uveďte aj odhady základov daní a/alebo poplatkov, ak sa ich táto zmena týka.</w:t>
      </w:r>
    </w:p>
    <w:p w14:paraId="68CD45EB" w14:textId="77777777" w:rsidR="00103D18" w:rsidRPr="007B7470" w:rsidRDefault="00103D18" w:rsidP="00103D1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103D18" w:rsidRPr="007B7470" w14:paraId="6AF6A32A" w14:textId="77777777" w:rsidTr="009A347A">
        <w:trPr>
          <w:cantSplit/>
          <w:trHeight w:val="70"/>
        </w:trPr>
        <w:tc>
          <w:tcPr>
            <w:tcW w:w="4530" w:type="dxa"/>
            <w:vMerge w:val="restart"/>
            <w:shd w:val="clear" w:color="auto" w:fill="BFBFBF" w:themeFill="background1" w:themeFillShade="BF"/>
            <w:vAlign w:val="center"/>
          </w:tcPr>
          <w:p w14:paraId="26002BE1"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Objem aktivít</w:t>
            </w:r>
          </w:p>
        </w:tc>
        <w:tc>
          <w:tcPr>
            <w:tcW w:w="1134" w:type="dxa"/>
            <w:gridSpan w:val="4"/>
            <w:shd w:val="clear" w:color="auto" w:fill="BFBFBF" w:themeFill="background1" w:themeFillShade="BF"/>
            <w:vAlign w:val="center"/>
          </w:tcPr>
          <w:p w14:paraId="6FA0129A"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Odhadované objemy</w:t>
            </w:r>
          </w:p>
        </w:tc>
      </w:tr>
      <w:tr w:rsidR="00103D18" w:rsidRPr="007B7470" w14:paraId="1A90B524" w14:textId="77777777" w:rsidTr="009A347A">
        <w:trPr>
          <w:cantSplit/>
          <w:trHeight w:val="70"/>
        </w:trPr>
        <w:tc>
          <w:tcPr>
            <w:tcW w:w="4530" w:type="dxa"/>
            <w:vMerge/>
            <w:shd w:val="clear" w:color="auto" w:fill="BFBFBF" w:themeFill="background1" w:themeFillShade="BF"/>
          </w:tcPr>
          <w:p w14:paraId="12DE80F7"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p>
        </w:tc>
        <w:tc>
          <w:tcPr>
            <w:tcW w:w="1134" w:type="dxa"/>
            <w:shd w:val="clear" w:color="auto" w:fill="BFBFBF" w:themeFill="background1" w:themeFillShade="BF"/>
            <w:vAlign w:val="center"/>
          </w:tcPr>
          <w:p w14:paraId="7D063D32"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r</w:t>
            </w:r>
          </w:p>
        </w:tc>
        <w:tc>
          <w:tcPr>
            <w:tcW w:w="1134" w:type="dxa"/>
            <w:shd w:val="clear" w:color="auto" w:fill="BFBFBF" w:themeFill="background1" w:themeFillShade="BF"/>
            <w:vAlign w:val="center"/>
          </w:tcPr>
          <w:p w14:paraId="7366B394"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r + 1</w:t>
            </w:r>
          </w:p>
        </w:tc>
        <w:tc>
          <w:tcPr>
            <w:tcW w:w="1134" w:type="dxa"/>
            <w:shd w:val="clear" w:color="auto" w:fill="BFBFBF" w:themeFill="background1" w:themeFillShade="BF"/>
            <w:vAlign w:val="center"/>
          </w:tcPr>
          <w:p w14:paraId="46041DE4"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r + 2</w:t>
            </w:r>
          </w:p>
        </w:tc>
        <w:tc>
          <w:tcPr>
            <w:tcW w:w="1134" w:type="dxa"/>
            <w:shd w:val="clear" w:color="auto" w:fill="BFBFBF" w:themeFill="background1" w:themeFillShade="BF"/>
            <w:vAlign w:val="center"/>
          </w:tcPr>
          <w:p w14:paraId="26FB87AD"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r + 3</w:t>
            </w:r>
          </w:p>
        </w:tc>
      </w:tr>
      <w:tr w:rsidR="00103D18" w:rsidRPr="007B7470" w14:paraId="70E48795" w14:textId="77777777" w:rsidTr="009A347A">
        <w:trPr>
          <w:trHeight w:val="70"/>
        </w:trPr>
        <w:tc>
          <w:tcPr>
            <w:tcW w:w="4530" w:type="dxa"/>
          </w:tcPr>
          <w:p w14:paraId="3C81EFE2" w14:textId="77777777" w:rsidR="00103D18" w:rsidRPr="00317C3E" w:rsidRDefault="00103D18" w:rsidP="009A347A">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r w:rsidRPr="00317C3E">
              <w:rPr>
                <w:rFonts w:ascii="Times New Roman" w:eastAsia="Times New Roman" w:hAnsi="Times New Roman" w:cs="Times New Roman"/>
                <w:color w:val="000000"/>
                <w:sz w:val="20"/>
                <w:szCs w:val="20"/>
                <w:lang w:eastAsia="sk-SK"/>
              </w:rPr>
              <w:t>Indikátor ABC</w:t>
            </w:r>
          </w:p>
        </w:tc>
        <w:tc>
          <w:tcPr>
            <w:tcW w:w="1134" w:type="dxa"/>
          </w:tcPr>
          <w:p w14:paraId="5FDC87B8"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2A4F76C9"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458CC7CC"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44D9C197"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r>
      <w:tr w:rsidR="00103D18" w:rsidRPr="007B7470" w14:paraId="3D13EECA" w14:textId="77777777" w:rsidTr="009A347A">
        <w:trPr>
          <w:trHeight w:val="70"/>
        </w:trPr>
        <w:tc>
          <w:tcPr>
            <w:tcW w:w="4530" w:type="dxa"/>
          </w:tcPr>
          <w:p w14:paraId="0A325525" w14:textId="77777777" w:rsidR="00103D18" w:rsidRPr="00317C3E" w:rsidRDefault="00103D18" w:rsidP="009A347A">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r w:rsidRPr="00317C3E">
              <w:rPr>
                <w:rFonts w:ascii="Times New Roman" w:eastAsia="Times New Roman" w:hAnsi="Times New Roman" w:cs="Times New Roman"/>
                <w:color w:val="000000"/>
                <w:sz w:val="20"/>
                <w:szCs w:val="20"/>
                <w:lang w:eastAsia="sk-SK"/>
              </w:rPr>
              <w:t>Indikátor KLM</w:t>
            </w:r>
          </w:p>
        </w:tc>
        <w:tc>
          <w:tcPr>
            <w:tcW w:w="1134" w:type="dxa"/>
          </w:tcPr>
          <w:p w14:paraId="47F92337"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3BC8C65A"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206E4E94"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42C93C1D"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r>
      <w:tr w:rsidR="00103D18" w:rsidRPr="007B7470" w14:paraId="0878BF7F" w14:textId="77777777" w:rsidTr="009A347A">
        <w:trPr>
          <w:trHeight w:val="70"/>
        </w:trPr>
        <w:tc>
          <w:tcPr>
            <w:tcW w:w="4530" w:type="dxa"/>
          </w:tcPr>
          <w:p w14:paraId="40BC9572" w14:textId="77777777" w:rsidR="00103D18" w:rsidRPr="00317C3E" w:rsidRDefault="00103D18" w:rsidP="009A347A">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r w:rsidRPr="00317C3E">
              <w:rPr>
                <w:rFonts w:ascii="Times New Roman" w:eastAsia="Times New Roman" w:hAnsi="Times New Roman" w:cs="Times New Roman"/>
                <w:color w:val="000000"/>
                <w:sz w:val="20"/>
                <w:szCs w:val="20"/>
                <w:lang w:eastAsia="sk-SK"/>
              </w:rPr>
              <w:t>Indikátor XYZ</w:t>
            </w:r>
          </w:p>
        </w:tc>
        <w:tc>
          <w:tcPr>
            <w:tcW w:w="1134" w:type="dxa"/>
          </w:tcPr>
          <w:p w14:paraId="1DBE1CFE"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216B094D"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22509E53"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09D69758"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r>
    </w:tbl>
    <w:p w14:paraId="1B572B47" w14:textId="77777777" w:rsidR="00103D18" w:rsidRPr="007B7470" w:rsidRDefault="00103D18" w:rsidP="00103D18">
      <w:pPr>
        <w:spacing w:after="0" w:line="240" w:lineRule="auto"/>
        <w:rPr>
          <w:rFonts w:ascii="Times New Roman" w:eastAsia="Times New Roman" w:hAnsi="Times New Roman" w:cs="Times New Roman"/>
          <w:sz w:val="24"/>
          <w:szCs w:val="24"/>
          <w:lang w:eastAsia="sk-SK"/>
        </w:rPr>
      </w:pPr>
    </w:p>
    <w:p w14:paraId="7A2408D9" w14:textId="77777777" w:rsidR="00103D18" w:rsidRPr="003E34F5" w:rsidRDefault="00103D18" w:rsidP="00103D18">
      <w:pPr>
        <w:spacing w:after="0" w:line="240" w:lineRule="auto"/>
        <w:rPr>
          <w:rFonts w:ascii="Times New Roman" w:eastAsia="Times New Roman" w:hAnsi="Times New Roman" w:cs="Times New Roman"/>
          <w:b/>
          <w:bCs/>
          <w:lang w:eastAsia="sk-SK"/>
        </w:rPr>
      </w:pPr>
      <w:r w:rsidRPr="003E34F5">
        <w:rPr>
          <w:rFonts w:ascii="Times New Roman" w:eastAsia="Times New Roman" w:hAnsi="Times New Roman" w:cs="Times New Roman"/>
          <w:b/>
          <w:bCs/>
          <w:lang w:eastAsia="sk-SK"/>
        </w:rPr>
        <w:t>2.2.4. Výpočty vplyvov na verejné financie</w:t>
      </w:r>
    </w:p>
    <w:p w14:paraId="537466AA" w14:textId="77777777" w:rsidR="00103D18" w:rsidRPr="003E34F5" w:rsidRDefault="00103D18" w:rsidP="00103D18">
      <w:pPr>
        <w:spacing w:after="0" w:line="240" w:lineRule="auto"/>
        <w:jc w:val="both"/>
        <w:rPr>
          <w:rFonts w:ascii="Times New Roman" w:eastAsia="Times New Roman" w:hAnsi="Times New Roman" w:cs="Times New Roman"/>
          <w:lang w:eastAsia="sk-SK"/>
        </w:rPr>
      </w:pPr>
    </w:p>
    <w:p w14:paraId="33936F16" w14:textId="77777777" w:rsidR="00103D18" w:rsidRPr="003E34F5" w:rsidRDefault="00103D18" w:rsidP="00103D18">
      <w:pPr>
        <w:tabs>
          <w:tab w:val="num" w:pos="1080"/>
        </w:tabs>
        <w:spacing w:after="0" w:line="360" w:lineRule="auto"/>
        <w:jc w:val="both"/>
        <w:rPr>
          <w:rFonts w:ascii="Times New Roman" w:eastAsia="Times New Roman" w:hAnsi="Times New Roman" w:cs="Times New Roman"/>
          <w:b/>
          <w:bCs/>
          <w:lang w:eastAsia="sk-SK"/>
        </w:rPr>
      </w:pPr>
      <w:r w:rsidRPr="003E34F5">
        <w:rPr>
          <w:rFonts w:ascii="Times New Roman" w:eastAsia="Times New Roman" w:hAnsi="Times New Roman" w:cs="Times New Roman"/>
          <w:b/>
          <w:bCs/>
          <w:lang w:eastAsia="sk-SK"/>
        </w:rPr>
        <w:t>Negatívny vplyv na rozpočet:</w:t>
      </w:r>
    </w:p>
    <w:p w14:paraId="3A1964FA"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MF SR požiadalo FR SR o kvantifikáciu dopadov na informačné systémy finančnej správy, ktoré vyplývajú z návrhu zákona.</w:t>
      </w:r>
    </w:p>
    <w:p w14:paraId="7B439752"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Negatívny vplyv na rozpočet verejnej správy súvisí s požiadavkami na nevyhnutné zmeny systémov finančnej správy.</w:t>
      </w:r>
    </w:p>
    <w:p w14:paraId="6B111016"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 xml:space="preserve">Odhadovaný hrubý finančný dopad na systémy finančnej správy v nadväznosti na tieto zmeny je vo výške </w:t>
      </w:r>
      <w:r w:rsidRPr="003E34F5">
        <w:rPr>
          <w:rFonts w:ascii="Times New Roman" w:eastAsia="Times New Roman" w:hAnsi="Times New Roman" w:cs="Times New Roman"/>
          <w:lang w:eastAsia="sk-SK"/>
        </w:rPr>
        <w:t>346 281,90 eur</w:t>
      </w:r>
      <w:r w:rsidRPr="003E34F5">
        <w:rPr>
          <w:rFonts w:ascii="Times New Roman" w:eastAsia="Times New Roman" w:hAnsi="Times New Roman" w:cs="Times New Roman"/>
          <w:bCs/>
          <w:lang w:eastAsia="sk-SK"/>
        </w:rPr>
        <w:t>, z toho:</w:t>
      </w:r>
    </w:p>
    <w:p w14:paraId="08A2FA08" w14:textId="5D836C0E" w:rsidR="00103D18" w:rsidRPr="003E34F5" w:rsidRDefault="00103D18" w:rsidP="003E34F5">
      <w:pPr>
        <w:pStyle w:val="Odsekzoznamu"/>
        <w:numPr>
          <w:ilvl w:val="0"/>
          <w:numId w:val="3"/>
        </w:numPr>
        <w:tabs>
          <w:tab w:val="num" w:pos="1080"/>
        </w:tabs>
        <w:spacing w:after="0" w:line="240" w:lineRule="auto"/>
        <w:jc w:val="both"/>
        <w:rPr>
          <w:rFonts w:ascii="Times New Roman" w:hAnsi="Times New Roman"/>
          <w:bCs/>
          <w:lang w:eastAsia="sk-SK"/>
        </w:rPr>
      </w:pPr>
      <w:r w:rsidRPr="003E34F5">
        <w:rPr>
          <w:rFonts w:ascii="Times New Roman" w:hAnsi="Times New Roman"/>
          <w:bCs/>
          <w:lang w:eastAsia="sk-SK"/>
        </w:rPr>
        <w:t>IS APV SysNED</w:t>
      </w:r>
      <w:r w:rsidRPr="003E34F5">
        <w:rPr>
          <w:rFonts w:ascii="Times New Roman" w:hAnsi="Times New Roman"/>
          <w:bCs/>
          <w:lang w:eastAsia="sk-SK"/>
        </w:rPr>
        <w:tab/>
      </w:r>
      <w:r w:rsidRPr="003E34F5">
        <w:rPr>
          <w:rFonts w:ascii="Times New Roman" w:hAnsi="Times New Roman"/>
          <w:bCs/>
          <w:lang w:eastAsia="sk-SK"/>
        </w:rPr>
        <w:tab/>
      </w:r>
      <w:r w:rsidRPr="003E34F5">
        <w:rPr>
          <w:rFonts w:ascii="Times New Roman" w:hAnsi="Times New Roman"/>
          <w:bCs/>
          <w:lang w:eastAsia="sk-SK"/>
        </w:rPr>
        <w:tab/>
        <w:t>vo výške 243 134,10 eur,</w:t>
      </w:r>
    </w:p>
    <w:p w14:paraId="6F5EB6E2" w14:textId="77777777" w:rsidR="00103D18" w:rsidRPr="003E34F5" w:rsidRDefault="00103D18" w:rsidP="003E34F5">
      <w:pPr>
        <w:pStyle w:val="Odsekzoznamu"/>
        <w:numPr>
          <w:ilvl w:val="0"/>
          <w:numId w:val="3"/>
        </w:numPr>
        <w:tabs>
          <w:tab w:val="num" w:pos="1080"/>
        </w:tabs>
        <w:spacing w:after="0" w:line="240" w:lineRule="auto"/>
        <w:jc w:val="both"/>
        <w:rPr>
          <w:rFonts w:ascii="Times New Roman" w:hAnsi="Times New Roman"/>
          <w:bCs/>
          <w:lang w:eastAsia="sk-SK"/>
        </w:rPr>
      </w:pPr>
      <w:r w:rsidRPr="003E34F5">
        <w:rPr>
          <w:rFonts w:ascii="Times New Roman" w:hAnsi="Times New Roman"/>
          <w:bCs/>
          <w:lang w:eastAsia="sk-SK"/>
        </w:rPr>
        <w:t>PFS (portál finančnej správy)</w:t>
      </w:r>
      <w:r w:rsidRPr="003E34F5">
        <w:rPr>
          <w:rFonts w:ascii="Times New Roman" w:hAnsi="Times New Roman"/>
          <w:bCs/>
          <w:lang w:eastAsia="sk-SK"/>
        </w:rPr>
        <w:tab/>
      </w:r>
      <w:r w:rsidRPr="003E34F5">
        <w:rPr>
          <w:rFonts w:ascii="Times New Roman" w:hAnsi="Times New Roman"/>
          <w:bCs/>
          <w:lang w:eastAsia="sk-SK"/>
        </w:rPr>
        <w:tab/>
        <w:t>vo výške 103 147,80 eur.</w:t>
      </w:r>
    </w:p>
    <w:p w14:paraId="1F9ADBDD"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Odhad FR SR je urobený pri súčasnej miere poznania. Skutočnú prácnosť bude možné určiť až</w:t>
      </w:r>
    </w:p>
    <w:p w14:paraId="12F16629"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 xml:space="preserve">vo fáze realizácie príslušnej požiadavky. </w:t>
      </w:r>
    </w:p>
    <w:p w14:paraId="51E8E133" w14:textId="77777777" w:rsidR="00103D18" w:rsidRPr="007B7470" w:rsidRDefault="00103D18" w:rsidP="00103D18">
      <w:pPr>
        <w:tabs>
          <w:tab w:val="num" w:pos="1080"/>
        </w:tabs>
        <w:spacing w:after="0" w:line="360" w:lineRule="auto"/>
        <w:jc w:val="both"/>
        <w:rPr>
          <w:rFonts w:ascii="Times New Roman" w:eastAsia="Times New Roman" w:hAnsi="Times New Roman" w:cs="Times New Roman"/>
          <w:bCs/>
          <w:sz w:val="24"/>
          <w:szCs w:val="24"/>
          <w:lang w:eastAsia="sk-SK"/>
        </w:rPr>
      </w:pPr>
    </w:p>
    <w:p w14:paraId="6E14451B"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4"/>
          <w:szCs w:val="20"/>
          <w:lang w:eastAsia="sk-SK"/>
        </w:rPr>
      </w:pPr>
    </w:p>
    <w:p w14:paraId="1AAC0603"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4"/>
          <w:szCs w:val="20"/>
          <w:lang w:eastAsia="sk-SK"/>
        </w:rPr>
        <w:sectPr w:rsidR="00103D18" w:rsidRPr="007B7470" w:rsidSect="00EC53BA">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276" w:left="1418" w:header="709" w:footer="709" w:gutter="0"/>
          <w:pgNumType w:start="1"/>
          <w:cols w:space="708"/>
          <w:docGrid w:linePitch="360"/>
        </w:sectPr>
      </w:pPr>
    </w:p>
    <w:p w14:paraId="546F5577" w14:textId="77777777" w:rsidR="00103D18" w:rsidRPr="007B7470" w:rsidRDefault="00103D18" w:rsidP="00103D18">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103D18" w:rsidRPr="007B7470" w14:paraId="1C68C882" w14:textId="77777777" w:rsidTr="009A347A">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2E8ECC"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B28F668"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D81ECDE"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poznámka</w:t>
            </w:r>
          </w:p>
        </w:tc>
      </w:tr>
      <w:tr w:rsidR="00103D18" w:rsidRPr="007B7470" w14:paraId="756566A1" w14:textId="77777777" w:rsidTr="009A347A">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AE0DE1E" w14:textId="77777777" w:rsidR="00103D18" w:rsidRPr="007B7470" w:rsidRDefault="00103D18" w:rsidP="009A347A">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1FB61C43"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2866F774"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112FF110"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773FB712"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625F1995" w14:textId="77777777" w:rsidR="00103D18" w:rsidRPr="007B7470" w:rsidRDefault="00103D18" w:rsidP="009A347A">
            <w:pPr>
              <w:spacing w:after="0" w:line="240" w:lineRule="auto"/>
              <w:rPr>
                <w:rFonts w:ascii="Times New Roman" w:eastAsia="Times New Roman" w:hAnsi="Times New Roman" w:cs="Times New Roman"/>
                <w:b/>
                <w:bCs/>
                <w:color w:val="FFFFFF"/>
                <w:sz w:val="24"/>
                <w:szCs w:val="24"/>
                <w:lang w:eastAsia="sk-SK"/>
              </w:rPr>
            </w:pPr>
          </w:p>
        </w:tc>
      </w:tr>
      <w:tr w:rsidR="00103D18" w:rsidRPr="007B7470" w14:paraId="10DB4C77" w14:textId="77777777" w:rsidTr="009A347A">
        <w:trPr>
          <w:trHeight w:val="255"/>
        </w:trPr>
        <w:tc>
          <w:tcPr>
            <w:tcW w:w="4950" w:type="dxa"/>
            <w:tcBorders>
              <w:top w:val="nil"/>
              <w:left w:val="single" w:sz="4" w:space="0" w:color="auto"/>
              <w:bottom w:val="single" w:sz="4" w:space="0" w:color="auto"/>
              <w:right w:val="single" w:sz="4" w:space="0" w:color="auto"/>
            </w:tcBorders>
          </w:tcPr>
          <w:p w14:paraId="4E1F3835" w14:textId="77777777" w:rsidR="00103D18" w:rsidRPr="00C627A4" w:rsidRDefault="00103D18" w:rsidP="009A347A">
            <w:pPr>
              <w:spacing w:after="0" w:line="240" w:lineRule="auto"/>
              <w:rPr>
                <w:rFonts w:ascii="Times New Roman" w:eastAsia="Times New Roman" w:hAnsi="Times New Roman" w:cs="Times New Roman"/>
                <w:b/>
                <w:bCs/>
                <w:vertAlign w:val="superscript"/>
                <w:lang w:eastAsia="sk-SK"/>
              </w:rPr>
            </w:pPr>
            <w:r w:rsidRPr="00C627A4">
              <w:rPr>
                <w:rFonts w:ascii="Times New Roman" w:eastAsia="Times New Roman" w:hAnsi="Times New Roman" w:cs="Times New Roman"/>
                <w:b/>
                <w:bCs/>
                <w:lang w:eastAsia="sk-SK"/>
              </w:rPr>
              <w:t>Daňové príjmy (100)</w:t>
            </w:r>
            <w:r w:rsidRPr="00C627A4">
              <w:rPr>
                <w:rFonts w:ascii="Times New Roman" w:eastAsia="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1EBC1DB3"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31CC2AB4"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008F0A98"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0A961C79"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3BCF0ABA"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766271DB" w14:textId="77777777" w:rsidTr="009A347A">
        <w:trPr>
          <w:trHeight w:val="255"/>
        </w:trPr>
        <w:tc>
          <w:tcPr>
            <w:tcW w:w="4950" w:type="dxa"/>
            <w:tcBorders>
              <w:top w:val="nil"/>
              <w:left w:val="single" w:sz="4" w:space="0" w:color="auto"/>
              <w:bottom w:val="single" w:sz="4" w:space="0" w:color="auto"/>
              <w:right w:val="single" w:sz="4" w:space="0" w:color="auto"/>
            </w:tcBorders>
          </w:tcPr>
          <w:p w14:paraId="48112694"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Výnos zo zemného plynu</w:t>
            </w:r>
          </w:p>
        </w:tc>
        <w:tc>
          <w:tcPr>
            <w:tcW w:w="1500" w:type="dxa"/>
            <w:tcBorders>
              <w:top w:val="nil"/>
              <w:left w:val="nil"/>
              <w:bottom w:val="single" w:sz="4" w:space="0" w:color="auto"/>
              <w:right w:val="single" w:sz="4" w:space="0" w:color="auto"/>
            </w:tcBorders>
          </w:tcPr>
          <w:p w14:paraId="5501E231"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444F5741"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32D33035"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6AED21B1"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2632653C"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412546DB" w14:textId="77777777" w:rsidTr="009A347A">
        <w:trPr>
          <w:trHeight w:val="255"/>
        </w:trPr>
        <w:tc>
          <w:tcPr>
            <w:tcW w:w="4950" w:type="dxa"/>
            <w:tcBorders>
              <w:top w:val="nil"/>
              <w:left w:val="single" w:sz="4" w:space="0" w:color="auto"/>
              <w:bottom w:val="single" w:sz="4" w:space="0" w:color="auto"/>
              <w:right w:val="single" w:sz="4" w:space="0" w:color="auto"/>
            </w:tcBorders>
          </w:tcPr>
          <w:p w14:paraId="39B6CE34"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Výnos z LPG</w:t>
            </w:r>
          </w:p>
        </w:tc>
        <w:tc>
          <w:tcPr>
            <w:tcW w:w="1500" w:type="dxa"/>
            <w:tcBorders>
              <w:top w:val="nil"/>
              <w:left w:val="nil"/>
              <w:bottom w:val="single" w:sz="4" w:space="0" w:color="auto"/>
              <w:right w:val="single" w:sz="4" w:space="0" w:color="auto"/>
            </w:tcBorders>
          </w:tcPr>
          <w:p w14:paraId="35116D3E"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7898C0E2" w14:textId="77777777" w:rsidR="00103D18" w:rsidRPr="00C627A4" w:rsidRDefault="00103D18" w:rsidP="00C627A4">
            <w:pPr>
              <w:spacing w:after="0" w:line="240" w:lineRule="auto"/>
              <w:jc w:val="center"/>
              <w:rPr>
                <w:rFonts w:ascii="Times New Roman" w:hAnsi="Times New Roman"/>
                <w:b/>
                <w:bCs/>
                <w:lang w:eastAsia="sk-SK"/>
              </w:rPr>
            </w:pPr>
          </w:p>
        </w:tc>
        <w:tc>
          <w:tcPr>
            <w:tcW w:w="1500" w:type="dxa"/>
            <w:tcBorders>
              <w:top w:val="nil"/>
              <w:left w:val="nil"/>
              <w:bottom w:val="single" w:sz="4" w:space="0" w:color="auto"/>
              <w:right w:val="single" w:sz="4" w:space="0" w:color="auto"/>
            </w:tcBorders>
            <w:vAlign w:val="center"/>
          </w:tcPr>
          <w:p w14:paraId="172C8462"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21DF54D5" w14:textId="77777777" w:rsidR="00103D18" w:rsidRPr="00C627A4" w:rsidRDefault="00103D18" w:rsidP="00C627A4">
            <w:pPr>
              <w:spacing w:after="0" w:line="240" w:lineRule="auto"/>
              <w:jc w:val="center"/>
              <w:rPr>
                <w:rFonts w:ascii="Times New Roman" w:hAnsi="Times New Roman"/>
                <w:b/>
                <w:bCs/>
                <w:lang w:eastAsia="sk-SK"/>
              </w:rPr>
            </w:pPr>
          </w:p>
        </w:tc>
        <w:tc>
          <w:tcPr>
            <w:tcW w:w="3000" w:type="dxa"/>
            <w:tcBorders>
              <w:top w:val="nil"/>
              <w:left w:val="nil"/>
              <w:bottom w:val="single" w:sz="4" w:space="0" w:color="auto"/>
              <w:right w:val="single" w:sz="4" w:space="0" w:color="auto"/>
            </w:tcBorders>
            <w:noWrap/>
            <w:vAlign w:val="bottom"/>
          </w:tcPr>
          <w:p w14:paraId="0FC62FD2"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20F9C342" w14:textId="77777777" w:rsidTr="009A347A">
        <w:trPr>
          <w:trHeight w:val="255"/>
        </w:trPr>
        <w:tc>
          <w:tcPr>
            <w:tcW w:w="4950" w:type="dxa"/>
            <w:tcBorders>
              <w:top w:val="nil"/>
              <w:left w:val="single" w:sz="4" w:space="0" w:color="auto"/>
              <w:bottom w:val="single" w:sz="4" w:space="0" w:color="auto"/>
              <w:right w:val="single" w:sz="4" w:space="0" w:color="auto"/>
            </w:tcBorders>
          </w:tcPr>
          <w:p w14:paraId="4E1C28E8"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Nedaňové príjmy (200)</w:t>
            </w:r>
            <w:r w:rsidRPr="00C627A4">
              <w:rPr>
                <w:rFonts w:ascii="Times New Roman" w:eastAsia="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295A34F5"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04AE6B55"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32584491"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7F4B3A5A"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040A7A12"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3F64D433" w14:textId="77777777" w:rsidTr="009A347A">
        <w:trPr>
          <w:trHeight w:val="255"/>
        </w:trPr>
        <w:tc>
          <w:tcPr>
            <w:tcW w:w="4950" w:type="dxa"/>
            <w:tcBorders>
              <w:top w:val="nil"/>
              <w:left w:val="single" w:sz="4" w:space="0" w:color="auto"/>
              <w:bottom w:val="single" w:sz="4" w:space="0" w:color="auto"/>
              <w:right w:val="single" w:sz="4" w:space="0" w:color="auto"/>
            </w:tcBorders>
          </w:tcPr>
          <w:p w14:paraId="28C46FBA"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Granty a transfery (300)</w:t>
            </w:r>
            <w:r w:rsidRPr="00C627A4">
              <w:rPr>
                <w:rFonts w:ascii="Times New Roman" w:eastAsia="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12FF079E"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5CD3F217"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49FB5750"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4A5174AC"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31F5D7CE"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46E8205B" w14:textId="77777777" w:rsidTr="009A347A">
        <w:trPr>
          <w:trHeight w:val="255"/>
        </w:trPr>
        <w:tc>
          <w:tcPr>
            <w:tcW w:w="4950" w:type="dxa"/>
            <w:tcBorders>
              <w:top w:val="nil"/>
              <w:left w:val="single" w:sz="4" w:space="0" w:color="auto"/>
              <w:bottom w:val="single" w:sz="4" w:space="0" w:color="auto"/>
              <w:right w:val="single" w:sz="4" w:space="0" w:color="auto"/>
            </w:tcBorders>
          </w:tcPr>
          <w:p w14:paraId="1A2D849E"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5F455DF0"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0331B767"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25559D85"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6088CC83"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7B1A9C39"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4E29C420" w14:textId="77777777" w:rsidTr="009A347A">
        <w:trPr>
          <w:trHeight w:val="255"/>
        </w:trPr>
        <w:tc>
          <w:tcPr>
            <w:tcW w:w="4950" w:type="dxa"/>
            <w:tcBorders>
              <w:top w:val="nil"/>
              <w:left w:val="single" w:sz="4" w:space="0" w:color="auto"/>
              <w:bottom w:val="single" w:sz="4" w:space="0" w:color="auto"/>
              <w:right w:val="single" w:sz="4" w:space="0" w:color="auto"/>
            </w:tcBorders>
          </w:tcPr>
          <w:p w14:paraId="522E2164"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4EC3ED77"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4D79DCE6"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571C4842"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730CEA9C"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51914C52"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56AC1C13" w14:textId="77777777" w:rsidTr="009A347A">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355CD67"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DB5B0B8"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E498DE9"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6D60248"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B224770"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D1B983C"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bl>
    <w:p w14:paraId="23BDDC7F"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14:paraId="45C0B493"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4"/>
          <w:szCs w:val="20"/>
          <w:lang w:eastAsia="sk-SK"/>
        </w:rPr>
      </w:pPr>
    </w:p>
    <w:p w14:paraId="0CDC4D56" w14:textId="77777777" w:rsidR="00103D18" w:rsidRPr="003E34F5" w:rsidRDefault="00103D18" w:rsidP="00103D18">
      <w:pPr>
        <w:tabs>
          <w:tab w:val="num" w:pos="1080"/>
        </w:tabs>
        <w:spacing w:after="0" w:line="240" w:lineRule="auto"/>
        <w:jc w:val="both"/>
        <w:rPr>
          <w:rFonts w:ascii="Times New Roman" w:eastAsia="Times New Roman" w:hAnsi="Times New Roman" w:cs="Times New Roman"/>
          <w:b/>
          <w:bCs/>
          <w:sz w:val="20"/>
          <w:szCs w:val="20"/>
          <w:lang w:eastAsia="sk-SK"/>
        </w:rPr>
      </w:pPr>
      <w:r w:rsidRPr="003E34F5">
        <w:rPr>
          <w:rFonts w:ascii="Times New Roman" w:eastAsia="Times New Roman" w:hAnsi="Times New Roman" w:cs="Times New Roman"/>
          <w:b/>
          <w:bCs/>
          <w:sz w:val="20"/>
          <w:szCs w:val="20"/>
          <w:lang w:eastAsia="sk-SK"/>
        </w:rPr>
        <w:t>Poznámka:</w:t>
      </w:r>
    </w:p>
    <w:p w14:paraId="7A8F9F3A" w14:textId="77777777" w:rsidR="00103D18" w:rsidRPr="003E34F5" w:rsidRDefault="00103D18" w:rsidP="00103D18">
      <w:pPr>
        <w:tabs>
          <w:tab w:val="num" w:pos="1080"/>
        </w:tabs>
        <w:spacing w:after="0" w:line="240" w:lineRule="auto"/>
        <w:jc w:val="both"/>
        <w:rPr>
          <w:rFonts w:ascii="Times New Roman" w:eastAsia="Times New Roman" w:hAnsi="Times New Roman" w:cs="Times New Roman"/>
          <w:bCs/>
          <w:sz w:val="20"/>
          <w:szCs w:val="20"/>
          <w:lang w:eastAsia="sk-SK"/>
        </w:rPr>
      </w:pPr>
      <w:r w:rsidRPr="003E34F5">
        <w:rPr>
          <w:rFonts w:ascii="Times New Roman" w:eastAsia="Times New Roman" w:hAnsi="Times New Roman" w:cs="Times New Roman"/>
          <w:bCs/>
          <w:sz w:val="20"/>
          <w:szCs w:val="20"/>
          <w:lang w:eastAsia="sk-SK"/>
        </w:rPr>
        <w:t>Ak sa vplyv týka viacerých subjektov verejnej správy, vypĺňa sa samostatná tabuľka za každý subjekt.</w:t>
      </w:r>
    </w:p>
    <w:p w14:paraId="72DC5CBE" w14:textId="77777777" w:rsidR="00103D18" w:rsidRPr="003E34F5" w:rsidRDefault="00103D18" w:rsidP="00103D18">
      <w:pPr>
        <w:tabs>
          <w:tab w:val="num" w:pos="1080"/>
        </w:tabs>
        <w:spacing w:after="0" w:line="240" w:lineRule="auto"/>
        <w:ind w:right="-578"/>
        <w:jc w:val="right"/>
        <w:rPr>
          <w:rFonts w:ascii="Times New Roman" w:eastAsia="Times New Roman" w:hAnsi="Times New Roman" w:cs="Times New Roman"/>
          <w:bCs/>
          <w:sz w:val="20"/>
          <w:szCs w:val="20"/>
          <w:lang w:eastAsia="sk-SK"/>
        </w:rPr>
      </w:pPr>
      <w:r w:rsidRPr="003E34F5">
        <w:rPr>
          <w:rFonts w:ascii="Times New Roman" w:eastAsia="Times New Roman" w:hAnsi="Times New Roman" w:cs="Times New Roman"/>
          <w:bCs/>
          <w:sz w:val="20"/>
          <w:szCs w:val="20"/>
          <w:lang w:eastAsia="sk-SK"/>
        </w:rPr>
        <w:t xml:space="preserve"> </w:t>
      </w:r>
    </w:p>
    <w:p w14:paraId="0ADEDBCA" w14:textId="77777777" w:rsidR="00103D18" w:rsidRPr="003E34F5" w:rsidRDefault="00103D18" w:rsidP="00103D18">
      <w:pPr>
        <w:tabs>
          <w:tab w:val="num" w:pos="1080"/>
        </w:tabs>
        <w:spacing w:after="0" w:line="240" w:lineRule="auto"/>
        <w:ind w:right="-578"/>
        <w:jc w:val="right"/>
        <w:rPr>
          <w:rFonts w:ascii="Times New Roman" w:eastAsia="Times New Roman" w:hAnsi="Times New Roman" w:cs="Times New Roman"/>
          <w:bCs/>
          <w:sz w:val="20"/>
          <w:szCs w:val="20"/>
          <w:lang w:eastAsia="sk-SK"/>
        </w:rPr>
      </w:pPr>
    </w:p>
    <w:p w14:paraId="22A2841D"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FB31B0F"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521F614"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2EA18C3"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9C4ACDC"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9283A5A"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7538501"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A22704C"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63AF40A"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EB11B11"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B6849B1" w14:textId="77777777" w:rsidR="00103D18"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AE0086E" w14:textId="77777777" w:rsidR="00C627A4" w:rsidRPr="007B7470" w:rsidRDefault="00C627A4"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FB04AFD"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9399C76" w14:textId="77777777" w:rsidR="00103D18"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2D15998" w14:textId="77777777" w:rsidR="00CF33FE" w:rsidRPr="007B7470" w:rsidRDefault="00CF33FE"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2341875"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103D18" w:rsidRPr="00C627A4" w14:paraId="646AFF5B" w14:textId="77777777" w:rsidTr="009A347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39B262F"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2149F35"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C2C8EB1"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poznámka</w:t>
            </w:r>
          </w:p>
        </w:tc>
      </w:tr>
      <w:tr w:rsidR="00103D18" w:rsidRPr="00C627A4" w14:paraId="05F1FC6E" w14:textId="77777777" w:rsidTr="009A347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7D324D7" w14:textId="77777777" w:rsidR="00103D18" w:rsidRPr="00C627A4" w:rsidRDefault="00103D18" w:rsidP="009A347A">
            <w:pPr>
              <w:spacing w:after="0" w:line="240" w:lineRule="auto"/>
              <w:rPr>
                <w:rFonts w:ascii="Times New Roman" w:eastAsia="Times New Roman" w:hAnsi="Times New Roman" w:cs="Times New Roman"/>
                <w:b/>
                <w:bCs/>
                <w:color w:val="FFFFFF"/>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A3943B0"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01E6B33F"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0A77388E"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1AC149B3"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043525A6" w14:textId="77777777" w:rsidR="00103D18" w:rsidRPr="00C627A4" w:rsidRDefault="00103D18" w:rsidP="009A347A">
            <w:pPr>
              <w:spacing w:after="0" w:line="240" w:lineRule="auto"/>
              <w:rPr>
                <w:rFonts w:ascii="Times New Roman" w:eastAsia="Times New Roman" w:hAnsi="Times New Roman" w:cs="Times New Roman"/>
                <w:b/>
                <w:bCs/>
                <w:color w:val="FFFFFF"/>
                <w:lang w:eastAsia="sk-SK"/>
              </w:rPr>
            </w:pPr>
          </w:p>
        </w:tc>
      </w:tr>
      <w:tr w:rsidR="00103D18" w:rsidRPr="00C627A4" w14:paraId="00F078E4" w14:textId="77777777" w:rsidTr="009A347A">
        <w:trPr>
          <w:trHeight w:val="255"/>
        </w:trPr>
        <w:tc>
          <w:tcPr>
            <w:tcW w:w="7070" w:type="dxa"/>
            <w:tcBorders>
              <w:top w:val="nil"/>
              <w:left w:val="single" w:sz="4" w:space="0" w:color="auto"/>
              <w:bottom w:val="single" w:sz="4" w:space="0" w:color="auto"/>
              <w:right w:val="single" w:sz="4" w:space="0" w:color="auto"/>
            </w:tcBorders>
          </w:tcPr>
          <w:p w14:paraId="2F6DBCC0"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Bežné výdavky (600)</w:t>
            </w:r>
          </w:p>
        </w:tc>
        <w:tc>
          <w:tcPr>
            <w:tcW w:w="1430" w:type="dxa"/>
            <w:tcBorders>
              <w:top w:val="nil"/>
              <w:left w:val="nil"/>
              <w:bottom w:val="single" w:sz="4" w:space="0" w:color="auto"/>
              <w:right w:val="single" w:sz="4" w:space="0" w:color="auto"/>
            </w:tcBorders>
          </w:tcPr>
          <w:p w14:paraId="1FEED719"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p>
        </w:tc>
        <w:tc>
          <w:tcPr>
            <w:tcW w:w="1650" w:type="dxa"/>
            <w:tcBorders>
              <w:top w:val="nil"/>
              <w:left w:val="nil"/>
              <w:bottom w:val="single" w:sz="4" w:space="0" w:color="auto"/>
              <w:right w:val="single" w:sz="4" w:space="0" w:color="auto"/>
            </w:tcBorders>
          </w:tcPr>
          <w:p w14:paraId="28BEA4E6"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103 147,80</w:t>
            </w:r>
          </w:p>
        </w:tc>
        <w:tc>
          <w:tcPr>
            <w:tcW w:w="1540" w:type="dxa"/>
            <w:tcBorders>
              <w:top w:val="nil"/>
              <w:left w:val="nil"/>
              <w:bottom w:val="single" w:sz="4" w:space="0" w:color="auto"/>
              <w:right w:val="single" w:sz="4" w:space="0" w:color="auto"/>
            </w:tcBorders>
          </w:tcPr>
          <w:p w14:paraId="34C8E056"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p>
        </w:tc>
        <w:tc>
          <w:tcPr>
            <w:tcW w:w="1540" w:type="dxa"/>
            <w:tcBorders>
              <w:top w:val="nil"/>
              <w:left w:val="nil"/>
              <w:bottom w:val="single" w:sz="4" w:space="0" w:color="auto"/>
              <w:right w:val="single" w:sz="4" w:space="0" w:color="auto"/>
            </w:tcBorders>
          </w:tcPr>
          <w:p w14:paraId="19531E18"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p>
        </w:tc>
        <w:tc>
          <w:tcPr>
            <w:tcW w:w="1649" w:type="dxa"/>
            <w:tcBorders>
              <w:top w:val="nil"/>
              <w:left w:val="nil"/>
              <w:bottom w:val="single" w:sz="4" w:space="0" w:color="auto"/>
              <w:right w:val="single" w:sz="4" w:space="0" w:color="auto"/>
            </w:tcBorders>
            <w:noWrap/>
            <w:vAlign w:val="bottom"/>
          </w:tcPr>
          <w:p w14:paraId="24B64E8F"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 </w:t>
            </w:r>
          </w:p>
        </w:tc>
      </w:tr>
      <w:tr w:rsidR="00103D18" w:rsidRPr="00C627A4" w14:paraId="3F276B7D" w14:textId="77777777" w:rsidTr="009A347A">
        <w:trPr>
          <w:trHeight w:val="255"/>
        </w:trPr>
        <w:tc>
          <w:tcPr>
            <w:tcW w:w="7070" w:type="dxa"/>
            <w:tcBorders>
              <w:top w:val="nil"/>
              <w:left w:val="single" w:sz="4" w:space="0" w:color="auto"/>
              <w:bottom w:val="single" w:sz="4" w:space="0" w:color="auto"/>
              <w:right w:val="single" w:sz="4" w:space="0" w:color="auto"/>
            </w:tcBorders>
          </w:tcPr>
          <w:p w14:paraId="245A6FC0" w14:textId="77777777" w:rsidR="00103D18" w:rsidRPr="00C627A4" w:rsidRDefault="00103D18" w:rsidP="009A347A">
            <w:pPr>
              <w:spacing w:after="0" w:line="240" w:lineRule="auto"/>
              <w:rPr>
                <w:rFonts w:ascii="Times New Roman" w:eastAsia="Times New Roman" w:hAnsi="Times New Roman" w:cs="Times New Roman"/>
                <w:sz w:val="20"/>
                <w:szCs w:val="20"/>
                <w:lang w:eastAsia="sk-SK"/>
              </w:rPr>
            </w:pPr>
            <w:r w:rsidRPr="00C627A4">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C7DDB5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4353E02F"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14:paraId="03CC4D89"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FC727CE"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264EFC07"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r w:rsidRPr="00797B37">
              <w:rPr>
                <w:rFonts w:ascii="Times New Roman" w:eastAsia="Times New Roman" w:hAnsi="Times New Roman" w:cs="Times New Roman"/>
                <w:b/>
                <w:bCs/>
                <w:sz w:val="20"/>
                <w:szCs w:val="20"/>
                <w:lang w:eastAsia="sk-SK"/>
              </w:rPr>
              <w:t> </w:t>
            </w:r>
          </w:p>
        </w:tc>
      </w:tr>
      <w:tr w:rsidR="00103D18" w:rsidRPr="00C627A4" w14:paraId="1DD6A886" w14:textId="77777777" w:rsidTr="009A347A">
        <w:trPr>
          <w:trHeight w:val="255"/>
        </w:trPr>
        <w:tc>
          <w:tcPr>
            <w:tcW w:w="7070" w:type="dxa"/>
            <w:tcBorders>
              <w:top w:val="nil"/>
              <w:left w:val="single" w:sz="4" w:space="0" w:color="auto"/>
              <w:bottom w:val="single" w:sz="4" w:space="0" w:color="auto"/>
              <w:right w:val="single" w:sz="4" w:space="0" w:color="auto"/>
            </w:tcBorders>
          </w:tcPr>
          <w:p w14:paraId="6653772B" w14:textId="77777777" w:rsidR="00103D18" w:rsidRPr="00C627A4" w:rsidRDefault="00103D18" w:rsidP="009A347A">
            <w:pPr>
              <w:spacing w:after="0" w:line="240" w:lineRule="auto"/>
              <w:rPr>
                <w:rFonts w:ascii="Times New Roman" w:eastAsia="Times New Roman" w:hAnsi="Times New Roman" w:cs="Times New Roman"/>
                <w:sz w:val="20"/>
                <w:szCs w:val="20"/>
                <w:vertAlign w:val="superscript"/>
                <w:lang w:eastAsia="sk-SK"/>
              </w:rPr>
            </w:pPr>
            <w:r w:rsidRPr="00C627A4">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2B0FA7E1"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12A834DD"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14:paraId="5A00B8C2"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8BCC656"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2D11C59B"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r w:rsidRPr="00797B37">
              <w:rPr>
                <w:rFonts w:ascii="Times New Roman" w:eastAsia="Times New Roman" w:hAnsi="Times New Roman" w:cs="Times New Roman"/>
                <w:b/>
                <w:bCs/>
                <w:sz w:val="20"/>
                <w:szCs w:val="20"/>
                <w:lang w:eastAsia="sk-SK"/>
              </w:rPr>
              <w:t> </w:t>
            </w:r>
          </w:p>
        </w:tc>
      </w:tr>
      <w:tr w:rsidR="00103D18" w:rsidRPr="00C627A4" w14:paraId="6443D910" w14:textId="77777777" w:rsidTr="009A347A">
        <w:trPr>
          <w:trHeight w:val="255"/>
        </w:trPr>
        <w:tc>
          <w:tcPr>
            <w:tcW w:w="7070" w:type="dxa"/>
            <w:tcBorders>
              <w:top w:val="nil"/>
              <w:left w:val="single" w:sz="4" w:space="0" w:color="auto"/>
              <w:bottom w:val="single" w:sz="4" w:space="0" w:color="auto"/>
              <w:right w:val="single" w:sz="4" w:space="0" w:color="auto"/>
            </w:tcBorders>
          </w:tcPr>
          <w:p w14:paraId="4F0BCEA8" w14:textId="77777777" w:rsidR="00103D18" w:rsidRPr="00C627A4" w:rsidRDefault="00103D18" w:rsidP="009A347A">
            <w:pPr>
              <w:spacing w:after="0" w:line="240" w:lineRule="auto"/>
              <w:rPr>
                <w:rFonts w:ascii="Times New Roman" w:eastAsia="Times New Roman" w:hAnsi="Times New Roman" w:cs="Times New Roman"/>
                <w:sz w:val="20"/>
                <w:szCs w:val="20"/>
                <w:vertAlign w:val="superscript"/>
                <w:lang w:eastAsia="sk-SK"/>
              </w:rPr>
            </w:pPr>
            <w:r w:rsidRPr="00C627A4">
              <w:rPr>
                <w:rFonts w:ascii="Times New Roman" w:eastAsia="Times New Roman" w:hAnsi="Times New Roman" w:cs="Times New Roman"/>
                <w:sz w:val="20"/>
                <w:szCs w:val="20"/>
                <w:lang w:eastAsia="sk-SK"/>
              </w:rPr>
              <w:t xml:space="preserve">  Tovary a služby (630)</w:t>
            </w:r>
            <w:r w:rsidRPr="00C627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303E2CB"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17203E78"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r w:rsidRPr="00797B37">
              <w:rPr>
                <w:rFonts w:ascii="Times New Roman" w:eastAsia="Times New Roman" w:hAnsi="Times New Roman" w:cs="Times New Roman"/>
                <w:b/>
                <w:sz w:val="20"/>
                <w:szCs w:val="20"/>
                <w:lang w:eastAsia="sk-SK"/>
              </w:rPr>
              <w:t>103 147,80</w:t>
            </w:r>
          </w:p>
        </w:tc>
        <w:tc>
          <w:tcPr>
            <w:tcW w:w="1540" w:type="dxa"/>
            <w:tcBorders>
              <w:top w:val="nil"/>
              <w:left w:val="nil"/>
              <w:bottom w:val="single" w:sz="4" w:space="0" w:color="auto"/>
              <w:right w:val="single" w:sz="4" w:space="0" w:color="auto"/>
            </w:tcBorders>
          </w:tcPr>
          <w:p w14:paraId="4B09485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E2883F9"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335BCFE8"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r w:rsidRPr="00797B37">
              <w:rPr>
                <w:rFonts w:ascii="Times New Roman" w:eastAsia="Times New Roman" w:hAnsi="Times New Roman" w:cs="Times New Roman"/>
                <w:b/>
                <w:bCs/>
                <w:sz w:val="20"/>
                <w:szCs w:val="20"/>
                <w:lang w:eastAsia="sk-SK"/>
              </w:rPr>
              <w:t> </w:t>
            </w:r>
          </w:p>
        </w:tc>
      </w:tr>
      <w:tr w:rsidR="00103D18" w:rsidRPr="00C627A4" w14:paraId="0A4CE9B1" w14:textId="77777777" w:rsidTr="009A347A">
        <w:trPr>
          <w:trHeight w:val="255"/>
        </w:trPr>
        <w:tc>
          <w:tcPr>
            <w:tcW w:w="7070" w:type="dxa"/>
            <w:tcBorders>
              <w:top w:val="nil"/>
              <w:left w:val="single" w:sz="4" w:space="0" w:color="auto"/>
              <w:bottom w:val="single" w:sz="4" w:space="0" w:color="auto"/>
              <w:right w:val="single" w:sz="4" w:space="0" w:color="auto"/>
            </w:tcBorders>
          </w:tcPr>
          <w:p w14:paraId="19EB163A" w14:textId="77777777" w:rsidR="00103D18" w:rsidRPr="00C627A4" w:rsidRDefault="00103D18" w:rsidP="009A347A">
            <w:pPr>
              <w:spacing w:after="0" w:line="240" w:lineRule="auto"/>
              <w:rPr>
                <w:rFonts w:ascii="Times New Roman" w:eastAsia="Times New Roman" w:hAnsi="Times New Roman" w:cs="Times New Roman"/>
                <w:sz w:val="20"/>
                <w:szCs w:val="20"/>
                <w:lang w:eastAsia="sk-SK"/>
              </w:rPr>
            </w:pPr>
            <w:r w:rsidRPr="00C627A4">
              <w:rPr>
                <w:rFonts w:ascii="Times New Roman" w:eastAsia="Times New Roman" w:hAnsi="Times New Roman" w:cs="Times New Roman"/>
                <w:sz w:val="20"/>
                <w:szCs w:val="20"/>
                <w:lang w:eastAsia="sk-SK"/>
              </w:rPr>
              <w:t xml:space="preserve">     Rutinná a štandardná údržba (635)</w:t>
            </w:r>
          </w:p>
        </w:tc>
        <w:tc>
          <w:tcPr>
            <w:tcW w:w="1430" w:type="dxa"/>
            <w:tcBorders>
              <w:top w:val="nil"/>
              <w:left w:val="nil"/>
              <w:bottom w:val="single" w:sz="4" w:space="0" w:color="auto"/>
              <w:right w:val="single" w:sz="4" w:space="0" w:color="auto"/>
            </w:tcBorders>
          </w:tcPr>
          <w:p w14:paraId="6AC0799F"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506BEB2"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r w:rsidRPr="00797B37">
              <w:rPr>
                <w:rFonts w:ascii="Times New Roman" w:eastAsia="Times New Roman" w:hAnsi="Times New Roman" w:cs="Times New Roman"/>
                <w:b/>
                <w:sz w:val="20"/>
                <w:szCs w:val="20"/>
                <w:lang w:eastAsia="sk-SK"/>
              </w:rPr>
              <w:t>103 147,80</w:t>
            </w:r>
          </w:p>
        </w:tc>
        <w:tc>
          <w:tcPr>
            <w:tcW w:w="1540" w:type="dxa"/>
            <w:tcBorders>
              <w:top w:val="nil"/>
              <w:left w:val="nil"/>
              <w:bottom w:val="single" w:sz="4" w:space="0" w:color="auto"/>
              <w:right w:val="single" w:sz="4" w:space="0" w:color="auto"/>
            </w:tcBorders>
          </w:tcPr>
          <w:p w14:paraId="1ECEAF1F"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A2106DC"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0111484"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p>
        </w:tc>
      </w:tr>
      <w:tr w:rsidR="00103D18" w:rsidRPr="00C627A4" w14:paraId="3411BA36" w14:textId="77777777" w:rsidTr="009A347A">
        <w:trPr>
          <w:trHeight w:val="255"/>
        </w:trPr>
        <w:tc>
          <w:tcPr>
            <w:tcW w:w="7070" w:type="dxa"/>
            <w:tcBorders>
              <w:top w:val="nil"/>
              <w:left w:val="single" w:sz="4" w:space="0" w:color="auto"/>
              <w:bottom w:val="single" w:sz="4" w:space="0" w:color="auto"/>
              <w:right w:val="single" w:sz="4" w:space="0" w:color="auto"/>
            </w:tcBorders>
          </w:tcPr>
          <w:p w14:paraId="43ADE7B1" w14:textId="77777777" w:rsidR="00103D18" w:rsidRPr="00C627A4" w:rsidRDefault="00103D18" w:rsidP="009A347A">
            <w:pPr>
              <w:spacing w:after="0" w:line="240" w:lineRule="auto"/>
              <w:rPr>
                <w:rFonts w:ascii="Times New Roman" w:eastAsia="Times New Roman" w:hAnsi="Times New Roman" w:cs="Times New Roman"/>
                <w:sz w:val="20"/>
                <w:szCs w:val="20"/>
                <w:lang w:eastAsia="sk-SK"/>
              </w:rPr>
            </w:pPr>
            <w:r w:rsidRPr="00C627A4">
              <w:rPr>
                <w:rFonts w:ascii="Times New Roman" w:eastAsia="Times New Roman" w:hAnsi="Times New Roman" w:cs="Times New Roman"/>
                <w:sz w:val="20"/>
                <w:szCs w:val="20"/>
                <w:lang w:eastAsia="sk-SK"/>
              </w:rPr>
              <w:t xml:space="preserve">  Bežné transfery (640)</w:t>
            </w:r>
            <w:r w:rsidRPr="00C627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019E5A94"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3059B1C"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14:paraId="791C559D"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F0D689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5071AD49"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r w:rsidRPr="00797B37">
              <w:rPr>
                <w:rFonts w:ascii="Times New Roman" w:eastAsia="Times New Roman" w:hAnsi="Times New Roman" w:cs="Times New Roman"/>
                <w:b/>
                <w:bCs/>
                <w:sz w:val="20"/>
                <w:szCs w:val="20"/>
                <w:lang w:eastAsia="sk-SK"/>
              </w:rPr>
              <w:t> </w:t>
            </w:r>
          </w:p>
        </w:tc>
      </w:tr>
      <w:tr w:rsidR="00103D18" w:rsidRPr="00C627A4" w14:paraId="6878FD7F" w14:textId="77777777" w:rsidTr="009A347A">
        <w:trPr>
          <w:trHeight w:val="255"/>
        </w:trPr>
        <w:tc>
          <w:tcPr>
            <w:tcW w:w="7070" w:type="dxa"/>
            <w:tcBorders>
              <w:top w:val="nil"/>
              <w:left w:val="single" w:sz="4" w:space="0" w:color="auto"/>
              <w:bottom w:val="single" w:sz="4" w:space="0" w:color="auto"/>
              <w:right w:val="single" w:sz="4" w:space="0" w:color="auto"/>
            </w:tcBorders>
            <w:vAlign w:val="center"/>
          </w:tcPr>
          <w:p w14:paraId="27218AA7" w14:textId="77777777" w:rsidR="00103D18" w:rsidRPr="00C627A4" w:rsidRDefault="00103D18" w:rsidP="009A347A">
            <w:pPr>
              <w:spacing w:after="0" w:line="240" w:lineRule="auto"/>
              <w:rPr>
                <w:rFonts w:ascii="Times New Roman" w:eastAsia="Times New Roman" w:hAnsi="Times New Roman" w:cs="Times New Roman"/>
                <w:sz w:val="20"/>
                <w:szCs w:val="20"/>
                <w:lang w:eastAsia="sk-SK"/>
              </w:rPr>
            </w:pPr>
            <w:r w:rsidRPr="00C627A4">
              <w:rPr>
                <w:rFonts w:ascii="Times New Roman" w:eastAsia="Times New Roman" w:hAnsi="Times New Roman" w:cs="Times New Roman"/>
                <w:sz w:val="20"/>
                <w:szCs w:val="20"/>
                <w:lang w:eastAsia="sk-SK"/>
              </w:rPr>
              <w:t xml:space="preserve">  Splácanie úrokov a ostatné platby súvisiace s </w:t>
            </w:r>
            <w:r w:rsidRPr="00C627A4">
              <w:rPr>
                <w:sz w:val="20"/>
                <w:szCs w:val="20"/>
              </w:rPr>
              <w:t xml:space="preserve"> </w:t>
            </w:r>
            <w:r w:rsidRPr="00C627A4">
              <w:rPr>
                <w:rFonts w:ascii="Times New Roman" w:eastAsia="Times New Roman" w:hAnsi="Times New Roman" w:cs="Times New Roman"/>
                <w:sz w:val="20"/>
                <w:szCs w:val="20"/>
                <w:lang w:eastAsia="sk-SK"/>
              </w:rPr>
              <w:t>úverom, pôžičkou, návratnou finančnou výpomocou a finančným prenájmom (650)</w:t>
            </w:r>
            <w:r w:rsidRPr="00C627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CD0E4C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4E4DA3F"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A954859"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C0577A4"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8CBAB56"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p>
        </w:tc>
      </w:tr>
      <w:tr w:rsidR="00103D18" w:rsidRPr="00695E88" w14:paraId="52DA63B9" w14:textId="77777777" w:rsidTr="009A347A">
        <w:trPr>
          <w:trHeight w:val="255"/>
        </w:trPr>
        <w:tc>
          <w:tcPr>
            <w:tcW w:w="7070" w:type="dxa"/>
            <w:tcBorders>
              <w:top w:val="nil"/>
              <w:left w:val="single" w:sz="4" w:space="0" w:color="auto"/>
              <w:bottom w:val="single" w:sz="4" w:space="0" w:color="auto"/>
              <w:right w:val="single" w:sz="4" w:space="0" w:color="auto"/>
            </w:tcBorders>
          </w:tcPr>
          <w:p w14:paraId="04A1E9A0" w14:textId="77777777" w:rsidR="00103D18" w:rsidRPr="00695E88" w:rsidRDefault="00103D18" w:rsidP="009A347A">
            <w:pPr>
              <w:spacing w:after="0" w:line="240" w:lineRule="auto"/>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Kapitálové výdavky (700)</w:t>
            </w:r>
          </w:p>
        </w:tc>
        <w:tc>
          <w:tcPr>
            <w:tcW w:w="1430" w:type="dxa"/>
            <w:tcBorders>
              <w:top w:val="nil"/>
              <w:left w:val="nil"/>
              <w:bottom w:val="single" w:sz="4" w:space="0" w:color="auto"/>
              <w:right w:val="single" w:sz="4" w:space="0" w:color="auto"/>
            </w:tcBorders>
          </w:tcPr>
          <w:p w14:paraId="528C5599"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650" w:type="dxa"/>
            <w:tcBorders>
              <w:top w:val="nil"/>
              <w:left w:val="nil"/>
              <w:bottom w:val="single" w:sz="4" w:space="0" w:color="auto"/>
              <w:right w:val="single" w:sz="4" w:space="0" w:color="auto"/>
            </w:tcBorders>
          </w:tcPr>
          <w:p w14:paraId="6CBCAA71"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243 134,10</w:t>
            </w:r>
          </w:p>
        </w:tc>
        <w:tc>
          <w:tcPr>
            <w:tcW w:w="1540" w:type="dxa"/>
            <w:tcBorders>
              <w:top w:val="nil"/>
              <w:left w:val="nil"/>
              <w:bottom w:val="single" w:sz="4" w:space="0" w:color="auto"/>
              <w:right w:val="single" w:sz="4" w:space="0" w:color="auto"/>
            </w:tcBorders>
          </w:tcPr>
          <w:p w14:paraId="1CE3A56B"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540" w:type="dxa"/>
            <w:tcBorders>
              <w:top w:val="nil"/>
              <w:left w:val="nil"/>
              <w:bottom w:val="single" w:sz="4" w:space="0" w:color="auto"/>
              <w:right w:val="single" w:sz="4" w:space="0" w:color="auto"/>
            </w:tcBorders>
          </w:tcPr>
          <w:p w14:paraId="644DB0CB"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649" w:type="dxa"/>
            <w:tcBorders>
              <w:top w:val="nil"/>
              <w:left w:val="nil"/>
              <w:bottom w:val="single" w:sz="4" w:space="0" w:color="auto"/>
              <w:right w:val="single" w:sz="4" w:space="0" w:color="auto"/>
            </w:tcBorders>
            <w:noWrap/>
            <w:vAlign w:val="bottom"/>
          </w:tcPr>
          <w:p w14:paraId="13843B0F" w14:textId="77777777" w:rsidR="00103D18" w:rsidRPr="00695E88" w:rsidRDefault="00103D18" w:rsidP="00C627A4">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 </w:t>
            </w:r>
          </w:p>
        </w:tc>
      </w:tr>
      <w:tr w:rsidR="00103D18" w:rsidRPr="00C627A4" w14:paraId="7F0A8F13" w14:textId="77777777" w:rsidTr="009A347A">
        <w:trPr>
          <w:trHeight w:val="255"/>
        </w:trPr>
        <w:tc>
          <w:tcPr>
            <w:tcW w:w="7070" w:type="dxa"/>
            <w:tcBorders>
              <w:top w:val="nil"/>
              <w:left w:val="single" w:sz="4" w:space="0" w:color="auto"/>
              <w:bottom w:val="single" w:sz="4" w:space="0" w:color="auto"/>
              <w:right w:val="single" w:sz="4" w:space="0" w:color="auto"/>
            </w:tcBorders>
          </w:tcPr>
          <w:p w14:paraId="1F308FAB" w14:textId="77777777" w:rsidR="00103D18" w:rsidRPr="00695E88" w:rsidRDefault="00103D18" w:rsidP="009A347A">
            <w:pPr>
              <w:spacing w:after="0" w:line="240" w:lineRule="auto"/>
              <w:rPr>
                <w:rFonts w:ascii="Times New Roman" w:eastAsia="Times New Roman" w:hAnsi="Times New Roman" w:cs="Times New Roman"/>
                <w:sz w:val="20"/>
                <w:szCs w:val="20"/>
                <w:lang w:eastAsia="sk-SK"/>
              </w:rPr>
            </w:pPr>
            <w:r w:rsidRPr="00695E88">
              <w:rPr>
                <w:rFonts w:ascii="Times New Roman" w:eastAsia="Times New Roman" w:hAnsi="Times New Roman" w:cs="Times New Roman"/>
                <w:sz w:val="20"/>
                <w:szCs w:val="20"/>
                <w:lang w:eastAsia="sk-SK"/>
              </w:rPr>
              <w:t xml:space="preserve">  Obstarávanie kapitálových aktív (710)</w:t>
            </w:r>
            <w:r w:rsidRPr="00695E88">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5045655"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270D219" w14:textId="77777777" w:rsidR="00103D18" w:rsidRPr="00695E88" w:rsidRDefault="00103D18" w:rsidP="009A347A">
            <w:pPr>
              <w:spacing w:after="0" w:line="240" w:lineRule="auto"/>
              <w:jc w:val="center"/>
              <w:rPr>
                <w:rFonts w:ascii="Times New Roman" w:eastAsia="Times New Roman" w:hAnsi="Times New Roman" w:cs="Times New Roman"/>
                <w:b/>
                <w:sz w:val="20"/>
                <w:szCs w:val="20"/>
                <w:lang w:eastAsia="sk-SK"/>
              </w:rPr>
            </w:pPr>
            <w:r w:rsidRPr="00695E88">
              <w:rPr>
                <w:rFonts w:ascii="Times New Roman" w:eastAsia="Times New Roman" w:hAnsi="Times New Roman" w:cs="Times New Roman"/>
                <w:b/>
                <w:sz w:val="20"/>
                <w:szCs w:val="20"/>
                <w:lang w:eastAsia="sk-SK"/>
              </w:rPr>
              <w:t>243 134,10</w:t>
            </w:r>
          </w:p>
        </w:tc>
        <w:tc>
          <w:tcPr>
            <w:tcW w:w="1540" w:type="dxa"/>
            <w:tcBorders>
              <w:top w:val="nil"/>
              <w:left w:val="nil"/>
              <w:bottom w:val="single" w:sz="4" w:space="0" w:color="auto"/>
              <w:right w:val="single" w:sz="4" w:space="0" w:color="auto"/>
            </w:tcBorders>
          </w:tcPr>
          <w:p w14:paraId="2D38CD0B"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71EEF2B"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78CA2C18" w14:textId="77777777" w:rsidR="00103D18" w:rsidRPr="00695E88" w:rsidRDefault="00103D18" w:rsidP="00C627A4">
            <w:pPr>
              <w:spacing w:after="0" w:line="240" w:lineRule="auto"/>
              <w:jc w:val="center"/>
              <w:rPr>
                <w:rFonts w:ascii="Times New Roman" w:eastAsia="Times New Roman" w:hAnsi="Times New Roman" w:cs="Times New Roman"/>
                <w:b/>
                <w:bCs/>
                <w:sz w:val="20"/>
                <w:szCs w:val="20"/>
                <w:lang w:eastAsia="sk-SK"/>
              </w:rPr>
            </w:pPr>
            <w:r w:rsidRPr="00695E88">
              <w:rPr>
                <w:rFonts w:ascii="Times New Roman" w:eastAsia="Times New Roman" w:hAnsi="Times New Roman" w:cs="Times New Roman"/>
                <w:b/>
                <w:bCs/>
                <w:sz w:val="20"/>
                <w:szCs w:val="20"/>
                <w:lang w:eastAsia="sk-SK"/>
              </w:rPr>
              <w:t> </w:t>
            </w:r>
          </w:p>
        </w:tc>
      </w:tr>
      <w:tr w:rsidR="00103D18" w:rsidRPr="00C627A4" w14:paraId="30778BD3" w14:textId="77777777" w:rsidTr="009A347A">
        <w:trPr>
          <w:trHeight w:val="255"/>
        </w:trPr>
        <w:tc>
          <w:tcPr>
            <w:tcW w:w="7070" w:type="dxa"/>
            <w:tcBorders>
              <w:top w:val="nil"/>
              <w:left w:val="single" w:sz="4" w:space="0" w:color="auto"/>
              <w:bottom w:val="single" w:sz="4" w:space="0" w:color="auto"/>
              <w:right w:val="single" w:sz="4" w:space="0" w:color="auto"/>
            </w:tcBorders>
          </w:tcPr>
          <w:p w14:paraId="531FBD91" w14:textId="77777777" w:rsidR="00103D18" w:rsidRPr="00695E88" w:rsidRDefault="00103D18" w:rsidP="009A347A">
            <w:pPr>
              <w:spacing w:after="0" w:line="240" w:lineRule="auto"/>
              <w:rPr>
                <w:rFonts w:ascii="Times New Roman" w:eastAsia="Times New Roman" w:hAnsi="Times New Roman" w:cs="Times New Roman"/>
                <w:sz w:val="20"/>
                <w:szCs w:val="20"/>
                <w:lang w:eastAsia="sk-SK"/>
              </w:rPr>
            </w:pPr>
            <w:r w:rsidRPr="00695E88">
              <w:rPr>
                <w:rFonts w:ascii="Times New Roman" w:eastAsia="Times New Roman" w:hAnsi="Times New Roman" w:cs="Times New Roman"/>
                <w:sz w:val="20"/>
                <w:szCs w:val="20"/>
                <w:lang w:eastAsia="sk-SK"/>
              </w:rPr>
              <w:t xml:space="preserve">     Rekonštrukcia a modernizácia (718)</w:t>
            </w:r>
          </w:p>
        </w:tc>
        <w:tc>
          <w:tcPr>
            <w:tcW w:w="1430" w:type="dxa"/>
            <w:tcBorders>
              <w:top w:val="nil"/>
              <w:left w:val="nil"/>
              <w:bottom w:val="single" w:sz="4" w:space="0" w:color="auto"/>
              <w:right w:val="single" w:sz="4" w:space="0" w:color="auto"/>
            </w:tcBorders>
          </w:tcPr>
          <w:p w14:paraId="03B852A6"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51475E28" w14:textId="77777777" w:rsidR="00103D18" w:rsidRPr="00695E88" w:rsidRDefault="00103D18" w:rsidP="009A347A">
            <w:pPr>
              <w:spacing w:after="0" w:line="240" w:lineRule="auto"/>
              <w:jc w:val="center"/>
              <w:rPr>
                <w:rFonts w:ascii="Times New Roman" w:eastAsia="Times New Roman" w:hAnsi="Times New Roman" w:cs="Times New Roman"/>
                <w:b/>
                <w:sz w:val="20"/>
                <w:szCs w:val="20"/>
                <w:lang w:eastAsia="sk-SK"/>
              </w:rPr>
            </w:pPr>
            <w:r w:rsidRPr="00695E88">
              <w:rPr>
                <w:rFonts w:ascii="Times New Roman" w:eastAsia="Times New Roman" w:hAnsi="Times New Roman" w:cs="Times New Roman"/>
                <w:b/>
                <w:sz w:val="20"/>
                <w:szCs w:val="20"/>
                <w:lang w:eastAsia="sk-SK"/>
              </w:rPr>
              <w:t>243 134,10</w:t>
            </w:r>
          </w:p>
        </w:tc>
        <w:tc>
          <w:tcPr>
            <w:tcW w:w="1540" w:type="dxa"/>
            <w:tcBorders>
              <w:top w:val="nil"/>
              <w:left w:val="nil"/>
              <w:bottom w:val="single" w:sz="4" w:space="0" w:color="auto"/>
              <w:right w:val="single" w:sz="4" w:space="0" w:color="auto"/>
            </w:tcBorders>
          </w:tcPr>
          <w:p w14:paraId="39F3F2AF"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EB1E85B"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A2BE185" w14:textId="77777777" w:rsidR="00103D18" w:rsidRPr="00695E88" w:rsidRDefault="00103D18" w:rsidP="00C627A4">
            <w:pPr>
              <w:spacing w:after="0" w:line="240" w:lineRule="auto"/>
              <w:jc w:val="center"/>
              <w:rPr>
                <w:rFonts w:ascii="Times New Roman" w:eastAsia="Times New Roman" w:hAnsi="Times New Roman" w:cs="Times New Roman"/>
                <w:b/>
                <w:bCs/>
                <w:sz w:val="20"/>
                <w:szCs w:val="20"/>
                <w:lang w:eastAsia="sk-SK"/>
              </w:rPr>
            </w:pPr>
          </w:p>
        </w:tc>
      </w:tr>
      <w:tr w:rsidR="00103D18" w:rsidRPr="00C627A4" w14:paraId="3417125D" w14:textId="77777777" w:rsidTr="009A347A">
        <w:trPr>
          <w:trHeight w:val="255"/>
        </w:trPr>
        <w:tc>
          <w:tcPr>
            <w:tcW w:w="7070" w:type="dxa"/>
            <w:tcBorders>
              <w:top w:val="nil"/>
              <w:left w:val="single" w:sz="4" w:space="0" w:color="auto"/>
              <w:bottom w:val="single" w:sz="4" w:space="0" w:color="auto"/>
              <w:right w:val="single" w:sz="4" w:space="0" w:color="auto"/>
            </w:tcBorders>
          </w:tcPr>
          <w:p w14:paraId="753BF5B1" w14:textId="77777777" w:rsidR="00103D18" w:rsidRPr="00695E88" w:rsidRDefault="00103D18" w:rsidP="009A347A">
            <w:pPr>
              <w:spacing w:after="0" w:line="240" w:lineRule="auto"/>
              <w:rPr>
                <w:rFonts w:ascii="Times New Roman" w:eastAsia="Times New Roman" w:hAnsi="Times New Roman" w:cs="Times New Roman"/>
                <w:sz w:val="20"/>
                <w:szCs w:val="20"/>
                <w:lang w:eastAsia="sk-SK"/>
              </w:rPr>
            </w:pPr>
            <w:r w:rsidRPr="00695E88">
              <w:rPr>
                <w:rFonts w:ascii="Times New Roman" w:eastAsia="Times New Roman" w:hAnsi="Times New Roman" w:cs="Times New Roman"/>
                <w:sz w:val="20"/>
                <w:szCs w:val="20"/>
                <w:lang w:eastAsia="sk-SK"/>
              </w:rPr>
              <w:t xml:space="preserve">  Kapitálové transfery (720)</w:t>
            </w:r>
            <w:r w:rsidRPr="00695E88">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84D718D"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6E09F793"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F6BBBF0"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315B1A4"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24CB70B" w14:textId="77777777" w:rsidR="00103D18" w:rsidRPr="00695E88" w:rsidRDefault="00103D18" w:rsidP="00C627A4">
            <w:pPr>
              <w:spacing w:after="0" w:line="240" w:lineRule="auto"/>
              <w:jc w:val="center"/>
              <w:rPr>
                <w:rFonts w:ascii="Times New Roman" w:eastAsia="Times New Roman" w:hAnsi="Times New Roman" w:cs="Times New Roman"/>
                <w:b/>
                <w:bCs/>
                <w:sz w:val="20"/>
                <w:szCs w:val="20"/>
                <w:lang w:eastAsia="sk-SK"/>
              </w:rPr>
            </w:pPr>
            <w:r w:rsidRPr="00695E88">
              <w:rPr>
                <w:rFonts w:ascii="Times New Roman" w:eastAsia="Times New Roman" w:hAnsi="Times New Roman" w:cs="Times New Roman"/>
                <w:b/>
                <w:bCs/>
                <w:sz w:val="20"/>
                <w:szCs w:val="20"/>
                <w:lang w:eastAsia="sk-SK"/>
              </w:rPr>
              <w:t> </w:t>
            </w:r>
          </w:p>
        </w:tc>
      </w:tr>
      <w:tr w:rsidR="00103D18" w:rsidRPr="00695E88" w14:paraId="0015BC30" w14:textId="77777777" w:rsidTr="009A347A">
        <w:trPr>
          <w:trHeight w:val="255"/>
        </w:trPr>
        <w:tc>
          <w:tcPr>
            <w:tcW w:w="7070" w:type="dxa"/>
            <w:tcBorders>
              <w:top w:val="nil"/>
              <w:left w:val="single" w:sz="4" w:space="0" w:color="auto"/>
              <w:bottom w:val="single" w:sz="4" w:space="0" w:color="auto"/>
              <w:right w:val="single" w:sz="4" w:space="0" w:color="auto"/>
            </w:tcBorders>
          </w:tcPr>
          <w:p w14:paraId="74284CCE" w14:textId="77777777" w:rsidR="00103D18" w:rsidRPr="00695E88" w:rsidRDefault="00103D18" w:rsidP="009A347A">
            <w:pPr>
              <w:spacing w:after="0" w:line="240" w:lineRule="auto"/>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49175E91"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650" w:type="dxa"/>
            <w:tcBorders>
              <w:top w:val="nil"/>
              <w:left w:val="nil"/>
              <w:bottom w:val="single" w:sz="4" w:space="0" w:color="auto"/>
              <w:right w:val="single" w:sz="4" w:space="0" w:color="auto"/>
            </w:tcBorders>
            <w:shd w:val="clear" w:color="auto" w:fill="auto"/>
          </w:tcPr>
          <w:p w14:paraId="2093B187"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540" w:type="dxa"/>
            <w:tcBorders>
              <w:top w:val="nil"/>
              <w:left w:val="nil"/>
              <w:bottom w:val="single" w:sz="4" w:space="0" w:color="auto"/>
              <w:right w:val="single" w:sz="4" w:space="0" w:color="auto"/>
            </w:tcBorders>
            <w:shd w:val="clear" w:color="auto" w:fill="auto"/>
          </w:tcPr>
          <w:p w14:paraId="5D0E3B25"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 </w:t>
            </w:r>
          </w:p>
        </w:tc>
        <w:tc>
          <w:tcPr>
            <w:tcW w:w="1540" w:type="dxa"/>
            <w:tcBorders>
              <w:top w:val="nil"/>
              <w:left w:val="nil"/>
              <w:bottom w:val="single" w:sz="4" w:space="0" w:color="auto"/>
              <w:right w:val="single" w:sz="4" w:space="0" w:color="auto"/>
            </w:tcBorders>
            <w:shd w:val="clear" w:color="auto" w:fill="auto"/>
          </w:tcPr>
          <w:p w14:paraId="05FFCFA4"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 </w:t>
            </w:r>
          </w:p>
        </w:tc>
        <w:tc>
          <w:tcPr>
            <w:tcW w:w="1649" w:type="dxa"/>
            <w:tcBorders>
              <w:top w:val="nil"/>
              <w:left w:val="nil"/>
              <w:bottom w:val="single" w:sz="4" w:space="0" w:color="auto"/>
              <w:right w:val="single" w:sz="4" w:space="0" w:color="auto"/>
            </w:tcBorders>
            <w:noWrap/>
            <w:vAlign w:val="bottom"/>
          </w:tcPr>
          <w:p w14:paraId="41CD67D9" w14:textId="77777777" w:rsidR="00103D18" w:rsidRPr="00695E88" w:rsidRDefault="00103D18" w:rsidP="00C627A4">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 </w:t>
            </w:r>
          </w:p>
        </w:tc>
      </w:tr>
      <w:tr w:rsidR="00103D18" w:rsidRPr="00695E88" w14:paraId="66495383" w14:textId="77777777" w:rsidTr="009A347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E1346F" w14:textId="77777777" w:rsidR="00103D18" w:rsidRPr="00695E88" w:rsidRDefault="00103D18" w:rsidP="009A347A">
            <w:pPr>
              <w:spacing w:after="0" w:line="240" w:lineRule="auto"/>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6A56C9A"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3443519"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lang w:eastAsia="sk-SK"/>
              </w:rPr>
              <w:t>346 281,90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AB5E229"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EB2362F"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5D56326" w14:textId="77777777" w:rsidR="00103D18" w:rsidRPr="00695E88" w:rsidRDefault="00103D18" w:rsidP="009A347A">
            <w:pPr>
              <w:spacing w:after="0" w:line="240" w:lineRule="auto"/>
              <w:rPr>
                <w:rFonts w:ascii="Times New Roman" w:eastAsia="Times New Roman" w:hAnsi="Times New Roman" w:cs="Times New Roman"/>
                <w:lang w:eastAsia="sk-SK"/>
              </w:rPr>
            </w:pPr>
            <w:r w:rsidRPr="00695E88">
              <w:rPr>
                <w:rFonts w:ascii="Times New Roman" w:eastAsia="Times New Roman" w:hAnsi="Times New Roman" w:cs="Times New Roman"/>
                <w:lang w:eastAsia="sk-SK"/>
              </w:rPr>
              <w:t> </w:t>
            </w:r>
          </w:p>
        </w:tc>
      </w:tr>
    </w:tbl>
    <w:p w14:paraId="2615B6F6"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14:paraId="2A18C433"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32BA149"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w:t>
      </w:r>
      <w:r w:rsidRPr="00FF1844">
        <w:rPr>
          <w:rFonts w:ascii="Times New Roman" w:eastAsia="Times New Roman" w:hAnsi="Times New Roman" w:cs="Times New Roman"/>
          <w:b/>
          <w:bCs/>
          <w:lang w:eastAsia="sk-SK"/>
        </w:rPr>
        <w:t>Poznámka</w:t>
      </w:r>
      <w:r w:rsidRPr="007B7470">
        <w:rPr>
          <w:rFonts w:ascii="Times New Roman" w:eastAsia="Times New Roman" w:hAnsi="Times New Roman" w:cs="Times New Roman"/>
          <w:b/>
          <w:bCs/>
          <w:sz w:val="24"/>
          <w:szCs w:val="20"/>
          <w:lang w:eastAsia="sk-SK"/>
        </w:rPr>
        <w:t>:</w:t>
      </w:r>
    </w:p>
    <w:p w14:paraId="0BD72F4F" w14:textId="77777777" w:rsidR="00103D18" w:rsidRPr="00FF1844"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F1844">
        <w:rPr>
          <w:rFonts w:ascii="Times New Roman" w:eastAsia="Times New Roman" w:hAnsi="Times New Roman" w:cs="Times New Roman"/>
          <w:bCs/>
          <w:sz w:val="20"/>
          <w:szCs w:val="20"/>
          <w:lang w:eastAsia="sk-SK"/>
        </w:rPr>
        <w:t xml:space="preserve">  Ak sa vplyv týka viacerých subjektov verejnej správy, vypĺňa sa samostatná tabuľka za každý subjekt.</w:t>
      </w:r>
    </w:p>
    <w:p w14:paraId="593EAF9B"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4E3B93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F44EF4F"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9D875C"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05EB037"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B9ACEA6"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CF697A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B242E91"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61B4F29"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0B8B3AF"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8D2079C" w14:textId="77777777" w:rsidR="00103D18"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C7AA6A3" w14:textId="77777777" w:rsidR="008F3C70" w:rsidRPr="007B7470" w:rsidRDefault="008F3C70"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857B98C"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875ECED" w14:textId="77777777" w:rsidR="00103D18"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F0F1B5C" w14:textId="77777777" w:rsidR="00FF1844" w:rsidRPr="007B7470" w:rsidRDefault="00FF1844"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1997B68"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103D18" w:rsidRPr="00FF1844" w14:paraId="161A2F6B" w14:textId="77777777" w:rsidTr="009A347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81FF63C"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D363125"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0807A5"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poznámka</w:t>
            </w:r>
          </w:p>
        </w:tc>
      </w:tr>
      <w:tr w:rsidR="00103D18" w:rsidRPr="00FF1844" w14:paraId="3B9330D7" w14:textId="77777777" w:rsidTr="009A347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599D3B2"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95B1380"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14:paraId="36080C6A"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6DD0FC2C"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056710A2"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14:paraId="5DF5D903"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p>
        </w:tc>
      </w:tr>
      <w:tr w:rsidR="00103D18" w:rsidRPr="00FF1844" w14:paraId="15F623D5" w14:textId="77777777" w:rsidTr="009A347A">
        <w:trPr>
          <w:trHeight w:val="255"/>
        </w:trPr>
        <w:tc>
          <w:tcPr>
            <w:tcW w:w="7070" w:type="dxa"/>
            <w:tcBorders>
              <w:top w:val="nil"/>
              <w:left w:val="single" w:sz="4" w:space="0" w:color="auto"/>
              <w:bottom w:val="single" w:sz="4" w:space="0" w:color="auto"/>
              <w:right w:val="single" w:sz="4" w:space="0" w:color="auto"/>
            </w:tcBorders>
          </w:tcPr>
          <w:p w14:paraId="18C57F66"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Kapitálové príjmy (230)</w:t>
            </w:r>
          </w:p>
        </w:tc>
        <w:tc>
          <w:tcPr>
            <w:tcW w:w="1430" w:type="dxa"/>
            <w:tcBorders>
              <w:top w:val="nil"/>
              <w:left w:val="nil"/>
              <w:bottom w:val="single" w:sz="4" w:space="0" w:color="auto"/>
              <w:right w:val="single" w:sz="4" w:space="0" w:color="auto"/>
            </w:tcBorders>
          </w:tcPr>
          <w:p w14:paraId="6BB536FB"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650" w:type="dxa"/>
            <w:tcBorders>
              <w:top w:val="nil"/>
              <w:left w:val="nil"/>
              <w:bottom w:val="single" w:sz="4" w:space="0" w:color="auto"/>
              <w:right w:val="single" w:sz="4" w:space="0" w:color="auto"/>
            </w:tcBorders>
          </w:tcPr>
          <w:p w14:paraId="220B2D9A"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540" w:type="dxa"/>
            <w:tcBorders>
              <w:top w:val="nil"/>
              <w:left w:val="nil"/>
              <w:bottom w:val="single" w:sz="4" w:space="0" w:color="auto"/>
              <w:right w:val="single" w:sz="4" w:space="0" w:color="auto"/>
            </w:tcBorders>
          </w:tcPr>
          <w:p w14:paraId="21E12E82"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540" w:type="dxa"/>
            <w:tcBorders>
              <w:top w:val="nil"/>
              <w:left w:val="nil"/>
              <w:bottom w:val="single" w:sz="4" w:space="0" w:color="auto"/>
              <w:right w:val="single" w:sz="4" w:space="0" w:color="auto"/>
            </w:tcBorders>
          </w:tcPr>
          <w:p w14:paraId="56C20898"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6CD0811D"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lang w:eastAsia="sk-SK"/>
              </w:rPr>
            </w:pPr>
          </w:p>
        </w:tc>
      </w:tr>
      <w:tr w:rsidR="00103D18" w:rsidRPr="00FF1844" w14:paraId="31957870" w14:textId="77777777" w:rsidTr="009A347A">
        <w:trPr>
          <w:trHeight w:val="255"/>
        </w:trPr>
        <w:tc>
          <w:tcPr>
            <w:tcW w:w="7070" w:type="dxa"/>
            <w:tcBorders>
              <w:top w:val="nil"/>
              <w:left w:val="single" w:sz="4" w:space="0" w:color="auto"/>
              <w:bottom w:val="single" w:sz="4" w:space="0" w:color="auto"/>
              <w:right w:val="single" w:sz="4" w:space="0" w:color="auto"/>
            </w:tcBorders>
          </w:tcPr>
          <w:p w14:paraId="1EC9643E"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Bežné výdavky (600)</w:t>
            </w:r>
          </w:p>
        </w:tc>
        <w:tc>
          <w:tcPr>
            <w:tcW w:w="1430" w:type="dxa"/>
            <w:tcBorders>
              <w:top w:val="nil"/>
              <w:left w:val="nil"/>
              <w:bottom w:val="single" w:sz="4" w:space="0" w:color="auto"/>
              <w:right w:val="single" w:sz="4" w:space="0" w:color="auto"/>
            </w:tcBorders>
          </w:tcPr>
          <w:p w14:paraId="2F176B67"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0800FD5"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BEC27CF"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DC00A56"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7B5972C9"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1B6A7777" w14:textId="77777777" w:rsidTr="009A347A">
        <w:trPr>
          <w:trHeight w:val="255"/>
        </w:trPr>
        <w:tc>
          <w:tcPr>
            <w:tcW w:w="7070" w:type="dxa"/>
            <w:tcBorders>
              <w:top w:val="nil"/>
              <w:left w:val="single" w:sz="4" w:space="0" w:color="auto"/>
              <w:bottom w:val="single" w:sz="4" w:space="0" w:color="auto"/>
              <w:right w:val="single" w:sz="4" w:space="0" w:color="auto"/>
            </w:tcBorders>
          </w:tcPr>
          <w:p w14:paraId="4E3A3E6C"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FF1844">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2B7997F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2C8AE2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7CF22C9"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076271B"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4FC6DF1F"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1B87CC18" w14:textId="77777777" w:rsidTr="009A347A">
        <w:trPr>
          <w:trHeight w:val="255"/>
        </w:trPr>
        <w:tc>
          <w:tcPr>
            <w:tcW w:w="7070" w:type="dxa"/>
            <w:tcBorders>
              <w:top w:val="nil"/>
              <w:left w:val="single" w:sz="4" w:space="0" w:color="auto"/>
              <w:bottom w:val="single" w:sz="4" w:space="0" w:color="auto"/>
              <w:right w:val="single" w:sz="4" w:space="0" w:color="auto"/>
            </w:tcBorders>
          </w:tcPr>
          <w:p w14:paraId="5E75CEF2"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vertAlign w:val="superscript"/>
                <w:lang w:eastAsia="sk-SK"/>
              </w:rPr>
            </w:pPr>
            <w:r w:rsidRPr="00FF1844">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890F506"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C14E297"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845748C"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B9519D1"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320C438A"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03FBD5F4" w14:textId="77777777" w:rsidTr="009A347A">
        <w:trPr>
          <w:trHeight w:val="255"/>
        </w:trPr>
        <w:tc>
          <w:tcPr>
            <w:tcW w:w="7070" w:type="dxa"/>
            <w:tcBorders>
              <w:top w:val="nil"/>
              <w:left w:val="single" w:sz="4" w:space="0" w:color="auto"/>
              <w:bottom w:val="single" w:sz="4" w:space="0" w:color="auto"/>
              <w:right w:val="single" w:sz="4" w:space="0" w:color="auto"/>
            </w:tcBorders>
          </w:tcPr>
          <w:p w14:paraId="43AD68B8"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vertAlign w:val="superscript"/>
                <w:lang w:eastAsia="sk-SK"/>
              </w:rPr>
            </w:pPr>
            <w:r w:rsidRPr="00FF1844">
              <w:rPr>
                <w:rFonts w:ascii="Times New Roman" w:eastAsia="Times New Roman" w:hAnsi="Times New Roman" w:cs="Times New Roman"/>
                <w:color w:val="000000" w:themeColor="text1"/>
                <w:sz w:val="20"/>
                <w:szCs w:val="20"/>
                <w:lang w:eastAsia="sk-SK"/>
              </w:rPr>
              <w:t xml:space="preserve">  Tovary a služby (630)</w:t>
            </w:r>
            <w:r w:rsidRPr="00FF184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E9736E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A232B5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24385F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378611A"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5C31F7CA"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4982DE1E" w14:textId="77777777" w:rsidTr="009A347A">
        <w:trPr>
          <w:trHeight w:val="255"/>
        </w:trPr>
        <w:tc>
          <w:tcPr>
            <w:tcW w:w="7070" w:type="dxa"/>
            <w:tcBorders>
              <w:top w:val="nil"/>
              <w:left w:val="single" w:sz="4" w:space="0" w:color="auto"/>
              <w:bottom w:val="single" w:sz="4" w:space="0" w:color="auto"/>
              <w:right w:val="single" w:sz="4" w:space="0" w:color="auto"/>
            </w:tcBorders>
          </w:tcPr>
          <w:p w14:paraId="6F4BB5BF"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FF1844">
              <w:rPr>
                <w:rFonts w:ascii="Times New Roman" w:eastAsia="Times New Roman" w:hAnsi="Times New Roman" w:cs="Times New Roman"/>
                <w:color w:val="000000" w:themeColor="text1"/>
                <w:sz w:val="20"/>
                <w:szCs w:val="20"/>
                <w:lang w:eastAsia="sk-SK"/>
              </w:rPr>
              <w:t xml:space="preserve">  Bežné transfery (640)</w:t>
            </w:r>
            <w:r w:rsidRPr="00FF184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68864DC"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9922B27"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78E7232"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EBFF242"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14BD9ED4"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3D533F54" w14:textId="77777777" w:rsidTr="009A347A">
        <w:trPr>
          <w:trHeight w:val="255"/>
        </w:trPr>
        <w:tc>
          <w:tcPr>
            <w:tcW w:w="7070" w:type="dxa"/>
            <w:tcBorders>
              <w:top w:val="nil"/>
              <w:left w:val="single" w:sz="4" w:space="0" w:color="auto"/>
              <w:bottom w:val="single" w:sz="4" w:space="0" w:color="auto"/>
              <w:right w:val="single" w:sz="4" w:space="0" w:color="auto"/>
            </w:tcBorders>
            <w:vAlign w:val="center"/>
          </w:tcPr>
          <w:p w14:paraId="3C8FFA18"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FF1844">
              <w:rPr>
                <w:rFonts w:ascii="Times New Roman" w:eastAsia="Times New Roman" w:hAnsi="Times New Roman" w:cs="Times New Roman"/>
                <w:color w:val="000000" w:themeColor="text1"/>
                <w:sz w:val="20"/>
                <w:szCs w:val="20"/>
                <w:lang w:eastAsia="sk-SK"/>
              </w:rPr>
              <w:t xml:space="preserve">  Splácanie úrokov a ostatné platby súvisiace s </w:t>
            </w:r>
            <w:r w:rsidRPr="00FF1844">
              <w:rPr>
                <w:color w:val="000000" w:themeColor="text1"/>
                <w:sz w:val="20"/>
                <w:szCs w:val="20"/>
              </w:rPr>
              <w:t xml:space="preserve"> </w:t>
            </w:r>
            <w:r w:rsidRPr="00FF1844">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FF184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A7A3259"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CEA730C"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94C70CC"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49008F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34B5CBAB"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FF1844" w14:paraId="5D8C2E33" w14:textId="77777777" w:rsidTr="009A347A">
        <w:trPr>
          <w:trHeight w:val="255"/>
        </w:trPr>
        <w:tc>
          <w:tcPr>
            <w:tcW w:w="7070" w:type="dxa"/>
            <w:tcBorders>
              <w:top w:val="nil"/>
              <w:left w:val="single" w:sz="4" w:space="0" w:color="auto"/>
              <w:bottom w:val="single" w:sz="4" w:space="0" w:color="auto"/>
              <w:right w:val="single" w:sz="4" w:space="0" w:color="auto"/>
            </w:tcBorders>
          </w:tcPr>
          <w:p w14:paraId="3DB15C0C"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Kapitálové výdavky (700)</w:t>
            </w:r>
          </w:p>
        </w:tc>
        <w:tc>
          <w:tcPr>
            <w:tcW w:w="1430" w:type="dxa"/>
            <w:tcBorders>
              <w:top w:val="nil"/>
              <w:left w:val="nil"/>
              <w:bottom w:val="single" w:sz="4" w:space="0" w:color="auto"/>
              <w:right w:val="single" w:sz="4" w:space="0" w:color="auto"/>
            </w:tcBorders>
          </w:tcPr>
          <w:p w14:paraId="58250CBA"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650" w:type="dxa"/>
            <w:tcBorders>
              <w:top w:val="nil"/>
              <w:left w:val="nil"/>
              <w:bottom w:val="single" w:sz="4" w:space="0" w:color="auto"/>
              <w:right w:val="single" w:sz="4" w:space="0" w:color="auto"/>
            </w:tcBorders>
          </w:tcPr>
          <w:p w14:paraId="206629A4"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540" w:type="dxa"/>
            <w:tcBorders>
              <w:top w:val="nil"/>
              <w:left w:val="nil"/>
              <w:bottom w:val="single" w:sz="4" w:space="0" w:color="auto"/>
              <w:right w:val="single" w:sz="4" w:space="0" w:color="auto"/>
            </w:tcBorders>
          </w:tcPr>
          <w:p w14:paraId="0A584BE7"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540" w:type="dxa"/>
            <w:tcBorders>
              <w:top w:val="nil"/>
              <w:left w:val="nil"/>
              <w:bottom w:val="single" w:sz="4" w:space="0" w:color="auto"/>
              <w:right w:val="single" w:sz="4" w:space="0" w:color="auto"/>
            </w:tcBorders>
          </w:tcPr>
          <w:p w14:paraId="78648FCB"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44ED4566"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lang w:eastAsia="sk-SK"/>
              </w:rPr>
            </w:pPr>
          </w:p>
        </w:tc>
      </w:tr>
      <w:tr w:rsidR="00103D18" w:rsidRPr="007B7470" w14:paraId="214CC40A" w14:textId="77777777" w:rsidTr="009A347A">
        <w:trPr>
          <w:trHeight w:val="255"/>
        </w:trPr>
        <w:tc>
          <w:tcPr>
            <w:tcW w:w="7070" w:type="dxa"/>
            <w:tcBorders>
              <w:top w:val="nil"/>
              <w:left w:val="single" w:sz="4" w:space="0" w:color="auto"/>
              <w:bottom w:val="single" w:sz="4" w:space="0" w:color="auto"/>
              <w:right w:val="single" w:sz="4" w:space="0" w:color="auto"/>
            </w:tcBorders>
          </w:tcPr>
          <w:p w14:paraId="65D533B1" w14:textId="77777777" w:rsidR="00103D18" w:rsidRPr="007B7470"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F2CECFC"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98C57AA"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80BDF9C"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A8E4F1E"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207E1DDF" w14:textId="77777777" w:rsidR="00103D18" w:rsidRPr="004C4F6D"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36C0B93C" w14:textId="77777777" w:rsidTr="009A347A">
        <w:trPr>
          <w:trHeight w:val="255"/>
        </w:trPr>
        <w:tc>
          <w:tcPr>
            <w:tcW w:w="7070" w:type="dxa"/>
            <w:tcBorders>
              <w:top w:val="nil"/>
              <w:left w:val="single" w:sz="4" w:space="0" w:color="auto"/>
              <w:bottom w:val="single" w:sz="4" w:space="0" w:color="auto"/>
              <w:right w:val="single" w:sz="4" w:space="0" w:color="auto"/>
            </w:tcBorders>
          </w:tcPr>
          <w:p w14:paraId="190966D0" w14:textId="77777777" w:rsidR="00103D18" w:rsidRPr="007B7470"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8B9EF5D"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020864C"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ACCDE55"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07A6315"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0237EE61" w14:textId="77777777" w:rsidR="00103D18" w:rsidRPr="004C4F6D"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4C4F6D" w14:paraId="433A5A4D" w14:textId="77777777" w:rsidTr="009A347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EFCE8" w14:textId="77777777" w:rsidR="00103D18" w:rsidRPr="004C4F6D" w:rsidRDefault="00103D18" w:rsidP="009A347A">
            <w:pPr>
              <w:spacing w:after="0" w:line="240" w:lineRule="auto"/>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7A890D0B" w14:textId="77777777" w:rsidR="00103D18" w:rsidRPr="004C4F6D"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76C66B1C" w14:textId="77777777" w:rsidR="00103D18" w:rsidRPr="004C4F6D"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50804CA" w14:textId="77777777" w:rsidR="00103D18" w:rsidRPr="004C4F6D"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FAC775A" w14:textId="77777777" w:rsidR="00103D18" w:rsidRPr="004C4F6D"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6B737C" w14:textId="77777777" w:rsidR="00103D18" w:rsidRPr="004C4F6D" w:rsidRDefault="00103D18" w:rsidP="00FF1844">
            <w:pPr>
              <w:spacing w:after="0" w:line="240" w:lineRule="auto"/>
              <w:jc w:val="center"/>
              <w:rPr>
                <w:rFonts w:ascii="Times New Roman" w:eastAsia="Times New Roman" w:hAnsi="Times New Roman" w:cs="Times New Roman"/>
                <w:color w:val="000000" w:themeColor="text1"/>
                <w:lang w:eastAsia="sk-SK"/>
              </w:rPr>
            </w:pPr>
          </w:p>
        </w:tc>
      </w:tr>
    </w:tbl>
    <w:p w14:paraId="30A71849"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14:paraId="155B79F8"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162E393"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79C17F5A" w14:textId="77777777" w:rsidR="00103D18" w:rsidRPr="004C4F6D"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C4F6D">
        <w:rPr>
          <w:rFonts w:ascii="Times New Roman" w:eastAsia="Times New Roman" w:hAnsi="Times New Roman" w:cs="Times New Roman"/>
          <w:bCs/>
          <w:sz w:val="20"/>
          <w:szCs w:val="20"/>
          <w:lang w:eastAsia="sk-SK"/>
        </w:rPr>
        <w:t xml:space="preserve">  Ak sa vplyv týka viacerých subjektov verejnej správy, vypĺňa sa samostatná tabuľka za každý subjekt.</w:t>
      </w:r>
    </w:p>
    <w:p w14:paraId="0F3F90C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4A1666E"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EE3386B"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DF82C06"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4BDC322"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EF3F13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F79297C"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63972D5"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F727BA"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8BBD5F3"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90B9AC7"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D3D936A"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E4D428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FDA948" w14:textId="77777777" w:rsidR="00103D18"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253F537" w14:textId="77777777" w:rsidR="004C4F6D" w:rsidRDefault="004C4F6D"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9F31273" w14:textId="77777777" w:rsidR="004C4F6D" w:rsidRPr="007B7470" w:rsidRDefault="004C4F6D"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D17ACF4" w14:textId="77777777" w:rsidR="00103D18" w:rsidRPr="007B7470" w:rsidRDefault="00103D18" w:rsidP="00EC53BA">
      <w:pPr>
        <w:spacing w:after="0" w:line="240" w:lineRule="auto"/>
        <w:ind w:left="-900"/>
        <w:jc w:val="both"/>
        <w:rPr>
          <w:rFonts w:ascii="Times New Roman" w:eastAsia="Times New Roman" w:hAnsi="Times New Roman" w:cs="Times New Roman"/>
          <w:bCs/>
          <w:sz w:val="20"/>
          <w:szCs w:val="20"/>
          <w:lang w:eastAsia="sk-SK"/>
        </w:rPr>
      </w:pPr>
    </w:p>
    <w:p w14:paraId="7052EB0C" w14:textId="77777777" w:rsidR="00EC53BA" w:rsidRDefault="00EC53BA" w:rsidP="00EC53BA">
      <w:pPr>
        <w:spacing w:after="0" w:line="240" w:lineRule="auto"/>
        <w:ind w:left="-900"/>
        <w:jc w:val="both"/>
        <w:rPr>
          <w:rFonts w:ascii="Times New Roman" w:eastAsia="Times New Roman" w:hAnsi="Times New Roman" w:cs="Times New Roman"/>
          <w:bCs/>
          <w:sz w:val="20"/>
          <w:szCs w:val="20"/>
          <w:lang w:eastAsia="sk-SK"/>
        </w:rPr>
      </w:pPr>
    </w:p>
    <w:p w14:paraId="38102678"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103D18" w:rsidRPr="007B7470" w14:paraId="61A1EA5F" w14:textId="77777777" w:rsidTr="009A347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A08DDA"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506ED03E"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37B184"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poznámka</w:t>
            </w:r>
          </w:p>
        </w:tc>
      </w:tr>
      <w:tr w:rsidR="00103D18" w:rsidRPr="007B7470" w14:paraId="70CC8E98" w14:textId="77777777" w:rsidTr="009A347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A91B0D" w14:textId="77777777" w:rsidR="00103D18" w:rsidRPr="00797B37" w:rsidRDefault="00103D18" w:rsidP="009A347A">
            <w:pPr>
              <w:spacing w:after="0" w:line="240" w:lineRule="auto"/>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417F81B6"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53A0019A"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3C6A4CA8"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14:paraId="550BAF75"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5700F5" w14:textId="77777777" w:rsidR="00103D18" w:rsidRPr="00797B37" w:rsidRDefault="00103D18" w:rsidP="009A347A">
            <w:pPr>
              <w:spacing w:after="0" w:line="240" w:lineRule="auto"/>
              <w:rPr>
                <w:rFonts w:ascii="Times New Roman" w:eastAsia="Times New Roman" w:hAnsi="Times New Roman" w:cs="Times New Roman"/>
                <w:b/>
                <w:bCs/>
                <w:color w:val="FFFFFF"/>
                <w:lang w:eastAsia="sk-SK"/>
              </w:rPr>
            </w:pPr>
          </w:p>
        </w:tc>
      </w:tr>
      <w:tr w:rsidR="00103D18" w:rsidRPr="007B7470" w14:paraId="56C21E95" w14:textId="77777777" w:rsidTr="009A347A">
        <w:trPr>
          <w:trHeight w:val="255"/>
        </w:trPr>
        <w:tc>
          <w:tcPr>
            <w:tcW w:w="6188" w:type="dxa"/>
            <w:tcBorders>
              <w:top w:val="nil"/>
              <w:left w:val="single" w:sz="4" w:space="0" w:color="auto"/>
              <w:bottom w:val="single" w:sz="4" w:space="0" w:color="auto"/>
              <w:right w:val="single" w:sz="4" w:space="0" w:color="auto"/>
            </w:tcBorders>
          </w:tcPr>
          <w:p w14:paraId="72874405"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Počet zamestnancov celkom</w:t>
            </w:r>
          </w:p>
        </w:tc>
        <w:tc>
          <w:tcPr>
            <w:tcW w:w="1698" w:type="dxa"/>
            <w:tcBorders>
              <w:top w:val="nil"/>
              <w:left w:val="nil"/>
              <w:bottom w:val="single" w:sz="4" w:space="0" w:color="auto"/>
              <w:right w:val="single" w:sz="4" w:space="0" w:color="auto"/>
            </w:tcBorders>
          </w:tcPr>
          <w:p w14:paraId="4A4955BF"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788" w:type="dxa"/>
            <w:tcBorders>
              <w:top w:val="nil"/>
              <w:left w:val="nil"/>
              <w:bottom w:val="single" w:sz="4" w:space="0" w:color="auto"/>
              <w:right w:val="single" w:sz="4" w:space="0" w:color="auto"/>
            </w:tcBorders>
          </w:tcPr>
          <w:p w14:paraId="7A6B69CF"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78" w:type="dxa"/>
            <w:gridSpan w:val="2"/>
            <w:tcBorders>
              <w:top w:val="nil"/>
              <w:left w:val="nil"/>
              <w:bottom w:val="single" w:sz="4" w:space="0" w:color="auto"/>
              <w:right w:val="single" w:sz="4" w:space="0" w:color="auto"/>
            </w:tcBorders>
          </w:tcPr>
          <w:p w14:paraId="05C719D9"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560" w:type="dxa"/>
            <w:tcBorders>
              <w:top w:val="nil"/>
              <w:left w:val="nil"/>
              <w:bottom w:val="single" w:sz="4" w:space="0" w:color="auto"/>
              <w:right w:val="single" w:sz="4" w:space="0" w:color="auto"/>
            </w:tcBorders>
          </w:tcPr>
          <w:p w14:paraId="42373FD2"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42" w:type="dxa"/>
            <w:gridSpan w:val="2"/>
            <w:tcBorders>
              <w:top w:val="nil"/>
              <w:left w:val="nil"/>
              <w:bottom w:val="single" w:sz="4" w:space="0" w:color="auto"/>
              <w:right w:val="single" w:sz="4" w:space="0" w:color="auto"/>
            </w:tcBorders>
            <w:noWrap/>
            <w:vAlign w:val="bottom"/>
          </w:tcPr>
          <w:p w14:paraId="5C9838A6" w14:textId="77777777" w:rsidR="00103D18" w:rsidRPr="00797B37" w:rsidRDefault="00103D18" w:rsidP="00797B37">
            <w:pPr>
              <w:spacing w:after="0" w:line="240" w:lineRule="auto"/>
              <w:jc w:val="center"/>
              <w:rPr>
                <w:rFonts w:ascii="Times New Roman" w:eastAsia="Times New Roman" w:hAnsi="Times New Roman" w:cs="Times New Roman"/>
                <w:lang w:eastAsia="sk-SK"/>
              </w:rPr>
            </w:pPr>
          </w:p>
        </w:tc>
      </w:tr>
      <w:tr w:rsidR="00103D18" w:rsidRPr="00797B37" w14:paraId="7F52C823" w14:textId="77777777" w:rsidTr="009A347A">
        <w:trPr>
          <w:trHeight w:val="255"/>
        </w:trPr>
        <w:tc>
          <w:tcPr>
            <w:tcW w:w="6188" w:type="dxa"/>
            <w:tcBorders>
              <w:top w:val="nil"/>
              <w:left w:val="single" w:sz="4" w:space="0" w:color="auto"/>
              <w:bottom w:val="single" w:sz="4" w:space="0" w:color="auto"/>
              <w:right w:val="single" w:sz="4" w:space="0" w:color="auto"/>
            </w:tcBorders>
          </w:tcPr>
          <w:p w14:paraId="701C11A4"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FDDC6C5"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788" w:type="dxa"/>
            <w:tcBorders>
              <w:top w:val="single" w:sz="4" w:space="0" w:color="auto"/>
              <w:left w:val="nil"/>
              <w:bottom w:val="single" w:sz="4" w:space="0" w:color="auto"/>
              <w:right w:val="single" w:sz="4" w:space="0" w:color="auto"/>
            </w:tcBorders>
          </w:tcPr>
          <w:p w14:paraId="7A1F800E"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78" w:type="dxa"/>
            <w:gridSpan w:val="2"/>
            <w:tcBorders>
              <w:top w:val="single" w:sz="4" w:space="0" w:color="auto"/>
              <w:left w:val="nil"/>
              <w:bottom w:val="single" w:sz="4" w:space="0" w:color="auto"/>
              <w:right w:val="single" w:sz="4" w:space="0" w:color="auto"/>
            </w:tcBorders>
          </w:tcPr>
          <w:p w14:paraId="2580891B"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60" w:type="dxa"/>
            <w:tcBorders>
              <w:top w:val="single" w:sz="4" w:space="0" w:color="auto"/>
              <w:left w:val="nil"/>
              <w:bottom w:val="single" w:sz="4" w:space="0" w:color="auto"/>
              <w:right w:val="single" w:sz="4" w:space="0" w:color="auto"/>
            </w:tcBorders>
          </w:tcPr>
          <w:p w14:paraId="4F189990"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7DC81176" w14:textId="77777777" w:rsidR="00103D18" w:rsidRPr="00797B37" w:rsidRDefault="00103D18" w:rsidP="00797B37">
            <w:pPr>
              <w:spacing w:after="0" w:line="240" w:lineRule="auto"/>
              <w:jc w:val="center"/>
              <w:rPr>
                <w:rFonts w:ascii="Times New Roman" w:eastAsia="Times New Roman" w:hAnsi="Times New Roman" w:cs="Times New Roman"/>
                <w:sz w:val="20"/>
                <w:szCs w:val="20"/>
                <w:lang w:eastAsia="sk-SK"/>
              </w:rPr>
            </w:pPr>
          </w:p>
        </w:tc>
      </w:tr>
      <w:tr w:rsidR="00103D18" w:rsidRPr="00797B37" w14:paraId="0DD71E67" w14:textId="77777777" w:rsidTr="009A347A">
        <w:trPr>
          <w:trHeight w:val="255"/>
        </w:trPr>
        <w:tc>
          <w:tcPr>
            <w:tcW w:w="6188" w:type="dxa"/>
            <w:tcBorders>
              <w:top w:val="nil"/>
              <w:left w:val="single" w:sz="4" w:space="0" w:color="auto"/>
              <w:bottom w:val="single" w:sz="4" w:space="0" w:color="auto"/>
              <w:right w:val="single" w:sz="4" w:space="0" w:color="auto"/>
            </w:tcBorders>
          </w:tcPr>
          <w:p w14:paraId="25D4D2B0"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0A37A08"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788" w:type="dxa"/>
            <w:tcBorders>
              <w:top w:val="single" w:sz="4" w:space="0" w:color="auto"/>
              <w:left w:val="nil"/>
              <w:bottom w:val="single" w:sz="4" w:space="0" w:color="auto"/>
              <w:right w:val="single" w:sz="4" w:space="0" w:color="auto"/>
            </w:tcBorders>
          </w:tcPr>
          <w:p w14:paraId="4A8D8BC7"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78" w:type="dxa"/>
            <w:gridSpan w:val="2"/>
            <w:tcBorders>
              <w:top w:val="single" w:sz="4" w:space="0" w:color="auto"/>
              <w:left w:val="nil"/>
              <w:bottom w:val="single" w:sz="4" w:space="0" w:color="auto"/>
              <w:right w:val="single" w:sz="4" w:space="0" w:color="auto"/>
            </w:tcBorders>
          </w:tcPr>
          <w:p w14:paraId="33382956"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560" w:type="dxa"/>
            <w:tcBorders>
              <w:top w:val="single" w:sz="4" w:space="0" w:color="auto"/>
              <w:left w:val="nil"/>
              <w:bottom w:val="single" w:sz="4" w:space="0" w:color="auto"/>
              <w:right w:val="single" w:sz="4" w:space="0" w:color="auto"/>
            </w:tcBorders>
          </w:tcPr>
          <w:p w14:paraId="0C968C21"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42" w:type="dxa"/>
            <w:gridSpan w:val="2"/>
            <w:tcBorders>
              <w:top w:val="nil"/>
              <w:left w:val="nil"/>
              <w:bottom w:val="single" w:sz="4" w:space="0" w:color="auto"/>
              <w:right w:val="single" w:sz="4" w:space="0" w:color="auto"/>
            </w:tcBorders>
            <w:noWrap/>
            <w:vAlign w:val="bottom"/>
          </w:tcPr>
          <w:p w14:paraId="068A9732" w14:textId="77777777" w:rsidR="00103D18" w:rsidRPr="00797B37" w:rsidRDefault="00103D18" w:rsidP="00797B37">
            <w:pPr>
              <w:spacing w:after="0" w:line="240" w:lineRule="auto"/>
              <w:jc w:val="center"/>
              <w:rPr>
                <w:rFonts w:ascii="Times New Roman" w:eastAsia="Times New Roman" w:hAnsi="Times New Roman" w:cs="Times New Roman"/>
                <w:lang w:eastAsia="sk-SK"/>
              </w:rPr>
            </w:pPr>
          </w:p>
        </w:tc>
      </w:tr>
      <w:tr w:rsidR="00103D18" w:rsidRPr="00797B37" w14:paraId="6CFDE9A2" w14:textId="77777777" w:rsidTr="009A347A">
        <w:trPr>
          <w:trHeight w:val="255"/>
        </w:trPr>
        <w:tc>
          <w:tcPr>
            <w:tcW w:w="6188" w:type="dxa"/>
            <w:tcBorders>
              <w:top w:val="nil"/>
              <w:left w:val="single" w:sz="4" w:space="0" w:color="auto"/>
              <w:bottom w:val="single" w:sz="4" w:space="0" w:color="auto"/>
              <w:right w:val="single" w:sz="4" w:space="0" w:color="auto"/>
            </w:tcBorders>
          </w:tcPr>
          <w:p w14:paraId="10B6029A"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18E95BA"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w:t>
            </w:r>
          </w:p>
        </w:tc>
        <w:tc>
          <w:tcPr>
            <w:tcW w:w="1788" w:type="dxa"/>
            <w:tcBorders>
              <w:top w:val="single" w:sz="4" w:space="0" w:color="auto"/>
              <w:left w:val="nil"/>
              <w:bottom w:val="single" w:sz="4" w:space="0" w:color="auto"/>
              <w:right w:val="single" w:sz="4" w:space="0" w:color="auto"/>
            </w:tcBorders>
          </w:tcPr>
          <w:p w14:paraId="4612DADC"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w:t>
            </w:r>
          </w:p>
        </w:tc>
        <w:tc>
          <w:tcPr>
            <w:tcW w:w="1878" w:type="dxa"/>
            <w:gridSpan w:val="2"/>
            <w:tcBorders>
              <w:top w:val="single" w:sz="4" w:space="0" w:color="auto"/>
              <w:left w:val="nil"/>
              <w:bottom w:val="single" w:sz="4" w:space="0" w:color="auto"/>
              <w:right w:val="single" w:sz="4" w:space="0" w:color="auto"/>
            </w:tcBorders>
          </w:tcPr>
          <w:p w14:paraId="5C62FF0A"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w:t>
            </w:r>
          </w:p>
        </w:tc>
        <w:tc>
          <w:tcPr>
            <w:tcW w:w="1560" w:type="dxa"/>
            <w:tcBorders>
              <w:top w:val="single" w:sz="4" w:space="0" w:color="auto"/>
              <w:left w:val="nil"/>
              <w:bottom w:val="single" w:sz="4" w:space="0" w:color="auto"/>
              <w:right w:val="single" w:sz="4" w:space="0" w:color="auto"/>
            </w:tcBorders>
          </w:tcPr>
          <w:p w14:paraId="5CDF09A8"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w:t>
            </w:r>
          </w:p>
        </w:tc>
        <w:tc>
          <w:tcPr>
            <w:tcW w:w="1842" w:type="dxa"/>
            <w:gridSpan w:val="2"/>
            <w:tcBorders>
              <w:top w:val="nil"/>
              <w:left w:val="nil"/>
              <w:bottom w:val="single" w:sz="4" w:space="0" w:color="auto"/>
              <w:right w:val="single" w:sz="4" w:space="0" w:color="auto"/>
            </w:tcBorders>
            <w:noWrap/>
            <w:vAlign w:val="bottom"/>
          </w:tcPr>
          <w:p w14:paraId="738268DD" w14:textId="77777777" w:rsidR="00103D18" w:rsidRPr="00797B37" w:rsidRDefault="00103D18" w:rsidP="00797B37">
            <w:pPr>
              <w:spacing w:after="0" w:line="240" w:lineRule="auto"/>
              <w:jc w:val="center"/>
              <w:rPr>
                <w:rFonts w:ascii="Times New Roman" w:eastAsia="Times New Roman" w:hAnsi="Times New Roman" w:cs="Times New Roman"/>
                <w:sz w:val="20"/>
                <w:szCs w:val="20"/>
                <w:lang w:eastAsia="sk-SK"/>
              </w:rPr>
            </w:pPr>
          </w:p>
        </w:tc>
      </w:tr>
      <w:tr w:rsidR="00103D18" w:rsidRPr="00797B37" w14:paraId="7C720A7D" w14:textId="77777777" w:rsidTr="009A347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63F8D5B9"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C2C0D5F"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2109D652"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116FD558"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0A584460"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7743BB36" w14:textId="77777777" w:rsidR="00103D18" w:rsidRPr="00797B37" w:rsidRDefault="00103D18" w:rsidP="00797B37">
            <w:pPr>
              <w:spacing w:after="0" w:line="240" w:lineRule="auto"/>
              <w:jc w:val="center"/>
              <w:rPr>
                <w:rFonts w:ascii="Times New Roman" w:eastAsia="Times New Roman" w:hAnsi="Times New Roman" w:cs="Times New Roman"/>
                <w:b/>
                <w:bCs/>
                <w:lang w:eastAsia="sk-SK"/>
              </w:rPr>
            </w:pPr>
          </w:p>
        </w:tc>
      </w:tr>
      <w:tr w:rsidR="00103D18" w:rsidRPr="00797B37" w14:paraId="5F1250A9" w14:textId="77777777" w:rsidTr="009A347A">
        <w:trPr>
          <w:trHeight w:val="255"/>
        </w:trPr>
        <w:tc>
          <w:tcPr>
            <w:tcW w:w="6188" w:type="dxa"/>
            <w:tcBorders>
              <w:top w:val="nil"/>
              <w:left w:val="single" w:sz="4" w:space="0" w:color="auto"/>
              <w:bottom w:val="single" w:sz="4" w:space="0" w:color="auto"/>
              <w:right w:val="single" w:sz="4" w:space="0" w:color="auto"/>
            </w:tcBorders>
          </w:tcPr>
          <w:p w14:paraId="3E0951A0"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68D367A"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788" w:type="dxa"/>
            <w:tcBorders>
              <w:top w:val="nil"/>
              <w:left w:val="nil"/>
              <w:bottom w:val="single" w:sz="4" w:space="0" w:color="auto"/>
              <w:right w:val="single" w:sz="4" w:space="0" w:color="auto"/>
            </w:tcBorders>
          </w:tcPr>
          <w:p w14:paraId="726FA781"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78" w:type="dxa"/>
            <w:gridSpan w:val="2"/>
            <w:tcBorders>
              <w:top w:val="nil"/>
              <w:left w:val="nil"/>
              <w:bottom w:val="single" w:sz="4" w:space="0" w:color="auto"/>
              <w:right w:val="single" w:sz="4" w:space="0" w:color="auto"/>
            </w:tcBorders>
          </w:tcPr>
          <w:p w14:paraId="407A011D"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560" w:type="dxa"/>
            <w:tcBorders>
              <w:top w:val="nil"/>
              <w:left w:val="nil"/>
              <w:bottom w:val="single" w:sz="4" w:space="0" w:color="auto"/>
              <w:right w:val="single" w:sz="4" w:space="0" w:color="auto"/>
            </w:tcBorders>
          </w:tcPr>
          <w:p w14:paraId="23899C1D"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42" w:type="dxa"/>
            <w:gridSpan w:val="2"/>
            <w:tcBorders>
              <w:top w:val="nil"/>
              <w:left w:val="nil"/>
              <w:bottom w:val="single" w:sz="4" w:space="0" w:color="auto"/>
              <w:right w:val="single" w:sz="4" w:space="0" w:color="auto"/>
            </w:tcBorders>
            <w:noWrap/>
            <w:vAlign w:val="bottom"/>
          </w:tcPr>
          <w:p w14:paraId="7136D18F" w14:textId="77777777" w:rsidR="00103D18" w:rsidRPr="00797B37" w:rsidRDefault="00103D18" w:rsidP="00797B37">
            <w:pPr>
              <w:spacing w:after="0" w:line="240" w:lineRule="auto"/>
              <w:jc w:val="center"/>
              <w:rPr>
                <w:rFonts w:ascii="Times New Roman" w:eastAsia="Times New Roman" w:hAnsi="Times New Roman" w:cs="Times New Roman"/>
                <w:b/>
                <w:bCs/>
                <w:lang w:eastAsia="sk-SK"/>
              </w:rPr>
            </w:pPr>
          </w:p>
        </w:tc>
      </w:tr>
      <w:tr w:rsidR="00103D18" w:rsidRPr="00797B37" w14:paraId="14E12FBB" w14:textId="77777777" w:rsidTr="009A347A">
        <w:trPr>
          <w:trHeight w:val="255"/>
        </w:trPr>
        <w:tc>
          <w:tcPr>
            <w:tcW w:w="6188" w:type="dxa"/>
            <w:tcBorders>
              <w:top w:val="nil"/>
              <w:left w:val="single" w:sz="4" w:space="0" w:color="auto"/>
              <w:bottom w:val="single" w:sz="4" w:space="0" w:color="auto"/>
              <w:right w:val="single" w:sz="4" w:space="0" w:color="auto"/>
            </w:tcBorders>
          </w:tcPr>
          <w:p w14:paraId="5CAD4B05"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7F23E0AB"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788" w:type="dxa"/>
            <w:tcBorders>
              <w:top w:val="nil"/>
              <w:left w:val="nil"/>
              <w:bottom w:val="single" w:sz="4" w:space="0" w:color="auto"/>
              <w:right w:val="single" w:sz="4" w:space="0" w:color="auto"/>
            </w:tcBorders>
          </w:tcPr>
          <w:p w14:paraId="1E6F08DE"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78" w:type="dxa"/>
            <w:gridSpan w:val="2"/>
            <w:tcBorders>
              <w:top w:val="nil"/>
              <w:left w:val="nil"/>
              <w:bottom w:val="single" w:sz="4" w:space="0" w:color="auto"/>
              <w:right w:val="single" w:sz="4" w:space="0" w:color="auto"/>
            </w:tcBorders>
          </w:tcPr>
          <w:p w14:paraId="24B3F328"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26841C7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3544363A" w14:textId="77777777" w:rsidR="00103D18" w:rsidRPr="00797B37" w:rsidRDefault="00103D18" w:rsidP="00797B37">
            <w:pPr>
              <w:spacing w:after="0" w:line="240" w:lineRule="auto"/>
              <w:jc w:val="center"/>
              <w:rPr>
                <w:rFonts w:ascii="Times New Roman" w:eastAsia="Times New Roman" w:hAnsi="Times New Roman" w:cs="Times New Roman"/>
                <w:sz w:val="20"/>
                <w:szCs w:val="20"/>
                <w:lang w:eastAsia="sk-SK"/>
              </w:rPr>
            </w:pPr>
          </w:p>
        </w:tc>
      </w:tr>
      <w:tr w:rsidR="00103D18" w:rsidRPr="00797B37" w14:paraId="5CA7BB4D" w14:textId="77777777" w:rsidTr="009A347A">
        <w:trPr>
          <w:trHeight w:val="255"/>
        </w:trPr>
        <w:tc>
          <w:tcPr>
            <w:tcW w:w="6188" w:type="dxa"/>
            <w:tcBorders>
              <w:top w:val="nil"/>
              <w:left w:val="single" w:sz="4" w:space="0" w:color="auto"/>
              <w:bottom w:val="single" w:sz="4" w:space="0" w:color="auto"/>
              <w:right w:val="single" w:sz="4" w:space="0" w:color="auto"/>
            </w:tcBorders>
          </w:tcPr>
          <w:p w14:paraId="1DF0D88D"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Poistné a príspevok do poisťovní (620)</w:t>
            </w:r>
          </w:p>
        </w:tc>
        <w:tc>
          <w:tcPr>
            <w:tcW w:w="1698" w:type="dxa"/>
            <w:tcBorders>
              <w:top w:val="nil"/>
              <w:left w:val="nil"/>
              <w:bottom w:val="single" w:sz="4" w:space="0" w:color="auto"/>
              <w:right w:val="single" w:sz="4" w:space="0" w:color="auto"/>
            </w:tcBorders>
          </w:tcPr>
          <w:p w14:paraId="3BB054DE"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788" w:type="dxa"/>
            <w:tcBorders>
              <w:top w:val="nil"/>
              <w:left w:val="nil"/>
              <w:bottom w:val="single" w:sz="4" w:space="0" w:color="auto"/>
              <w:right w:val="single" w:sz="4" w:space="0" w:color="auto"/>
            </w:tcBorders>
          </w:tcPr>
          <w:p w14:paraId="76B4929A"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78" w:type="dxa"/>
            <w:gridSpan w:val="2"/>
            <w:tcBorders>
              <w:top w:val="nil"/>
              <w:left w:val="nil"/>
              <w:bottom w:val="single" w:sz="4" w:space="0" w:color="auto"/>
              <w:right w:val="single" w:sz="4" w:space="0" w:color="auto"/>
            </w:tcBorders>
          </w:tcPr>
          <w:p w14:paraId="08690281"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560" w:type="dxa"/>
            <w:tcBorders>
              <w:top w:val="nil"/>
              <w:left w:val="nil"/>
              <w:bottom w:val="single" w:sz="4" w:space="0" w:color="auto"/>
              <w:right w:val="single" w:sz="4" w:space="0" w:color="auto"/>
            </w:tcBorders>
          </w:tcPr>
          <w:p w14:paraId="3F91B959"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42" w:type="dxa"/>
            <w:gridSpan w:val="2"/>
            <w:tcBorders>
              <w:top w:val="nil"/>
              <w:left w:val="nil"/>
              <w:bottom w:val="single" w:sz="4" w:space="0" w:color="auto"/>
              <w:right w:val="single" w:sz="4" w:space="0" w:color="auto"/>
            </w:tcBorders>
            <w:noWrap/>
            <w:vAlign w:val="bottom"/>
          </w:tcPr>
          <w:p w14:paraId="548064CC" w14:textId="77777777" w:rsidR="00103D18" w:rsidRPr="00797B37" w:rsidRDefault="00103D18" w:rsidP="00797B37">
            <w:pPr>
              <w:spacing w:after="0" w:line="240" w:lineRule="auto"/>
              <w:jc w:val="center"/>
              <w:rPr>
                <w:rFonts w:ascii="Times New Roman" w:eastAsia="Times New Roman" w:hAnsi="Times New Roman" w:cs="Times New Roman"/>
                <w:b/>
                <w:bCs/>
                <w:lang w:eastAsia="sk-SK"/>
              </w:rPr>
            </w:pPr>
          </w:p>
        </w:tc>
      </w:tr>
      <w:tr w:rsidR="00103D18" w:rsidRPr="00797B37" w14:paraId="70CAEF59" w14:textId="77777777" w:rsidTr="009A347A">
        <w:trPr>
          <w:trHeight w:val="255"/>
        </w:trPr>
        <w:tc>
          <w:tcPr>
            <w:tcW w:w="6188" w:type="dxa"/>
            <w:tcBorders>
              <w:top w:val="nil"/>
              <w:left w:val="single" w:sz="4" w:space="0" w:color="auto"/>
              <w:bottom w:val="single" w:sz="4" w:space="0" w:color="auto"/>
              <w:right w:val="single" w:sz="4" w:space="0" w:color="auto"/>
            </w:tcBorders>
          </w:tcPr>
          <w:p w14:paraId="29C966F8"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2E800472"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788" w:type="dxa"/>
            <w:tcBorders>
              <w:top w:val="nil"/>
              <w:left w:val="nil"/>
              <w:bottom w:val="single" w:sz="4" w:space="0" w:color="auto"/>
              <w:right w:val="single" w:sz="4" w:space="0" w:color="auto"/>
            </w:tcBorders>
          </w:tcPr>
          <w:p w14:paraId="003766C7"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78" w:type="dxa"/>
            <w:gridSpan w:val="2"/>
            <w:tcBorders>
              <w:top w:val="nil"/>
              <w:left w:val="nil"/>
              <w:bottom w:val="single" w:sz="4" w:space="0" w:color="auto"/>
              <w:right w:val="single" w:sz="4" w:space="0" w:color="auto"/>
            </w:tcBorders>
          </w:tcPr>
          <w:p w14:paraId="686EA034"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7704E8C5"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1262BBCA" w14:textId="77777777" w:rsidR="00103D18" w:rsidRPr="00797B37" w:rsidRDefault="00103D18" w:rsidP="00797B37">
            <w:pPr>
              <w:spacing w:after="0" w:line="240" w:lineRule="auto"/>
              <w:jc w:val="center"/>
              <w:rPr>
                <w:rFonts w:ascii="Times New Roman" w:eastAsia="Times New Roman" w:hAnsi="Times New Roman" w:cs="Times New Roman"/>
                <w:sz w:val="20"/>
                <w:szCs w:val="20"/>
                <w:lang w:eastAsia="sk-SK"/>
              </w:rPr>
            </w:pPr>
          </w:p>
        </w:tc>
      </w:tr>
      <w:tr w:rsidR="00103D18" w:rsidRPr="007B7470" w14:paraId="4B377A06" w14:textId="77777777" w:rsidTr="009A347A">
        <w:trPr>
          <w:trHeight w:val="255"/>
        </w:trPr>
        <w:tc>
          <w:tcPr>
            <w:tcW w:w="6188" w:type="dxa"/>
            <w:tcBorders>
              <w:top w:val="nil"/>
              <w:left w:val="nil"/>
              <w:bottom w:val="nil"/>
              <w:right w:val="nil"/>
            </w:tcBorders>
          </w:tcPr>
          <w:p w14:paraId="344D27AA" w14:textId="77777777" w:rsidR="00797B37" w:rsidRDefault="00797B37" w:rsidP="009A347A">
            <w:pPr>
              <w:spacing w:after="0" w:line="240" w:lineRule="auto"/>
              <w:rPr>
                <w:rFonts w:ascii="Times New Roman" w:eastAsia="Times New Roman" w:hAnsi="Times New Roman" w:cs="Times New Roman"/>
                <w:b/>
                <w:bCs/>
                <w:sz w:val="24"/>
                <w:szCs w:val="24"/>
                <w:lang w:eastAsia="sk-SK"/>
              </w:rPr>
            </w:pPr>
          </w:p>
          <w:p w14:paraId="0EF761D4" w14:textId="77777777" w:rsidR="00103D18" w:rsidRPr="007B7470" w:rsidRDefault="00103D18" w:rsidP="009A347A">
            <w:pPr>
              <w:spacing w:after="0" w:line="240" w:lineRule="auto"/>
              <w:rPr>
                <w:rFonts w:ascii="Times New Roman" w:eastAsia="Times New Roman" w:hAnsi="Times New Roman" w:cs="Times New Roman"/>
                <w:b/>
                <w:bCs/>
                <w:sz w:val="24"/>
                <w:szCs w:val="24"/>
                <w:lang w:eastAsia="sk-SK"/>
              </w:rPr>
            </w:pPr>
            <w:r w:rsidRPr="00797B37">
              <w:rPr>
                <w:rFonts w:ascii="Times New Roman" w:eastAsia="Times New Roman" w:hAnsi="Times New Roman" w:cs="Times New Roman"/>
                <w:b/>
                <w:bCs/>
                <w:lang w:eastAsia="sk-SK"/>
              </w:rPr>
              <w:t>Poznámka</w:t>
            </w:r>
            <w:r w:rsidRPr="007B7470">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14:paraId="4370B6EA"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562611FD"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0D8CEEBB"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72AF2AE9"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450E2893"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r>
      <w:tr w:rsidR="00103D18" w:rsidRPr="00797B37" w14:paraId="37659EF9" w14:textId="77777777" w:rsidTr="009A347A">
        <w:trPr>
          <w:trHeight w:val="255"/>
        </w:trPr>
        <w:tc>
          <w:tcPr>
            <w:tcW w:w="13112" w:type="dxa"/>
            <w:gridSpan w:val="6"/>
            <w:tcBorders>
              <w:top w:val="nil"/>
              <w:left w:val="nil"/>
              <w:bottom w:val="nil"/>
              <w:right w:val="nil"/>
            </w:tcBorders>
            <w:noWrap/>
          </w:tcPr>
          <w:p w14:paraId="2A51243A" w14:textId="77777777" w:rsidR="00103D18" w:rsidRPr="00797B37" w:rsidRDefault="00103D18" w:rsidP="009A347A">
            <w:pPr>
              <w:tabs>
                <w:tab w:val="num" w:pos="1080"/>
              </w:tabs>
              <w:spacing w:after="0" w:line="240" w:lineRule="auto"/>
              <w:jc w:val="both"/>
              <w:rPr>
                <w:rFonts w:ascii="Times New Roman" w:eastAsia="Times New Roman" w:hAnsi="Times New Roman" w:cs="Times New Roman"/>
                <w:bCs/>
                <w:sz w:val="20"/>
                <w:szCs w:val="20"/>
                <w:lang w:eastAsia="sk-SK"/>
              </w:rPr>
            </w:pPr>
            <w:r w:rsidRPr="00797B37">
              <w:rPr>
                <w:rFonts w:ascii="Times New Roman" w:eastAsia="Times New Roman" w:hAnsi="Times New Roman" w:cs="Times New Roman"/>
                <w:bCs/>
                <w:sz w:val="20"/>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5E79C11"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215AE73C"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p>
        </w:tc>
      </w:tr>
      <w:tr w:rsidR="00103D18" w:rsidRPr="00797B37" w14:paraId="71267270" w14:textId="77777777" w:rsidTr="009A347A">
        <w:trPr>
          <w:trHeight w:val="255"/>
        </w:trPr>
        <w:tc>
          <w:tcPr>
            <w:tcW w:w="10394" w:type="dxa"/>
            <w:gridSpan w:val="4"/>
            <w:tcBorders>
              <w:top w:val="nil"/>
              <w:left w:val="nil"/>
              <w:bottom w:val="nil"/>
              <w:right w:val="nil"/>
            </w:tcBorders>
            <w:noWrap/>
            <w:vAlign w:val="bottom"/>
          </w:tcPr>
          <w:p w14:paraId="50907672"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511CD1E6"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p>
        </w:tc>
        <w:tc>
          <w:tcPr>
            <w:tcW w:w="2892" w:type="dxa"/>
            <w:gridSpan w:val="2"/>
            <w:tcBorders>
              <w:top w:val="nil"/>
              <w:left w:val="nil"/>
              <w:bottom w:val="nil"/>
              <w:right w:val="nil"/>
            </w:tcBorders>
            <w:noWrap/>
            <w:vAlign w:val="bottom"/>
          </w:tcPr>
          <w:p w14:paraId="59AD4044"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p>
        </w:tc>
        <w:tc>
          <w:tcPr>
            <w:tcW w:w="510" w:type="dxa"/>
            <w:tcBorders>
              <w:top w:val="nil"/>
              <w:left w:val="nil"/>
              <w:bottom w:val="nil"/>
              <w:right w:val="nil"/>
            </w:tcBorders>
            <w:noWrap/>
            <w:vAlign w:val="bottom"/>
          </w:tcPr>
          <w:p w14:paraId="66875721"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p>
        </w:tc>
      </w:tr>
    </w:tbl>
    <w:p w14:paraId="6B0130A4" w14:textId="77777777" w:rsidR="00103D18" w:rsidRPr="00797B37" w:rsidRDefault="00103D18" w:rsidP="00103D18">
      <w:pPr>
        <w:spacing w:after="0" w:line="240" w:lineRule="auto"/>
        <w:rPr>
          <w:rFonts w:ascii="Times New Roman" w:eastAsia="Times New Roman" w:hAnsi="Times New Roman" w:cs="Times New Roman"/>
          <w:b/>
          <w:bCs/>
          <w:sz w:val="20"/>
          <w:szCs w:val="20"/>
          <w:lang w:eastAsia="sk-SK"/>
        </w:rPr>
      </w:pPr>
    </w:p>
    <w:p w14:paraId="27B3EA75" w14:textId="77777777" w:rsidR="00103D18" w:rsidRDefault="00103D18" w:rsidP="00103D18">
      <w:pPr>
        <w:spacing w:after="0" w:line="240" w:lineRule="auto"/>
        <w:rPr>
          <w:rFonts w:ascii="Times New Roman" w:eastAsia="Times New Roman" w:hAnsi="Times New Roman" w:cs="Times New Roman"/>
          <w:b/>
          <w:bCs/>
          <w:sz w:val="24"/>
          <w:szCs w:val="24"/>
          <w:lang w:eastAsia="sk-SK"/>
        </w:rPr>
      </w:pPr>
    </w:p>
    <w:p w14:paraId="3C364D1E"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0A393DBC"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510213DC"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57C0D276"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1B56D628"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6D627579"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7541A4F4" w14:textId="77777777" w:rsidR="003E34F5" w:rsidRPr="007B7470" w:rsidRDefault="003E34F5" w:rsidP="00103D18">
      <w:pPr>
        <w:spacing w:after="0" w:line="240" w:lineRule="auto"/>
        <w:rPr>
          <w:rFonts w:ascii="Times New Roman" w:eastAsia="Times New Roman" w:hAnsi="Times New Roman" w:cs="Times New Roman"/>
          <w:b/>
          <w:bCs/>
          <w:sz w:val="24"/>
          <w:szCs w:val="24"/>
          <w:lang w:eastAsia="sk-SK"/>
        </w:rPr>
      </w:pPr>
    </w:p>
    <w:p w14:paraId="72622A89"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3B06BA63"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0C29421B"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25D9CCFE"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2F99F52E"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405FB56F"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32C0475B" w14:textId="77777777" w:rsidR="00103D18" w:rsidRDefault="00103D18" w:rsidP="00103D18">
      <w:pPr>
        <w:spacing w:after="0" w:line="240" w:lineRule="auto"/>
        <w:jc w:val="both"/>
        <w:rPr>
          <w:rFonts w:ascii="Times New Roman" w:eastAsia="Times New Roman" w:hAnsi="Times New Roman" w:cs="Times New Roman"/>
          <w:b/>
          <w:sz w:val="24"/>
          <w:szCs w:val="24"/>
          <w:lang w:eastAsia="sk-SK"/>
        </w:rPr>
      </w:pPr>
    </w:p>
    <w:p w14:paraId="25AAD5FC" w14:textId="77777777" w:rsidR="00103D18" w:rsidRPr="003E34F5" w:rsidRDefault="00103D18" w:rsidP="00103D18">
      <w:pPr>
        <w:spacing w:after="0" w:line="240" w:lineRule="auto"/>
        <w:jc w:val="both"/>
        <w:rPr>
          <w:rFonts w:ascii="Times New Roman" w:eastAsia="Times New Roman" w:hAnsi="Times New Roman" w:cs="Times New Roman"/>
          <w:b/>
          <w:lang w:eastAsia="sk-SK"/>
        </w:rPr>
      </w:pPr>
      <w:r w:rsidRPr="003E34F5">
        <w:rPr>
          <w:rFonts w:ascii="Times New Roman" w:eastAsia="Times New Roman" w:hAnsi="Times New Roman" w:cs="Times New Roman"/>
          <w:b/>
          <w:lang w:eastAsia="sk-SK"/>
        </w:rPr>
        <w:lastRenderedPageBreak/>
        <w:t xml:space="preserve">2.2.5. Výpočet vplyvov na dlhodobú udržateľnosť verejných financií </w:t>
      </w:r>
    </w:p>
    <w:p w14:paraId="25DFD900" w14:textId="77777777" w:rsidR="00103D18" w:rsidRPr="003E34F5" w:rsidRDefault="00103D18" w:rsidP="00103D18">
      <w:pPr>
        <w:spacing w:after="0" w:line="240" w:lineRule="auto"/>
        <w:jc w:val="both"/>
        <w:rPr>
          <w:rFonts w:ascii="Times New Roman" w:eastAsia="Times New Roman" w:hAnsi="Times New Roman" w:cs="Times New Roman"/>
          <w:lang w:eastAsia="sk-SK"/>
        </w:rPr>
      </w:pPr>
    </w:p>
    <w:p w14:paraId="17948E2C" w14:textId="77777777" w:rsidR="00103D18" w:rsidRPr="003E34F5" w:rsidRDefault="00103D18" w:rsidP="00103D18">
      <w:pPr>
        <w:spacing w:after="0" w:line="240" w:lineRule="auto"/>
        <w:ind w:firstLine="708"/>
        <w:jc w:val="both"/>
        <w:rPr>
          <w:rFonts w:ascii="Times New Roman" w:eastAsia="Times New Roman" w:hAnsi="Times New Roman" w:cs="Times New Roman"/>
          <w:lang w:eastAsia="sk-SK"/>
        </w:rPr>
      </w:pPr>
      <w:r w:rsidRPr="003E34F5">
        <w:rPr>
          <w:rFonts w:ascii="Times New Roman" w:eastAsia="Times New Roman" w:hAnsi="Times New Roman" w:cs="Times New Roman"/>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391EF82A" w14:textId="77777777" w:rsidR="00103D18" w:rsidRPr="007B7470" w:rsidRDefault="00103D18" w:rsidP="00103D18">
      <w:pPr>
        <w:spacing w:after="0" w:line="240" w:lineRule="auto"/>
        <w:jc w:val="both"/>
        <w:rPr>
          <w:rFonts w:ascii="Times New Roman" w:eastAsia="Times New Roman" w:hAnsi="Times New Roman" w:cs="Times New Roman"/>
          <w:sz w:val="24"/>
          <w:szCs w:val="24"/>
          <w:lang w:eastAsia="sk-SK"/>
        </w:rPr>
      </w:pPr>
    </w:p>
    <w:p w14:paraId="7423365A" w14:textId="77777777" w:rsidR="00103D18" w:rsidRPr="007B7470" w:rsidRDefault="00103D18" w:rsidP="00103D18">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14:paraId="05E90566" w14:textId="77777777" w:rsidR="00103D18" w:rsidRPr="007B7470" w:rsidRDefault="00103D18" w:rsidP="00103D18">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103D18" w:rsidRPr="007B7470" w14:paraId="2EE45B92" w14:textId="77777777" w:rsidTr="009A347A">
        <w:trPr>
          <w:trHeight w:val="284"/>
        </w:trPr>
        <w:tc>
          <w:tcPr>
            <w:tcW w:w="2943" w:type="dxa"/>
            <w:vMerge w:val="restart"/>
            <w:shd w:val="clear" w:color="auto" w:fill="BFBFBF" w:themeFill="background1" w:themeFillShade="BF"/>
            <w:vAlign w:val="center"/>
          </w:tcPr>
          <w:p w14:paraId="5780C058" w14:textId="77777777" w:rsidR="00103D18" w:rsidRPr="00CC3E1A"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CC3E1A">
              <w:rPr>
                <w:rFonts w:ascii="Times New Roman" w:eastAsia="Times New Roman" w:hAnsi="Times New Roman" w:cs="Times New Roman"/>
                <w:b/>
                <w:lang w:eastAsia="sk-SK"/>
              </w:rPr>
              <w:t>Dlhodobá udržateľnosť</w:t>
            </w:r>
          </w:p>
        </w:tc>
        <w:tc>
          <w:tcPr>
            <w:tcW w:w="7967" w:type="dxa"/>
            <w:gridSpan w:val="5"/>
            <w:shd w:val="clear" w:color="auto" w:fill="BFBFBF" w:themeFill="background1" w:themeFillShade="BF"/>
          </w:tcPr>
          <w:p w14:paraId="015FC2D8" w14:textId="77777777" w:rsidR="00103D18" w:rsidRPr="00CC3E1A"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CC3E1A">
              <w:rPr>
                <w:rFonts w:ascii="Times New Roman" w:eastAsia="Times New Roman" w:hAnsi="Times New Roman" w:cs="Times New Roman"/>
                <w:b/>
                <w:lang w:eastAsia="sk-SK"/>
              </w:rPr>
              <w:t>Vplyv na verejné financie</w:t>
            </w:r>
          </w:p>
        </w:tc>
        <w:tc>
          <w:tcPr>
            <w:tcW w:w="3119" w:type="dxa"/>
            <w:vMerge w:val="restart"/>
            <w:shd w:val="clear" w:color="auto" w:fill="BFBFBF" w:themeFill="background1" w:themeFillShade="BF"/>
            <w:vAlign w:val="center"/>
          </w:tcPr>
          <w:p w14:paraId="51C287E6" w14:textId="77777777" w:rsidR="00103D18" w:rsidRPr="00CC3E1A"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CC3E1A">
              <w:rPr>
                <w:rFonts w:ascii="Times New Roman" w:eastAsia="Times New Roman" w:hAnsi="Times New Roman" w:cs="Times New Roman"/>
                <w:b/>
                <w:lang w:eastAsia="sk-SK"/>
              </w:rPr>
              <w:t>Poznámka</w:t>
            </w:r>
          </w:p>
        </w:tc>
      </w:tr>
      <w:tr w:rsidR="00103D18" w:rsidRPr="007B7470" w14:paraId="515D4024" w14:textId="77777777" w:rsidTr="009A347A">
        <w:trPr>
          <w:trHeight w:val="284"/>
        </w:trPr>
        <w:tc>
          <w:tcPr>
            <w:tcW w:w="2943" w:type="dxa"/>
            <w:vMerge/>
            <w:shd w:val="clear" w:color="auto" w:fill="BFBFBF" w:themeFill="background1" w:themeFillShade="BF"/>
          </w:tcPr>
          <w:p w14:paraId="0999CD41" w14:textId="77777777" w:rsidR="00103D18" w:rsidRPr="007B7470" w:rsidRDefault="00103D18" w:rsidP="009A347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6C63E897"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4FDEC89D"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14:paraId="30C30E45"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14:paraId="460741BC"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14:paraId="1F71ACE1"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14:paraId="6701F692" w14:textId="77777777" w:rsidR="00103D18" w:rsidRPr="007B7470" w:rsidRDefault="00103D18" w:rsidP="009A347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103D18" w:rsidRPr="007B7470" w14:paraId="5BECFCD8" w14:textId="77777777" w:rsidTr="009A347A">
        <w:trPr>
          <w:trHeight w:val="284"/>
        </w:trPr>
        <w:tc>
          <w:tcPr>
            <w:tcW w:w="2943" w:type="dxa"/>
            <w:shd w:val="clear" w:color="auto" w:fill="auto"/>
            <w:vAlign w:val="bottom"/>
          </w:tcPr>
          <w:p w14:paraId="01727DA6" w14:textId="77777777" w:rsid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 xml:space="preserve">Vplyv na výdavky v p. b. </w:t>
            </w:r>
          </w:p>
          <w:p w14:paraId="204AF13E" w14:textId="77777777" w:rsidR="00103D18" w:rsidRP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HDP</w:t>
            </w:r>
          </w:p>
        </w:tc>
        <w:tc>
          <w:tcPr>
            <w:tcW w:w="1447" w:type="dxa"/>
            <w:shd w:val="clear" w:color="auto" w:fill="auto"/>
          </w:tcPr>
          <w:p w14:paraId="7615AA3E"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3831063F"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4BC9688A"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418" w:type="dxa"/>
            <w:shd w:val="clear" w:color="auto" w:fill="auto"/>
          </w:tcPr>
          <w:p w14:paraId="08BC652E"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984" w:type="dxa"/>
            <w:shd w:val="clear" w:color="auto" w:fill="auto"/>
          </w:tcPr>
          <w:p w14:paraId="3E825088"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3119" w:type="dxa"/>
            <w:shd w:val="clear" w:color="auto" w:fill="auto"/>
          </w:tcPr>
          <w:p w14:paraId="28583B70"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r>
      <w:tr w:rsidR="00103D18" w:rsidRPr="007B7470" w14:paraId="1F5C9863" w14:textId="77777777" w:rsidTr="009A347A">
        <w:trPr>
          <w:trHeight w:val="284"/>
        </w:trPr>
        <w:tc>
          <w:tcPr>
            <w:tcW w:w="2943" w:type="dxa"/>
            <w:shd w:val="clear" w:color="auto" w:fill="auto"/>
          </w:tcPr>
          <w:p w14:paraId="2DACDD69" w14:textId="77777777" w:rsid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 xml:space="preserve">Vplyv na príjmy v p. b. </w:t>
            </w:r>
          </w:p>
          <w:p w14:paraId="5BB6D10C" w14:textId="77777777" w:rsidR="00103D18" w:rsidRP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HDP</w:t>
            </w:r>
          </w:p>
        </w:tc>
        <w:tc>
          <w:tcPr>
            <w:tcW w:w="1447" w:type="dxa"/>
            <w:shd w:val="clear" w:color="auto" w:fill="auto"/>
          </w:tcPr>
          <w:p w14:paraId="0F7E9347"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05E4BD13"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333630CF"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418" w:type="dxa"/>
            <w:shd w:val="clear" w:color="auto" w:fill="auto"/>
          </w:tcPr>
          <w:p w14:paraId="40FB43CD"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984" w:type="dxa"/>
            <w:shd w:val="clear" w:color="auto" w:fill="auto"/>
          </w:tcPr>
          <w:p w14:paraId="0264D7B5"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3119" w:type="dxa"/>
            <w:shd w:val="clear" w:color="auto" w:fill="auto"/>
          </w:tcPr>
          <w:p w14:paraId="71B3F220"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r>
      <w:tr w:rsidR="00103D18" w:rsidRPr="007B7470" w14:paraId="7932D2FD" w14:textId="77777777" w:rsidTr="009A347A">
        <w:trPr>
          <w:trHeight w:val="284"/>
        </w:trPr>
        <w:tc>
          <w:tcPr>
            <w:tcW w:w="2943" w:type="dxa"/>
            <w:shd w:val="clear" w:color="auto" w:fill="auto"/>
          </w:tcPr>
          <w:p w14:paraId="3E4EC197" w14:textId="77777777" w:rsid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 xml:space="preserve">Vplyv na bilanciu  v p. b. </w:t>
            </w:r>
          </w:p>
          <w:p w14:paraId="6E659D76" w14:textId="77777777" w:rsidR="00103D18" w:rsidRP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HDP</w:t>
            </w:r>
          </w:p>
        </w:tc>
        <w:tc>
          <w:tcPr>
            <w:tcW w:w="1447" w:type="dxa"/>
            <w:shd w:val="clear" w:color="auto" w:fill="auto"/>
          </w:tcPr>
          <w:p w14:paraId="4B56AF61"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5792EB49"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3A594190"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418" w:type="dxa"/>
            <w:shd w:val="clear" w:color="auto" w:fill="auto"/>
          </w:tcPr>
          <w:p w14:paraId="0D34F653"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984" w:type="dxa"/>
            <w:shd w:val="clear" w:color="auto" w:fill="auto"/>
          </w:tcPr>
          <w:p w14:paraId="43DA8CCB"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3119" w:type="dxa"/>
            <w:shd w:val="clear" w:color="auto" w:fill="auto"/>
          </w:tcPr>
          <w:p w14:paraId="32581BE4"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r>
    </w:tbl>
    <w:p w14:paraId="2DD539F5" w14:textId="77777777" w:rsidR="00103D18" w:rsidRPr="007B7470" w:rsidRDefault="00103D18" w:rsidP="00103D18">
      <w:pPr>
        <w:spacing w:after="0" w:line="240" w:lineRule="auto"/>
        <w:jc w:val="both"/>
        <w:rPr>
          <w:rFonts w:ascii="Times New Roman" w:eastAsia="Times New Roman" w:hAnsi="Times New Roman" w:cs="Times New Roman"/>
          <w:sz w:val="24"/>
          <w:szCs w:val="24"/>
          <w:lang w:eastAsia="sk-SK"/>
        </w:rPr>
      </w:pPr>
    </w:p>
    <w:p w14:paraId="681D4431" w14:textId="77777777" w:rsidR="00103D18" w:rsidRPr="007B7470" w:rsidRDefault="00103D18" w:rsidP="00103D18">
      <w:pPr>
        <w:spacing w:after="0" w:line="240" w:lineRule="auto"/>
        <w:jc w:val="both"/>
        <w:rPr>
          <w:rFonts w:ascii="Times New Roman" w:eastAsia="Times New Roman" w:hAnsi="Times New Roman" w:cs="Times New Roman"/>
          <w:b/>
          <w:sz w:val="24"/>
          <w:szCs w:val="24"/>
          <w:lang w:eastAsia="sk-SK"/>
        </w:rPr>
      </w:pPr>
      <w:r w:rsidRPr="00CC3E1A">
        <w:rPr>
          <w:rFonts w:ascii="Times New Roman" w:eastAsia="Times New Roman" w:hAnsi="Times New Roman" w:cs="Times New Roman"/>
          <w:b/>
          <w:lang w:eastAsia="sk-SK"/>
        </w:rPr>
        <w:t>Poznámka</w:t>
      </w:r>
      <w:r w:rsidRPr="007B7470">
        <w:rPr>
          <w:rFonts w:ascii="Times New Roman" w:eastAsia="Times New Roman" w:hAnsi="Times New Roman" w:cs="Times New Roman"/>
          <w:b/>
          <w:sz w:val="24"/>
          <w:szCs w:val="24"/>
          <w:lang w:eastAsia="sk-SK"/>
        </w:rPr>
        <w:t xml:space="preserve">: </w:t>
      </w:r>
    </w:p>
    <w:p w14:paraId="45CE03FC" w14:textId="77777777" w:rsidR="00103D18" w:rsidRPr="00CC3E1A" w:rsidRDefault="00103D18" w:rsidP="00103D18">
      <w:pPr>
        <w:spacing w:after="0" w:line="240" w:lineRule="auto"/>
        <w:jc w:val="both"/>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 xml:space="preserve">Písmeno „d“ označuje prvý rok nasledujúcej dekády. </w:t>
      </w:r>
    </w:p>
    <w:p w14:paraId="0B7BC1E0" w14:textId="77777777" w:rsidR="00CC478D" w:rsidRPr="00CC3E1A" w:rsidRDefault="00103D18" w:rsidP="00103D18">
      <w:pPr>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Tabuľka sa vypĺňa pre každé opatrenie samostatne. V prípade zavádzania viacerých opatrení sa vyplní aj tabuľka obsahujúca aj kumulatívny efekt zavedenia všetkých opatrení súčasne.“</w:t>
      </w:r>
    </w:p>
    <w:p w14:paraId="25C9745C" w14:textId="77777777" w:rsidR="00103D18" w:rsidRDefault="00103D18" w:rsidP="00103D18">
      <w:pPr>
        <w:rPr>
          <w:rFonts w:ascii="Times New Roman" w:eastAsia="Times New Roman" w:hAnsi="Times New Roman" w:cs="Times New Roman"/>
          <w:sz w:val="24"/>
          <w:szCs w:val="24"/>
          <w:lang w:eastAsia="sk-SK"/>
        </w:rPr>
      </w:pPr>
    </w:p>
    <w:p w14:paraId="3C81B9ED" w14:textId="77777777" w:rsidR="00103D18" w:rsidRDefault="00103D18" w:rsidP="00103D18">
      <w:pPr>
        <w:rPr>
          <w:rFonts w:ascii="Times New Roman" w:eastAsia="Times New Roman" w:hAnsi="Times New Roman" w:cs="Times New Roman"/>
          <w:sz w:val="24"/>
          <w:szCs w:val="24"/>
          <w:lang w:eastAsia="sk-SK"/>
        </w:rPr>
      </w:pPr>
    </w:p>
    <w:p w14:paraId="57C67E08" w14:textId="77777777" w:rsidR="00103D18" w:rsidRDefault="00103D18" w:rsidP="00103D18">
      <w:pPr>
        <w:rPr>
          <w:rFonts w:ascii="Times New Roman" w:eastAsia="Times New Roman" w:hAnsi="Times New Roman" w:cs="Times New Roman"/>
          <w:sz w:val="24"/>
          <w:szCs w:val="24"/>
          <w:lang w:eastAsia="sk-SK"/>
        </w:rPr>
      </w:pPr>
    </w:p>
    <w:p w14:paraId="74DDD6F0" w14:textId="77777777" w:rsidR="00103D18" w:rsidRDefault="00103D18" w:rsidP="00103D18">
      <w:pPr>
        <w:rPr>
          <w:rFonts w:ascii="Times New Roman" w:eastAsia="Times New Roman" w:hAnsi="Times New Roman" w:cs="Times New Roman"/>
          <w:sz w:val="24"/>
          <w:szCs w:val="24"/>
          <w:lang w:eastAsia="sk-SK"/>
        </w:rPr>
      </w:pPr>
    </w:p>
    <w:p w14:paraId="7D8BB3D0" w14:textId="77777777" w:rsidR="00103D18" w:rsidRDefault="00103D18" w:rsidP="00103D18">
      <w:pPr>
        <w:rPr>
          <w:rFonts w:ascii="Times New Roman" w:eastAsia="Times New Roman" w:hAnsi="Times New Roman" w:cs="Times New Roman"/>
          <w:sz w:val="24"/>
          <w:szCs w:val="24"/>
          <w:lang w:eastAsia="sk-SK"/>
        </w:rPr>
      </w:pPr>
    </w:p>
    <w:p w14:paraId="737E31DD" w14:textId="77777777" w:rsidR="00103D18" w:rsidRDefault="00103D18" w:rsidP="00103D18">
      <w:pPr>
        <w:rPr>
          <w:rFonts w:ascii="Times New Roman" w:eastAsia="Times New Roman" w:hAnsi="Times New Roman" w:cs="Times New Roman"/>
          <w:sz w:val="24"/>
          <w:szCs w:val="24"/>
          <w:lang w:eastAsia="sk-SK"/>
        </w:rPr>
      </w:pPr>
    </w:p>
    <w:p w14:paraId="4B4BDC80" w14:textId="77777777" w:rsidR="008F3C70" w:rsidRDefault="008F3C70" w:rsidP="00103D18">
      <w:pPr>
        <w:rPr>
          <w:rFonts w:ascii="Times New Roman" w:eastAsia="Times New Roman" w:hAnsi="Times New Roman" w:cs="Times New Roman"/>
          <w:sz w:val="24"/>
          <w:szCs w:val="24"/>
          <w:lang w:eastAsia="sk-SK"/>
        </w:rPr>
        <w:sectPr w:rsidR="008F3C70" w:rsidSect="00CF33FE">
          <w:headerReference w:type="default" r:id="rId17"/>
          <w:footerReference w:type="default" r:id="rId18"/>
          <w:pgSz w:w="16838" w:h="11906" w:orient="landscape"/>
          <w:pgMar w:top="1418" w:right="993" w:bottom="1417" w:left="1418" w:header="709" w:footer="709" w:gutter="0"/>
          <w:pgNumType w:start="7"/>
          <w:cols w:space="708"/>
          <w:docGrid w:linePitch="360"/>
        </w:sectPr>
      </w:pPr>
    </w:p>
    <w:p w14:paraId="7D8EE0C1" w14:textId="77777777" w:rsidR="00EC53BA" w:rsidRPr="00895898" w:rsidRDefault="00EC53BA" w:rsidP="008F3C70">
      <w:pPr>
        <w:widowControl w:val="0"/>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14:paraId="6D513E60" w14:textId="77777777" w:rsidR="00EC53BA" w:rsidRPr="00895898" w:rsidRDefault="00EC53BA" w:rsidP="008F3C70">
      <w:pPr>
        <w:widowControl w:val="0"/>
        <w:jc w:val="both"/>
        <w:rPr>
          <w:rFonts w:ascii="Times New Roman" w:eastAsia="Calibri" w:hAnsi="Times New Roman" w:cs="Times New Roman"/>
          <w:b/>
          <w:sz w:val="24"/>
          <w:szCs w:val="24"/>
        </w:rPr>
      </w:pPr>
    </w:p>
    <w:p w14:paraId="60D2E93A" w14:textId="77777777" w:rsidR="00EC53BA" w:rsidRPr="007A3739" w:rsidRDefault="00EC53BA" w:rsidP="008F3C70">
      <w:pPr>
        <w:pStyle w:val="Normlnywebov"/>
        <w:widowControl w:val="0"/>
        <w:spacing w:line="276" w:lineRule="auto"/>
        <w:jc w:val="both"/>
        <w:rPr>
          <w:sz w:val="22"/>
          <w:szCs w:val="22"/>
        </w:rPr>
      </w:pPr>
      <w:r w:rsidRPr="007A3739">
        <w:rPr>
          <w:rFonts w:eastAsia="Calibri"/>
          <w:b/>
          <w:sz w:val="22"/>
          <w:szCs w:val="22"/>
        </w:rPr>
        <w:t>Názov materiálu:</w:t>
      </w:r>
      <w:r w:rsidRPr="007F253B">
        <w:t xml:space="preserve"> </w:t>
      </w:r>
      <w:r w:rsidRPr="007A3739">
        <w:rPr>
          <w:sz w:val="22"/>
          <w:szCs w:val="22"/>
        </w:rPr>
        <w:t xml:space="preserve">Návrh 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w:t>
      </w:r>
    </w:p>
    <w:p w14:paraId="164A35C2" w14:textId="77777777" w:rsidR="00EC53BA" w:rsidRDefault="00EC53BA" w:rsidP="008F3C70">
      <w:pPr>
        <w:pStyle w:val="Normlnywebov"/>
        <w:widowControl w:val="0"/>
        <w:spacing w:line="276" w:lineRule="auto"/>
        <w:jc w:val="both"/>
        <w:rPr>
          <w:bCs/>
        </w:rPr>
      </w:pPr>
    </w:p>
    <w:p w14:paraId="37FD053B" w14:textId="77777777" w:rsidR="00EC53BA" w:rsidRPr="001F1B43" w:rsidRDefault="00EC53BA" w:rsidP="008F3C70">
      <w:pPr>
        <w:widowControl w:val="0"/>
        <w:jc w:val="both"/>
        <w:rPr>
          <w:rFonts w:ascii="Times New Roman" w:eastAsia="Calibri" w:hAnsi="Times New Roman" w:cs="Times New Roman"/>
          <w:b/>
          <w:sz w:val="24"/>
          <w:szCs w:val="24"/>
        </w:rPr>
      </w:pPr>
      <w:r w:rsidRPr="007A3739">
        <w:rPr>
          <w:rFonts w:ascii="Times New Roman" w:eastAsia="Calibri" w:hAnsi="Times New Roman" w:cs="Times New Roman"/>
          <w:b/>
        </w:rPr>
        <w:t>Predkladateľ</w:t>
      </w:r>
      <w:r w:rsidRPr="001F1B43">
        <w:rPr>
          <w:rFonts w:ascii="Times New Roman" w:eastAsia="Calibri" w:hAnsi="Times New Roman" w:cs="Times New Roman"/>
          <w:b/>
          <w:sz w:val="24"/>
          <w:szCs w:val="24"/>
        </w:rPr>
        <w:t>:</w:t>
      </w:r>
    </w:p>
    <w:p w14:paraId="00BE734B" w14:textId="77777777" w:rsidR="00EC53BA" w:rsidRPr="007A3739" w:rsidRDefault="00EC53BA" w:rsidP="008F3C70">
      <w:pPr>
        <w:widowControl w:val="0"/>
        <w:tabs>
          <w:tab w:val="left" w:pos="284"/>
        </w:tabs>
        <w:spacing w:before="120" w:after="0" w:line="240" w:lineRule="auto"/>
        <w:rPr>
          <w:rFonts w:ascii="Times New Roman" w:eastAsia="Times New Roman" w:hAnsi="Times New Roman" w:cs="Times New Roman"/>
          <w:lang w:eastAsia="sk-SK"/>
        </w:rPr>
      </w:pPr>
      <w:r w:rsidRPr="007A3739">
        <w:rPr>
          <w:rFonts w:ascii="Times New Roman" w:eastAsia="Times New Roman" w:hAnsi="Times New Roman" w:cs="Times New Roman"/>
          <w:lang w:eastAsia="sk-SK"/>
        </w:rPr>
        <w:t>Ministerstvo financií Slovenskej republiky</w:t>
      </w:r>
    </w:p>
    <w:p w14:paraId="2559A2F8" w14:textId="77777777" w:rsidR="00EC53BA" w:rsidRDefault="00EC53BA" w:rsidP="008F3C70">
      <w:pPr>
        <w:widowControl w:val="0"/>
        <w:jc w:val="both"/>
        <w:rPr>
          <w:rFonts w:ascii="Times New Roman" w:eastAsia="Calibri" w:hAnsi="Times New Roman" w:cs="Times New Roman"/>
          <w:b/>
          <w:sz w:val="24"/>
          <w:szCs w:val="24"/>
        </w:rPr>
      </w:pPr>
    </w:p>
    <w:p w14:paraId="7ACDC9B3" w14:textId="77777777" w:rsidR="00EC53BA" w:rsidRPr="007A3739" w:rsidRDefault="00EC53BA" w:rsidP="008F3C70">
      <w:pPr>
        <w:widowControl w:val="0"/>
        <w:jc w:val="both"/>
        <w:rPr>
          <w:rFonts w:ascii="Times New Roman" w:eastAsia="Calibri" w:hAnsi="Times New Roman" w:cs="Times New Roman"/>
          <w:b/>
        </w:rPr>
      </w:pPr>
      <w:r w:rsidRPr="007A3739">
        <w:rPr>
          <w:rFonts w:ascii="Times New Roman" w:eastAsia="Calibri" w:hAnsi="Times New Roman" w:cs="Times New Roman"/>
          <w:b/>
        </w:rPr>
        <w:t>3.1 Náklady regulácie</w:t>
      </w:r>
    </w:p>
    <w:p w14:paraId="43BFD9EA" w14:textId="77777777" w:rsidR="00EC53BA" w:rsidRPr="007A3739" w:rsidRDefault="00EC53BA" w:rsidP="008F3C70">
      <w:pPr>
        <w:widowControl w:val="0"/>
        <w:tabs>
          <w:tab w:val="left" w:pos="8025"/>
        </w:tabs>
        <w:rPr>
          <w:rFonts w:ascii="Times New Roman" w:eastAsia="Calibri" w:hAnsi="Times New Roman" w:cs="Times New Roman"/>
          <w:bCs/>
          <w:i/>
          <w:iCs/>
        </w:rPr>
      </w:pPr>
      <w:r w:rsidRPr="007A3739">
        <w:rPr>
          <w:rFonts w:ascii="Times New Roman" w:eastAsia="Calibri" w:hAnsi="Times New Roman" w:cs="Times New Roman"/>
          <w:b/>
          <w:i/>
          <w:iCs/>
        </w:rPr>
        <w:t xml:space="preserve">3.1.1 Súhrnná tabuľka nákladov regulácie </w:t>
      </w:r>
      <w:r w:rsidRPr="007A3739">
        <w:rPr>
          <w:rFonts w:ascii="Times New Roman" w:eastAsia="Calibri" w:hAnsi="Times New Roman" w:cs="Times New Roman"/>
          <w:b/>
          <w:i/>
          <w:iCs/>
        </w:rPr>
        <w:tab/>
      </w:r>
    </w:p>
    <w:p w14:paraId="3217CE3C" w14:textId="77777777" w:rsidR="00EC53BA" w:rsidRPr="007A3739" w:rsidRDefault="00EC53BA" w:rsidP="008F3C70">
      <w:pPr>
        <w:widowControl w:val="0"/>
        <w:jc w:val="both"/>
        <w:rPr>
          <w:rFonts w:ascii="Times New Roman" w:eastAsia="Calibri" w:hAnsi="Times New Roman" w:cs="Times New Roman"/>
          <w:i/>
        </w:rPr>
      </w:pPr>
      <w:r w:rsidRPr="007A3739">
        <w:rPr>
          <w:rFonts w:ascii="Times New Roman" w:eastAsia="Calibri" w:hAnsi="Times New Roman" w:cs="Times New Roman"/>
          <w:i/>
        </w:rPr>
        <w:t>Tabuľka č. 1: Zmeny nákladov (ročne) v prepočte na podnikateľské prostredie (PP), vyhodnotenie mechanizmu znižovania byrokracie a nákladov, náklady goldplatingu</w:t>
      </w:r>
      <w:r w:rsidRPr="007A3739">
        <w:rPr>
          <w:rStyle w:val="Odkaznapoznmkupodiarou"/>
          <w:rFonts w:ascii="Times New Roman" w:eastAsia="Calibri" w:hAnsi="Times New Roman" w:cs="Times New Roman"/>
          <w:i/>
        </w:rPr>
        <w:footnoteReference w:id="1"/>
      </w:r>
      <w:r w:rsidRPr="007A3739">
        <w:rPr>
          <w:rFonts w:ascii="Times New Roman" w:eastAsia="Calibri" w:hAnsi="Times New Roman" w:cs="Times New Roman"/>
          <w:i/>
        </w:rPr>
        <w:t xml:space="preserve"> na podnikateľské prostredie. </w:t>
      </w:r>
    </w:p>
    <w:p w14:paraId="564FA0AC" w14:textId="77777777" w:rsidR="00EC53BA" w:rsidRPr="007A3739" w:rsidRDefault="00EC53BA" w:rsidP="008F3C70">
      <w:pPr>
        <w:widowControl w:val="0"/>
        <w:jc w:val="both"/>
        <w:rPr>
          <w:rFonts w:ascii="Times New Roman" w:eastAsia="Calibri" w:hAnsi="Times New Roman" w:cs="Times New Roman"/>
          <w:i/>
        </w:rPr>
      </w:pPr>
      <w:r w:rsidRPr="007A3739">
        <w:rPr>
          <w:rFonts w:ascii="Times New Roman" w:eastAsia="Calibri" w:hAnsi="Times New Roman" w:cs="Times New Roman"/>
          <w:i/>
        </w:rPr>
        <w:t xml:space="preserve">Nahraďte rovnakou tabuľkou po vyplnení Kalkulačky nákladov podnikateľského prostredia, ktorá je povinnou prílohou tejto analýzy a nájdete ju na </w:t>
      </w:r>
      <w:hyperlink r:id="rId19" w:history="1">
        <w:r w:rsidRPr="007A3739">
          <w:rPr>
            <w:rFonts w:ascii="Times New Roman" w:eastAsia="Calibri" w:hAnsi="Times New Roman" w:cs="Times New Roman"/>
            <w:i/>
            <w:color w:val="0563C1"/>
            <w:u w:val="single"/>
          </w:rPr>
          <w:t>webovom sídle MH SR</w:t>
        </w:r>
      </w:hyperlink>
      <w:r w:rsidRPr="007A3739">
        <w:rPr>
          <w:rFonts w:ascii="Times New Roman" w:eastAsia="Calibri" w:hAnsi="Times New Roman" w:cs="Times New Roman"/>
          <w:i/>
        </w:rPr>
        <w:t>, (ďalej len „Kalkulačka nákladov“):</w:t>
      </w:r>
    </w:p>
    <w:tbl>
      <w:tblPr>
        <w:tblW w:w="8658" w:type="dxa"/>
        <w:tblInd w:w="70" w:type="dxa"/>
        <w:tblCellMar>
          <w:left w:w="70" w:type="dxa"/>
          <w:right w:w="70" w:type="dxa"/>
        </w:tblCellMar>
        <w:tblLook w:val="04A0" w:firstRow="1" w:lastRow="0" w:firstColumn="1" w:lastColumn="0" w:noHBand="0" w:noVBand="1"/>
      </w:tblPr>
      <w:tblGrid>
        <w:gridCol w:w="212"/>
        <w:gridCol w:w="3139"/>
        <w:gridCol w:w="2325"/>
        <w:gridCol w:w="150"/>
        <w:gridCol w:w="212"/>
        <w:gridCol w:w="2033"/>
        <w:gridCol w:w="375"/>
        <w:gridCol w:w="212"/>
      </w:tblGrid>
      <w:tr w:rsidR="00EC53BA" w:rsidRPr="00C929AE" w14:paraId="37F9BCF4" w14:textId="77777777" w:rsidTr="009A347A">
        <w:trPr>
          <w:trHeight w:val="189"/>
        </w:trPr>
        <w:tc>
          <w:tcPr>
            <w:tcW w:w="212" w:type="dxa"/>
            <w:tcBorders>
              <w:top w:val="nil"/>
              <w:left w:val="nil"/>
              <w:bottom w:val="nil"/>
              <w:right w:val="nil"/>
            </w:tcBorders>
            <w:shd w:val="clear" w:color="auto" w:fill="auto"/>
            <w:noWrap/>
            <w:vAlign w:val="bottom"/>
            <w:hideMark/>
          </w:tcPr>
          <w:p w14:paraId="47D3CE43"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nil"/>
              <w:bottom w:val="nil"/>
              <w:right w:val="nil"/>
            </w:tcBorders>
            <w:shd w:val="clear" w:color="auto" w:fill="auto"/>
            <w:noWrap/>
            <w:vAlign w:val="bottom"/>
            <w:hideMark/>
          </w:tcPr>
          <w:p w14:paraId="239CA9C6"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475" w:type="dxa"/>
            <w:gridSpan w:val="2"/>
            <w:tcBorders>
              <w:top w:val="nil"/>
              <w:left w:val="nil"/>
              <w:bottom w:val="nil"/>
              <w:right w:val="nil"/>
            </w:tcBorders>
            <w:shd w:val="clear" w:color="auto" w:fill="auto"/>
            <w:noWrap/>
            <w:vAlign w:val="bottom"/>
            <w:hideMark/>
          </w:tcPr>
          <w:p w14:paraId="4C29C4B4"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12" w:type="dxa"/>
            <w:tcBorders>
              <w:top w:val="nil"/>
              <w:left w:val="nil"/>
              <w:bottom w:val="nil"/>
              <w:right w:val="nil"/>
            </w:tcBorders>
            <w:shd w:val="clear" w:color="auto" w:fill="auto"/>
            <w:noWrap/>
            <w:vAlign w:val="bottom"/>
            <w:hideMark/>
          </w:tcPr>
          <w:p w14:paraId="796C1AEF"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408" w:type="dxa"/>
            <w:gridSpan w:val="2"/>
            <w:tcBorders>
              <w:top w:val="nil"/>
              <w:left w:val="nil"/>
              <w:bottom w:val="nil"/>
              <w:right w:val="nil"/>
            </w:tcBorders>
            <w:shd w:val="clear" w:color="auto" w:fill="auto"/>
            <w:noWrap/>
            <w:vAlign w:val="bottom"/>
            <w:hideMark/>
          </w:tcPr>
          <w:p w14:paraId="43523218"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12" w:type="dxa"/>
            <w:tcBorders>
              <w:top w:val="nil"/>
              <w:left w:val="nil"/>
              <w:bottom w:val="nil"/>
              <w:right w:val="nil"/>
            </w:tcBorders>
            <w:shd w:val="clear" w:color="auto" w:fill="auto"/>
            <w:noWrap/>
            <w:vAlign w:val="bottom"/>
            <w:hideMark/>
          </w:tcPr>
          <w:p w14:paraId="43589284" w14:textId="77777777" w:rsidR="00EC53BA" w:rsidRPr="00C929AE" w:rsidRDefault="00EC53BA" w:rsidP="008F3C70">
            <w:pPr>
              <w:widowControl w:val="0"/>
              <w:spacing w:after="0" w:line="240" w:lineRule="auto"/>
              <w:jc w:val="center"/>
              <w:rPr>
                <w:rFonts w:ascii="Times New Roman" w:eastAsia="Times New Roman" w:hAnsi="Times New Roman" w:cs="Times New Roman"/>
                <w:color w:val="000000"/>
                <w:sz w:val="20"/>
                <w:szCs w:val="20"/>
                <w:lang w:eastAsia="sk-SK"/>
              </w:rPr>
            </w:pPr>
          </w:p>
        </w:tc>
      </w:tr>
      <w:tr w:rsidR="00EC53BA" w:rsidRPr="00C929AE" w14:paraId="1F8F65D0" w14:textId="77777777" w:rsidTr="009A347A">
        <w:trPr>
          <w:gridAfter w:val="2"/>
          <w:wAfter w:w="587" w:type="dxa"/>
          <w:trHeight w:val="316"/>
        </w:trPr>
        <w:tc>
          <w:tcPr>
            <w:tcW w:w="212" w:type="dxa"/>
            <w:tcBorders>
              <w:top w:val="nil"/>
              <w:left w:val="nil"/>
              <w:bottom w:val="nil"/>
              <w:right w:val="nil"/>
            </w:tcBorders>
            <w:shd w:val="clear" w:color="auto" w:fill="auto"/>
            <w:noWrap/>
            <w:vAlign w:val="bottom"/>
            <w:hideMark/>
          </w:tcPr>
          <w:p w14:paraId="02D29ECE"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230738" w14:textId="77777777" w:rsidR="00EC53BA" w:rsidRPr="007A3739" w:rsidRDefault="00EC53BA" w:rsidP="008F3C70">
            <w:pPr>
              <w:widowControl w:val="0"/>
              <w:spacing w:after="0" w:line="240" w:lineRule="auto"/>
              <w:jc w:val="center"/>
              <w:rPr>
                <w:rFonts w:ascii="Times New Roman" w:eastAsia="Times New Roman" w:hAnsi="Times New Roman" w:cs="Times New Roman"/>
                <w:b/>
                <w:bCs/>
                <w:i/>
                <w:iCs/>
                <w:color w:val="000000"/>
                <w:lang w:eastAsia="sk-SK"/>
              </w:rPr>
            </w:pPr>
            <w:r w:rsidRPr="007A3739">
              <w:rPr>
                <w:rFonts w:ascii="Times New Roman" w:eastAsia="Times New Roman" w:hAnsi="Times New Roman" w:cs="Times New Roman"/>
                <w:b/>
                <w:bCs/>
                <w:i/>
                <w:iCs/>
                <w:color w:val="000000"/>
                <w:lang w:eastAsia="sk-SK"/>
              </w:rPr>
              <w:t>TYP NÁKLADOV</w:t>
            </w:r>
          </w:p>
        </w:tc>
        <w:tc>
          <w:tcPr>
            <w:tcW w:w="2325" w:type="dxa"/>
            <w:tcBorders>
              <w:top w:val="single" w:sz="8" w:space="0" w:color="auto"/>
              <w:left w:val="nil"/>
              <w:bottom w:val="single" w:sz="4" w:space="0" w:color="auto"/>
              <w:right w:val="single" w:sz="4" w:space="0" w:color="auto"/>
            </w:tcBorders>
            <w:shd w:val="clear" w:color="000000" w:fill="FFC000"/>
            <w:vAlign w:val="center"/>
            <w:hideMark/>
          </w:tcPr>
          <w:p w14:paraId="0BD8ED01"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lang w:eastAsia="sk-SK"/>
              </w:rPr>
            </w:pPr>
            <w:r w:rsidRPr="007A3739">
              <w:rPr>
                <w:rFonts w:ascii="Times New Roman" w:eastAsia="Times New Roman" w:hAnsi="Times New Roman" w:cs="Times New Roman"/>
                <w:b/>
                <w:bCs/>
                <w:color w:val="000000"/>
                <w:lang w:eastAsia="sk-SK"/>
              </w:rPr>
              <w:t>Zvýšenie nákladov v € na PP</w:t>
            </w:r>
          </w:p>
        </w:tc>
        <w:tc>
          <w:tcPr>
            <w:tcW w:w="2395" w:type="dxa"/>
            <w:gridSpan w:val="3"/>
            <w:tcBorders>
              <w:top w:val="single" w:sz="8" w:space="0" w:color="auto"/>
              <w:left w:val="nil"/>
              <w:bottom w:val="single" w:sz="4" w:space="0" w:color="auto"/>
              <w:right w:val="single" w:sz="8" w:space="0" w:color="000000"/>
            </w:tcBorders>
            <w:shd w:val="clear" w:color="000000" w:fill="92D050"/>
            <w:vAlign w:val="center"/>
            <w:hideMark/>
          </w:tcPr>
          <w:p w14:paraId="1C08FAEF"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lang w:eastAsia="sk-SK"/>
              </w:rPr>
            </w:pPr>
            <w:r w:rsidRPr="007A3739">
              <w:rPr>
                <w:rFonts w:ascii="Times New Roman" w:eastAsia="Times New Roman" w:hAnsi="Times New Roman" w:cs="Times New Roman"/>
                <w:b/>
                <w:bCs/>
                <w:color w:val="000000"/>
                <w:lang w:eastAsia="sk-SK"/>
              </w:rPr>
              <w:t>Zníženie nákladov v € na PP</w:t>
            </w:r>
          </w:p>
        </w:tc>
      </w:tr>
      <w:tr w:rsidR="00EC53BA" w:rsidRPr="00C929AE" w14:paraId="18785FCC" w14:textId="77777777" w:rsidTr="009A347A">
        <w:trPr>
          <w:gridAfter w:val="2"/>
          <w:wAfter w:w="587" w:type="dxa"/>
          <w:trHeight w:val="421"/>
        </w:trPr>
        <w:tc>
          <w:tcPr>
            <w:tcW w:w="212" w:type="dxa"/>
            <w:tcBorders>
              <w:top w:val="nil"/>
              <w:left w:val="nil"/>
              <w:bottom w:val="nil"/>
              <w:right w:val="nil"/>
            </w:tcBorders>
            <w:shd w:val="clear" w:color="auto" w:fill="auto"/>
            <w:noWrap/>
            <w:vAlign w:val="bottom"/>
            <w:hideMark/>
          </w:tcPr>
          <w:p w14:paraId="5B419EDF"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7F78C7B2"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5791ED13"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eastAsia="Times New Roman" w:hAnsi="Times New Roman" w:cs="Times New Roman"/>
                <w:b/>
                <w:bCs/>
                <w:color w:val="000000"/>
                <w:sz w:val="20"/>
                <w:szCs w:val="20"/>
                <w:lang w:eastAsia="sk-SK"/>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1440E405"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eastAsia="Times New Roman" w:hAnsi="Times New Roman" w:cs="Times New Roman"/>
                <w:b/>
                <w:bCs/>
                <w:color w:val="000000"/>
                <w:sz w:val="20"/>
                <w:szCs w:val="20"/>
                <w:lang w:eastAsia="sk-SK"/>
              </w:rPr>
              <w:t>0</w:t>
            </w:r>
          </w:p>
        </w:tc>
      </w:tr>
      <w:tr w:rsidR="00EC53BA" w:rsidRPr="00C929AE" w14:paraId="53AA7FD8" w14:textId="77777777" w:rsidTr="009A347A">
        <w:trPr>
          <w:gridAfter w:val="2"/>
          <w:wAfter w:w="587" w:type="dxa"/>
          <w:trHeight w:val="295"/>
        </w:trPr>
        <w:tc>
          <w:tcPr>
            <w:tcW w:w="212" w:type="dxa"/>
            <w:tcBorders>
              <w:top w:val="nil"/>
              <w:left w:val="nil"/>
              <w:bottom w:val="nil"/>
              <w:right w:val="nil"/>
            </w:tcBorders>
            <w:shd w:val="clear" w:color="auto" w:fill="auto"/>
            <w:noWrap/>
            <w:vAlign w:val="bottom"/>
            <w:hideMark/>
          </w:tcPr>
          <w:p w14:paraId="5CFFCFA0"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5CCD2802"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4584AA5F"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0D88C998"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EC53BA" w:rsidRPr="00C929AE" w14:paraId="15C3819D" w14:textId="77777777" w:rsidTr="009A347A">
        <w:trPr>
          <w:gridAfter w:val="2"/>
          <w:wAfter w:w="587" w:type="dxa"/>
          <w:trHeight w:val="306"/>
        </w:trPr>
        <w:tc>
          <w:tcPr>
            <w:tcW w:w="212" w:type="dxa"/>
            <w:tcBorders>
              <w:top w:val="nil"/>
              <w:left w:val="nil"/>
              <w:bottom w:val="nil"/>
              <w:right w:val="nil"/>
            </w:tcBorders>
            <w:shd w:val="clear" w:color="auto" w:fill="auto"/>
            <w:noWrap/>
            <w:vAlign w:val="bottom"/>
            <w:hideMark/>
          </w:tcPr>
          <w:p w14:paraId="4EF76114"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03540D6B"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4A936A7B"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1468DBC3"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EC53BA" w:rsidRPr="00C929AE" w14:paraId="35808F23" w14:textId="77777777" w:rsidTr="009A347A">
        <w:trPr>
          <w:gridAfter w:val="2"/>
          <w:wAfter w:w="587" w:type="dxa"/>
          <w:trHeight w:val="337"/>
        </w:trPr>
        <w:tc>
          <w:tcPr>
            <w:tcW w:w="212" w:type="dxa"/>
            <w:tcBorders>
              <w:top w:val="nil"/>
              <w:left w:val="nil"/>
              <w:bottom w:val="nil"/>
              <w:right w:val="nil"/>
            </w:tcBorders>
            <w:shd w:val="clear" w:color="auto" w:fill="auto"/>
            <w:noWrap/>
            <w:vAlign w:val="bottom"/>
            <w:hideMark/>
          </w:tcPr>
          <w:p w14:paraId="0850193D"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03E4EB4B"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00233D38"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62F03DD2"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EC53BA" w:rsidRPr="00C929AE" w14:paraId="4C717D92" w14:textId="77777777" w:rsidTr="009A347A">
        <w:trPr>
          <w:gridAfter w:val="2"/>
          <w:wAfter w:w="587" w:type="dxa"/>
          <w:trHeight w:val="337"/>
        </w:trPr>
        <w:tc>
          <w:tcPr>
            <w:tcW w:w="212" w:type="dxa"/>
            <w:tcBorders>
              <w:top w:val="nil"/>
              <w:left w:val="nil"/>
              <w:bottom w:val="nil"/>
              <w:right w:val="nil"/>
            </w:tcBorders>
            <w:shd w:val="clear" w:color="auto" w:fill="auto"/>
            <w:noWrap/>
            <w:vAlign w:val="bottom"/>
          </w:tcPr>
          <w:p w14:paraId="1FFFFE85"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tcPr>
          <w:p w14:paraId="3AD3EEC3"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325" w:type="dxa"/>
            <w:tcBorders>
              <w:top w:val="single" w:sz="4" w:space="0" w:color="auto"/>
              <w:left w:val="single" w:sz="4" w:space="0" w:color="auto"/>
              <w:bottom w:val="nil"/>
              <w:right w:val="single" w:sz="4" w:space="0" w:color="auto"/>
            </w:tcBorders>
            <w:shd w:val="clear" w:color="000000" w:fill="FFC000"/>
            <w:vAlign w:val="center"/>
          </w:tcPr>
          <w:p w14:paraId="6F7B7C63"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499</w:t>
            </w:r>
          </w:p>
        </w:tc>
        <w:tc>
          <w:tcPr>
            <w:tcW w:w="2395" w:type="dxa"/>
            <w:gridSpan w:val="3"/>
            <w:tcBorders>
              <w:top w:val="single" w:sz="4" w:space="0" w:color="auto"/>
              <w:left w:val="nil"/>
              <w:bottom w:val="nil"/>
              <w:right w:val="single" w:sz="8" w:space="0" w:color="auto"/>
            </w:tcBorders>
            <w:shd w:val="clear" w:color="000000" w:fill="92D050"/>
            <w:vAlign w:val="center"/>
          </w:tcPr>
          <w:p w14:paraId="6F5FE217"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10 552</w:t>
            </w:r>
          </w:p>
        </w:tc>
      </w:tr>
      <w:tr w:rsidR="00EC53BA" w:rsidRPr="00C929AE" w14:paraId="54A2AB79" w14:textId="77777777" w:rsidTr="009A347A">
        <w:trPr>
          <w:gridAfter w:val="2"/>
          <w:wAfter w:w="587" w:type="dxa"/>
          <w:trHeight w:val="421"/>
        </w:trPr>
        <w:tc>
          <w:tcPr>
            <w:tcW w:w="212" w:type="dxa"/>
            <w:tcBorders>
              <w:top w:val="nil"/>
              <w:left w:val="nil"/>
              <w:bottom w:val="nil"/>
              <w:right w:val="nil"/>
            </w:tcBorders>
            <w:shd w:val="clear" w:color="auto" w:fill="auto"/>
            <w:noWrap/>
            <w:vAlign w:val="bottom"/>
            <w:hideMark/>
          </w:tcPr>
          <w:p w14:paraId="38EB3590"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8" w:space="0" w:color="auto"/>
              <w:right w:val="single" w:sz="4" w:space="0" w:color="auto"/>
            </w:tcBorders>
            <w:shd w:val="clear" w:color="auto" w:fill="auto"/>
            <w:vAlign w:val="center"/>
            <w:hideMark/>
          </w:tcPr>
          <w:p w14:paraId="3272A1E4"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325" w:type="dxa"/>
            <w:tcBorders>
              <w:top w:val="single" w:sz="8" w:space="0" w:color="auto"/>
              <w:left w:val="single" w:sz="4" w:space="0" w:color="auto"/>
              <w:bottom w:val="single" w:sz="8" w:space="0" w:color="auto"/>
              <w:right w:val="single" w:sz="4" w:space="0" w:color="auto"/>
            </w:tcBorders>
            <w:shd w:val="clear" w:color="000000" w:fill="FFC000"/>
            <w:vAlign w:val="center"/>
          </w:tcPr>
          <w:p w14:paraId="72B973BA"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eastAsia="Times New Roman" w:hAnsi="Times New Roman" w:cs="Times New Roman"/>
                <w:b/>
                <w:bCs/>
                <w:color w:val="000000"/>
                <w:sz w:val="20"/>
                <w:szCs w:val="20"/>
                <w:lang w:eastAsia="sk-SK"/>
              </w:rPr>
              <w:t>499</w:t>
            </w:r>
          </w:p>
        </w:tc>
        <w:tc>
          <w:tcPr>
            <w:tcW w:w="2395" w:type="dxa"/>
            <w:gridSpan w:val="3"/>
            <w:tcBorders>
              <w:top w:val="single" w:sz="8" w:space="0" w:color="auto"/>
              <w:left w:val="nil"/>
              <w:bottom w:val="single" w:sz="8" w:space="0" w:color="auto"/>
              <w:right w:val="single" w:sz="8" w:space="0" w:color="auto"/>
            </w:tcBorders>
            <w:shd w:val="clear" w:color="000000" w:fill="92D050"/>
            <w:vAlign w:val="center"/>
          </w:tcPr>
          <w:p w14:paraId="4F99A6D9"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10 552</w:t>
            </w:r>
          </w:p>
        </w:tc>
      </w:tr>
      <w:tr w:rsidR="00EC53BA" w:rsidRPr="00C929AE" w14:paraId="3637741E" w14:textId="77777777" w:rsidTr="009A347A">
        <w:trPr>
          <w:trHeight w:val="189"/>
        </w:trPr>
        <w:tc>
          <w:tcPr>
            <w:tcW w:w="212" w:type="dxa"/>
            <w:tcBorders>
              <w:top w:val="nil"/>
              <w:left w:val="nil"/>
              <w:bottom w:val="nil"/>
              <w:right w:val="nil"/>
            </w:tcBorders>
            <w:shd w:val="clear" w:color="auto" w:fill="auto"/>
            <w:noWrap/>
            <w:vAlign w:val="bottom"/>
            <w:hideMark/>
          </w:tcPr>
          <w:p w14:paraId="7F991639"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nil"/>
              <w:bottom w:val="nil"/>
              <w:right w:val="nil"/>
            </w:tcBorders>
            <w:shd w:val="clear" w:color="auto" w:fill="auto"/>
            <w:noWrap/>
            <w:vAlign w:val="bottom"/>
            <w:hideMark/>
          </w:tcPr>
          <w:p w14:paraId="2EF67DAC"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475" w:type="dxa"/>
            <w:gridSpan w:val="2"/>
            <w:tcBorders>
              <w:top w:val="nil"/>
              <w:left w:val="nil"/>
              <w:bottom w:val="nil"/>
              <w:right w:val="nil"/>
            </w:tcBorders>
            <w:shd w:val="clear" w:color="auto" w:fill="auto"/>
            <w:vAlign w:val="center"/>
            <w:hideMark/>
          </w:tcPr>
          <w:p w14:paraId="413FF7CA"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4E11E516"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408" w:type="dxa"/>
            <w:gridSpan w:val="2"/>
            <w:tcBorders>
              <w:top w:val="nil"/>
              <w:left w:val="nil"/>
              <w:bottom w:val="nil"/>
              <w:right w:val="nil"/>
            </w:tcBorders>
            <w:shd w:val="clear" w:color="auto" w:fill="auto"/>
            <w:vAlign w:val="center"/>
            <w:hideMark/>
          </w:tcPr>
          <w:p w14:paraId="1F8E5BA1"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335DF2C6"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r>
      <w:tr w:rsidR="00EC53BA" w:rsidRPr="00C929AE" w14:paraId="28D442F5" w14:textId="77777777" w:rsidTr="009A347A">
        <w:trPr>
          <w:gridAfter w:val="2"/>
          <w:wAfter w:w="587" w:type="dxa"/>
          <w:trHeight w:val="289"/>
        </w:trPr>
        <w:tc>
          <w:tcPr>
            <w:tcW w:w="212" w:type="dxa"/>
            <w:tcBorders>
              <w:top w:val="nil"/>
              <w:left w:val="nil"/>
              <w:bottom w:val="nil"/>
              <w:right w:val="nil"/>
            </w:tcBorders>
            <w:shd w:val="clear" w:color="auto" w:fill="auto"/>
            <w:noWrap/>
            <w:vAlign w:val="bottom"/>
            <w:hideMark/>
          </w:tcPr>
          <w:p w14:paraId="086E62BE"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DCEBD36" w14:textId="77777777" w:rsidR="00EC53BA" w:rsidRPr="007A3739" w:rsidRDefault="00EC53BA" w:rsidP="008F3C70">
            <w:pPr>
              <w:widowControl w:val="0"/>
              <w:spacing w:after="0" w:line="240" w:lineRule="auto"/>
              <w:rPr>
                <w:rFonts w:ascii="Times New Roman" w:eastAsia="Times New Roman" w:hAnsi="Times New Roman" w:cs="Times New Roman"/>
                <w:i/>
                <w:iCs/>
                <w:color w:val="000000"/>
                <w:lang w:eastAsia="sk-SK"/>
              </w:rPr>
            </w:pPr>
            <w:r w:rsidRPr="007A3739">
              <w:rPr>
                <w:rFonts w:ascii="Times New Roman" w:eastAsia="Times New Roman" w:hAnsi="Times New Roman" w:cs="Times New Roman"/>
                <w:i/>
                <w:iCs/>
                <w:color w:val="000000"/>
                <w:lang w:eastAsia="sk-SK"/>
              </w:rPr>
              <w:t>Harmonizácia práva EÚ</w:t>
            </w:r>
          </w:p>
        </w:tc>
        <w:tc>
          <w:tcPr>
            <w:tcW w:w="2325" w:type="dxa"/>
            <w:tcBorders>
              <w:top w:val="single" w:sz="8" w:space="0" w:color="auto"/>
              <w:left w:val="nil"/>
              <w:bottom w:val="single" w:sz="4" w:space="0" w:color="auto"/>
              <w:right w:val="single" w:sz="4" w:space="0" w:color="auto"/>
            </w:tcBorders>
            <w:shd w:val="clear" w:color="000000" w:fill="FFC000"/>
            <w:vAlign w:val="center"/>
            <w:hideMark/>
          </w:tcPr>
          <w:p w14:paraId="4F3D7E35"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lang w:eastAsia="sk-SK"/>
              </w:rPr>
            </w:pPr>
            <w:r w:rsidRPr="007A3739">
              <w:rPr>
                <w:rFonts w:ascii="Times New Roman" w:eastAsia="Times New Roman" w:hAnsi="Times New Roman" w:cs="Times New Roman"/>
                <w:b/>
                <w:bCs/>
                <w:color w:val="000000"/>
                <w:lang w:eastAsia="sk-SK"/>
              </w:rPr>
              <w:t>Zvýšenie nákladov v € na PP</w:t>
            </w:r>
          </w:p>
        </w:tc>
        <w:tc>
          <w:tcPr>
            <w:tcW w:w="2395" w:type="dxa"/>
            <w:gridSpan w:val="3"/>
            <w:tcBorders>
              <w:top w:val="single" w:sz="8" w:space="0" w:color="auto"/>
              <w:left w:val="nil"/>
              <w:bottom w:val="single" w:sz="4" w:space="0" w:color="auto"/>
              <w:right w:val="single" w:sz="8" w:space="0" w:color="000000"/>
            </w:tcBorders>
            <w:shd w:val="clear" w:color="000000" w:fill="92D050"/>
            <w:vAlign w:val="center"/>
            <w:hideMark/>
          </w:tcPr>
          <w:p w14:paraId="051F9CEF"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lang w:eastAsia="sk-SK"/>
              </w:rPr>
            </w:pPr>
            <w:r w:rsidRPr="007A3739">
              <w:rPr>
                <w:rFonts w:ascii="Times New Roman" w:eastAsia="Times New Roman" w:hAnsi="Times New Roman" w:cs="Times New Roman"/>
                <w:b/>
                <w:bCs/>
                <w:color w:val="000000"/>
                <w:lang w:eastAsia="sk-SK"/>
              </w:rPr>
              <w:t>Zníženie nákladov v € na PP</w:t>
            </w:r>
          </w:p>
        </w:tc>
      </w:tr>
      <w:tr w:rsidR="00EC53BA" w:rsidRPr="00C929AE" w14:paraId="269F1FC7" w14:textId="77777777" w:rsidTr="009A347A">
        <w:trPr>
          <w:gridAfter w:val="2"/>
          <w:wAfter w:w="587" w:type="dxa"/>
          <w:trHeight w:val="590"/>
        </w:trPr>
        <w:tc>
          <w:tcPr>
            <w:tcW w:w="212" w:type="dxa"/>
            <w:tcBorders>
              <w:top w:val="nil"/>
              <w:left w:val="nil"/>
              <w:bottom w:val="nil"/>
              <w:right w:val="nil"/>
            </w:tcBorders>
            <w:shd w:val="clear" w:color="auto" w:fill="auto"/>
            <w:noWrap/>
            <w:vAlign w:val="bottom"/>
            <w:hideMark/>
          </w:tcPr>
          <w:p w14:paraId="72198B71"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5907511B" w14:textId="77777777" w:rsidR="00EC53BA" w:rsidRPr="007A3739"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7A3739">
              <w:rPr>
                <w:rFonts w:ascii="Times New Roman" w:eastAsia="Times New Roman" w:hAnsi="Times New Roman" w:cs="Times New Roman"/>
                <w:b/>
                <w:bCs/>
                <w:i/>
                <w:iCs/>
                <w:color w:val="000000"/>
                <w:sz w:val="20"/>
                <w:szCs w:val="20"/>
                <w:lang w:eastAsia="sk-SK"/>
              </w:rPr>
              <w:t>F. Úplná harmonizácia práva EÚ</w:t>
            </w:r>
            <w:r w:rsidRPr="007A3739">
              <w:rPr>
                <w:rFonts w:ascii="Times New Roman" w:eastAsia="Times New Roman" w:hAnsi="Times New Roman" w:cs="Times New Roman"/>
                <w:b/>
                <w:bCs/>
                <w:i/>
                <w:iCs/>
                <w:color w:val="000000"/>
                <w:sz w:val="20"/>
                <w:szCs w:val="20"/>
                <w:lang w:eastAsia="sk-SK"/>
              </w:rPr>
              <w:br/>
            </w:r>
            <w:r w:rsidRPr="007A3739">
              <w:rPr>
                <w:rFonts w:ascii="Times New Roman" w:eastAsia="Times New Roman" w:hAnsi="Times New Roman" w:cs="Times New Roman"/>
                <w:i/>
                <w:iCs/>
                <w:color w:val="000000"/>
                <w:sz w:val="20"/>
                <w:szCs w:val="20"/>
                <w:lang w:eastAsia="sk-SK"/>
              </w:rPr>
              <w:t>(okrem daní, odvodov, ciel a poplatkov, ktorých cieľom je znižovať negatívne externality)</w:t>
            </w:r>
          </w:p>
        </w:tc>
        <w:tc>
          <w:tcPr>
            <w:tcW w:w="2325" w:type="dxa"/>
            <w:tcBorders>
              <w:top w:val="nil"/>
              <w:left w:val="single" w:sz="4" w:space="0" w:color="auto"/>
              <w:bottom w:val="nil"/>
              <w:right w:val="single" w:sz="4" w:space="0" w:color="auto"/>
            </w:tcBorders>
            <w:shd w:val="clear" w:color="000000" w:fill="FFC000"/>
            <w:vAlign w:val="center"/>
            <w:hideMark/>
          </w:tcPr>
          <w:p w14:paraId="08BF57BF"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0</w:t>
            </w:r>
          </w:p>
        </w:tc>
        <w:tc>
          <w:tcPr>
            <w:tcW w:w="2395" w:type="dxa"/>
            <w:gridSpan w:val="3"/>
            <w:tcBorders>
              <w:top w:val="nil"/>
              <w:left w:val="nil"/>
              <w:bottom w:val="nil"/>
              <w:right w:val="single" w:sz="8" w:space="0" w:color="auto"/>
            </w:tcBorders>
            <w:shd w:val="clear" w:color="000000" w:fill="92D050"/>
            <w:vAlign w:val="center"/>
            <w:hideMark/>
          </w:tcPr>
          <w:p w14:paraId="2F95F32F"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0</w:t>
            </w:r>
          </w:p>
        </w:tc>
      </w:tr>
      <w:tr w:rsidR="00EC53BA" w:rsidRPr="00C929AE" w14:paraId="754D1DCB" w14:textId="77777777" w:rsidTr="009A347A">
        <w:trPr>
          <w:gridAfter w:val="2"/>
          <w:wAfter w:w="587" w:type="dxa"/>
          <w:trHeight w:val="341"/>
        </w:trPr>
        <w:tc>
          <w:tcPr>
            <w:tcW w:w="212" w:type="dxa"/>
            <w:tcBorders>
              <w:top w:val="nil"/>
              <w:left w:val="nil"/>
              <w:bottom w:val="nil"/>
              <w:right w:val="nil"/>
            </w:tcBorders>
            <w:shd w:val="clear" w:color="auto" w:fill="auto"/>
            <w:noWrap/>
            <w:vAlign w:val="bottom"/>
            <w:hideMark/>
          </w:tcPr>
          <w:p w14:paraId="4192D6A1"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8" w:space="0" w:color="auto"/>
              <w:right w:val="single" w:sz="4" w:space="0" w:color="auto"/>
            </w:tcBorders>
            <w:shd w:val="clear" w:color="auto" w:fill="auto"/>
            <w:vAlign w:val="center"/>
            <w:hideMark/>
          </w:tcPr>
          <w:p w14:paraId="3940C750" w14:textId="77777777" w:rsidR="00EC53BA" w:rsidRPr="007A3739"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7A3739">
              <w:rPr>
                <w:rFonts w:ascii="Times New Roman" w:eastAsia="Times New Roman" w:hAnsi="Times New Roman" w:cs="Times New Roman"/>
                <w:b/>
                <w:bCs/>
                <w:i/>
                <w:iCs/>
                <w:color w:val="000000"/>
                <w:sz w:val="20"/>
                <w:szCs w:val="20"/>
                <w:lang w:eastAsia="sk-SK"/>
              </w:rPr>
              <w:t>G. Goldplating</w:t>
            </w:r>
          </w:p>
        </w:tc>
        <w:tc>
          <w:tcPr>
            <w:tcW w:w="2325" w:type="dxa"/>
            <w:tcBorders>
              <w:top w:val="single" w:sz="8" w:space="0" w:color="auto"/>
              <w:left w:val="single" w:sz="4" w:space="0" w:color="auto"/>
              <w:bottom w:val="single" w:sz="8" w:space="0" w:color="auto"/>
              <w:right w:val="single" w:sz="4" w:space="0" w:color="auto"/>
            </w:tcBorders>
            <w:shd w:val="clear" w:color="000000" w:fill="FFC000"/>
            <w:vAlign w:val="center"/>
            <w:hideMark/>
          </w:tcPr>
          <w:p w14:paraId="052B2654"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0</w:t>
            </w:r>
          </w:p>
        </w:tc>
        <w:tc>
          <w:tcPr>
            <w:tcW w:w="2395" w:type="dxa"/>
            <w:gridSpan w:val="3"/>
            <w:tcBorders>
              <w:top w:val="single" w:sz="8" w:space="0" w:color="auto"/>
              <w:left w:val="nil"/>
              <w:bottom w:val="single" w:sz="8" w:space="0" w:color="auto"/>
              <w:right w:val="single" w:sz="8" w:space="0" w:color="auto"/>
            </w:tcBorders>
            <w:shd w:val="clear" w:color="000000" w:fill="92D050"/>
            <w:vAlign w:val="center"/>
            <w:hideMark/>
          </w:tcPr>
          <w:p w14:paraId="636A04F5"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0</w:t>
            </w:r>
          </w:p>
        </w:tc>
      </w:tr>
      <w:tr w:rsidR="00EC53BA" w:rsidRPr="00C929AE" w14:paraId="2D8A6D6D" w14:textId="77777777" w:rsidTr="009A347A">
        <w:trPr>
          <w:trHeight w:val="253"/>
        </w:trPr>
        <w:tc>
          <w:tcPr>
            <w:tcW w:w="212" w:type="dxa"/>
            <w:tcBorders>
              <w:top w:val="nil"/>
              <w:left w:val="nil"/>
              <w:bottom w:val="nil"/>
              <w:right w:val="nil"/>
            </w:tcBorders>
            <w:shd w:val="clear" w:color="auto" w:fill="auto"/>
            <w:noWrap/>
            <w:vAlign w:val="bottom"/>
            <w:hideMark/>
          </w:tcPr>
          <w:p w14:paraId="2A7CD914"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nil"/>
              <w:bottom w:val="nil"/>
              <w:right w:val="nil"/>
            </w:tcBorders>
            <w:shd w:val="clear" w:color="auto" w:fill="auto"/>
            <w:noWrap/>
            <w:vAlign w:val="bottom"/>
            <w:hideMark/>
          </w:tcPr>
          <w:p w14:paraId="12A09023"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475" w:type="dxa"/>
            <w:gridSpan w:val="2"/>
            <w:tcBorders>
              <w:top w:val="nil"/>
              <w:left w:val="nil"/>
              <w:bottom w:val="nil"/>
              <w:right w:val="nil"/>
            </w:tcBorders>
            <w:shd w:val="clear" w:color="auto" w:fill="auto"/>
            <w:vAlign w:val="center"/>
            <w:hideMark/>
          </w:tcPr>
          <w:p w14:paraId="34C64736"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35A6BACF"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408" w:type="dxa"/>
            <w:gridSpan w:val="2"/>
            <w:tcBorders>
              <w:top w:val="nil"/>
              <w:left w:val="nil"/>
              <w:bottom w:val="nil"/>
              <w:right w:val="nil"/>
            </w:tcBorders>
            <w:shd w:val="clear" w:color="auto" w:fill="auto"/>
            <w:vAlign w:val="center"/>
            <w:hideMark/>
          </w:tcPr>
          <w:p w14:paraId="58596905"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791ECC24"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r>
      <w:tr w:rsidR="00EC53BA" w:rsidRPr="00C929AE" w14:paraId="7FDCF130" w14:textId="77777777" w:rsidTr="009A347A">
        <w:trPr>
          <w:gridAfter w:val="2"/>
          <w:wAfter w:w="587" w:type="dxa"/>
          <w:trHeight w:val="274"/>
        </w:trPr>
        <w:tc>
          <w:tcPr>
            <w:tcW w:w="212" w:type="dxa"/>
            <w:tcBorders>
              <w:top w:val="nil"/>
              <w:left w:val="nil"/>
              <w:bottom w:val="nil"/>
              <w:right w:val="nil"/>
            </w:tcBorders>
            <w:shd w:val="clear" w:color="auto" w:fill="auto"/>
            <w:noWrap/>
            <w:vAlign w:val="bottom"/>
            <w:hideMark/>
          </w:tcPr>
          <w:p w14:paraId="3294BB40"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E05920" w14:textId="77777777" w:rsidR="00EC53BA" w:rsidRPr="007A3739" w:rsidRDefault="00EC53BA" w:rsidP="008F3C70">
            <w:pPr>
              <w:widowControl w:val="0"/>
              <w:spacing w:after="0" w:line="240" w:lineRule="auto"/>
              <w:rPr>
                <w:rFonts w:ascii="Times New Roman" w:eastAsia="Times New Roman" w:hAnsi="Times New Roman" w:cs="Times New Roman"/>
                <w:i/>
                <w:iCs/>
                <w:color w:val="000000"/>
                <w:lang w:eastAsia="sk-SK"/>
              </w:rPr>
            </w:pPr>
            <w:r w:rsidRPr="007A3739">
              <w:rPr>
                <w:rFonts w:ascii="Times New Roman" w:eastAsia="Times New Roman" w:hAnsi="Times New Roman" w:cs="Times New Roman"/>
                <w:i/>
                <w:iCs/>
                <w:color w:val="000000"/>
                <w:lang w:eastAsia="sk-SK"/>
              </w:rPr>
              <w:t>VÝPOČET PRAVIDLA 1in 2out:</w:t>
            </w:r>
          </w:p>
        </w:tc>
        <w:tc>
          <w:tcPr>
            <w:tcW w:w="2325" w:type="dxa"/>
            <w:tcBorders>
              <w:top w:val="single" w:sz="8" w:space="0" w:color="auto"/>
              <w:left w:val="nil"/>
              <w:bottom w:val="single" w:sz="4" w:space="0" w:color="auto"/>
              <w:right w:val="single" w:sz="4" w:space="0" w:color="000000"/>
            </w:tcBorders>
            <w:shd w:val="clear" w:color="000000" w:fill="FFC000"/>
            <w:vAlign w:val="center"/>
            <w:hideMark/>
          </w:tcPr>
          <w:p w14:paraId="4FC7D00E" w14:textId="77777777" w:rsidR="00EC53BA" w:rsidRPr="007A3739" w:rsidRDefault="00EC53BA" w:rsidP="008F3C70">
            <w:pPr>
              <w:widowControl w:val="0"/>
              <w:spacing w:after="0" w:line="240" w:lineRule="auto"/>
              <w:jc w:val="center"/>
              <w:rPr>
                <w:rFonts w:ascii="Times New Roman" w:eastAsia="Times New Roman" w:hAnsi="Times New Roman" w:cs="Times New Roman"/>
                <w:color w:val="000000"/>
                <w:lang w:eastAsia="sk-SK"/>
              </w:rPr>
            </w:pPr>
            <w:r w:rsidRPr="007A3739">
              <w:rPr>
                <w:rFonts w:ascii="Times New Roman" w:eastAsia="Times New Roman" w:hAnsi="Times New Roman" w:cs="Times New Roman"/>
                <w:color w:val="000000"/>
                <w:lang w:eastAsia="sk-SK"/>
              </w:rPr>
              <w:t>IN</w:t>
            </w:r>
          </w:p>
        </w:tc>
        <w:tc>
          <w:tcPr>
            <w:tcW w:w="2395" w:type="dxa"/>
            <w:gridSpan w:val="3"/>
            <w:tcBorders>
              <w:top w:val="single" w:sz="8" w:space="0" w:color="auto"/>
              <w:left w:val="nil"/>
              <w:bottom w:val="single" w:sz="4" w:space="0" w:color="auto"/>
              <w:right w:val="single" w:sz="8" w:space="0" w:color="000000"/>
            </w:tcBorders>
            <w:shd w:val="clear" w:color="000000" w:fill="92D050"/>
            <w:vAlign w:val="center"/>
            <w:hideMark/>
          </w:tcPr>
          <w:p w14:paraId="3F85821A" w14:textId="77777777" w:rsidR="00EC53BA" w:rsidRPr="007A3739" w:rsidRDefault="00EC53BA" w:rsidP="008F3C70">
            <w:pPr>
              <w:widowControl w:val="0"/>
              <w:spacing w:after="0" w:line="240" w:lineRule="auto"/>
              <w:jc w:val="center"/>
              <w:rPr>
                <w:rFonts w:ascii="Times New Roman" w:eastAsia="Times New Roman" w:hAnsi="Times New Roman" w:cs="Times New Roman"/>
                <w:color w:val="000000"/>
                <w:lang w:eastAsia="sk-SK"/>
              </w:rPr>
            </w:pPr>
            <w:r w:rsidRPr="007A3739">
              <w:rPr>
                <w:rFonts w:ascii="Times New Roman" w:eastAsia="Times New Roman" w:hAnsi="Times New Roman" w:cs="Times New Roman"/>
                <w:color w:val="000000"/>
                <w:lang w:eastAsia="sk-SK"/>
              </w:rPr>
              <w:t>OUT</w:t>
            </w:r>
          </w:p>
        </w:tc>
      </w:tr>
      <w:tr w:rsidR="00EC53BA" w:rsidRPr="007A3739" w14:paraId="7812C02B" w14:textId="77777777" w:rsidTr="009A347A">
        <w:trPr>
          <w:gridAfter w:val="2"/>
          <w:wAfter w:w="587" w:type="dxa"/>
          <w:trHeight w:val="274"/>
        </w:trPr>
        <w:tc>
          <w:tcPr>
            <w:tcW w:w="212" w:type="dxa"/>
            <w:tcBorders>
              <w:top w:val="nil"/>
              <w:left w:val="nil"/>
              <w:bottom w:val="nil"/>
              <w:right w:val="nil"/>
            </w:tcBorders>
            <w:shd w:val="clear" w:color="auto" w:fill="auto"/>
            <w:noWrap/>
            <w:vAlign w:val="bottom"/>
            <w:hideMark/>
          </w:tcPr>
          <w:p w14:paraId="5A1DC528"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8" w:space="0" w:color="auto"/>
              <w:right w:val="single" w:sz="4" w:space="0" w:color="auto"/>
            </w:tcBorders>
            <w:shd w:val="clear" w:color="auto" w:fill="auto"/>
            <w:vAlign w:val="center"/>
            <w:hideMark/>
          </w:tcPr>
          <w:p w14:paraId="43218026" w14:textId="77777777" w:rsidR="00EC53BA" w:rsidRPr="007A3739"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r w:rsidRPr="007A3739">
              <w:rPr>
                <w:rFonts w:ascii="Times New Roman" w:eastAsia="Times New Roman" w:hAnsi="Times New Roman" w:cs="Times New Roman"/>
                <w:b/>
                <w:i/>
                <w:iCs/>
                <w:color w:val="000000"/>
                <w:sz w:val="20"/>
                <w:szCs w:val="20"/>
                <w:lang w:eastAsia="sk-SK"/>
              </w:rPr>
              <w:t>H.</w:t>
            </w:r>
            <w:r w:rsidRPr="007A3739">
              <w:rPr>
                <w:rFonts w:ascii="Times New Roman" w:eastAsia="Times New Roman" w:hAnsi="Times New Roman" w:cs="Times New Roman"/>
                <w:i/>
                <w:iCs/>
                <w:color w:val="000000"/>
                <w:sz w:val="20"/>
                <w:szCs w:val="20"/>
                <w:lang w:eastAsia="sk-SK"/>
              </w:rPr>
              <w:t xml:space="preserve"> Náklady okrem výnimiek = B+D+E-F</w:t>
            </w:r>
          </w:p>
        </w:tc>
        <w:tc>
          <w:tcPr>
            <w:tcW w:w="2325" w:type="dxa"/>
            <w:tcBorders>
              <w:top w:val="single" w:sz="4" w:space="0" w:color="auto"/>
              <w:left w:val="single" w:sz="4" w:space="0" w:color="auto"/>
              <w:bottom w:val="single" w:sz="8" w:space="0" w:color="auto"/>
              <w:right w:val="single" w:sz="4" w:space="0" w:color="auto"/>
            </w:tcBorders>
            <w:shd w:val="clear" w:color="000000" w:fill="FFC000"/>
            <w:vAlign w:val="center"/>
            <w:hideMark/>
          </w:tcPr>
          <w:p w14:paraId="773E0BDE"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499</w:t>
            </w:r>
          </w:p>
        </w:tc>
        <w:tc>
          <w:tcPr>
            <w:tcW w:w="2395" w:type="dxa"/>
            <w:gridSpan w:val="3"/>
            <w:tcBorders>
              <w:top w:val="single" w:sz="4" w:space="0" w:color="auto"/>
              <w:left w:val="nil"/>
              <w:bottom w:val="single" w:sz="8" w:space="0" w:color="auto"/>
              <w:right w:val="single" w:sz="8" w:space="0" w:color="auto"/>
            </w:tcBorders>
            <w:shd w:val="clear" w:color="000000" w:fill="92D050"/>
            <w:vAlign w:val="center"/>
            <w:hideMark/>
          </w:tcPr>
          <w:p w14:paraId="225A2A3A"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10 552</w:t>
            </w:r>
          </w:p>
        </w:tc>
      </w:tr>
    </w:tbl>
    <w:p w14:paraId="02632E4E" w14:textId="77777777" w:rsidR="00EC53BA" w:rsidRPr="00895898" w:rsidRDefault="00EC53BA" w:rsidP="008F3C70">
      <w:pPr>
        <w:widowControl w:val="0"/>
        <w:rPr>
          <w:rFonts w:ascii="Times New Roman" w:eastAsia="Calibri" w:hAnsi="Times New Roman" w:cs="Times New Roman"/>
          <w:b/>
          <w:sz w:val="24"/>
          <w:szCs w:val="24"/>
        </w:rPr>
        <w:sectPr w:rsidR="00EC53BA" w:rsidRPr="00895898" w:rsidSect="00594FC1">
          <w:pgSz w:w="11906" w:h="16838"/>
          <w:pgMar w:top="993" w:right="1417" w:bottom="1418" w:left="1418" w:header="709" w:footer="709" w:gutter="0"/>
          <w:pgNumType w:start="12"/>
          <w:cols w:space="708"/>
          <w:docGrid w:linePitch="360"/>
        </w:sectPr>
      </w:pPr>
    </w:p>
    <w:p w14:paraId="31F42367" w14:textId="77777777" w:rsidR="00EC53BA" w:rsidRPr="007A3739" w:rsidRDefault="00EC53BA" w:rsidP="00EC53BA">
      <w:pPr>
        <w:rPr>
          <w:rFonts w:ascii="Times New Roman" w:eastAsia="Calibri" w:hAnsi="Times New Roman" w:cs="Times New Roman"/>
          <w:b/>
          <w:i/>
          <w:iCs/>
        </w:rPr>
      </w:pPr>
      <w:r w:rsidRPr="007A3739">
        <w:rPr>
          <w:rFonts w:ascii="Times New Roman" w:eastAsia="Calibri" w:hAnsi="Times New Roman" w:cs="Times New Roman"/>
          <w:b/>
          <w:i/>
          <w:iCs/>
        </w:rPr>
        <w:lastRenderedPageBreak/>
        <w:t>3.1.2 Výpočty vplyvov jednotlivých regulácií na zmeny v nákladoch podnikateľov</w:t>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p>
    <w:p w14:paraId="7DFF01AE" w14:textId="77777777" w:rsidR="00EC53BA" w:rsidRPr="007A3739" w:rsidRDefault="00EC53BA" w:rsidP="00EC53BA">
      <w:pPr>
        <w:jc w:val="both"/>
        <w:rPr>
          <w:rFonts w:ascii="Times New Roman" w:eastAsia="Calibri" w:hAnsi="Times New Roman" w:cs="Times New Roman"/>
          <w:i/>
        </w:rPr>
      </w:pPr>
      <w:r w:rsidRPr="007A3739">
        <w:rPr>
          <w:rFonts w:ascii="Times New Roman" w:eastAsia="Calibri" w:hAnsi="Times New Roman" w:cs="Times New Roman"/>
          <w:i/>
        </w:rPr>
        <w:t>Tabuľka č. 2: Výpočet vplyvov jednotlivých regulácií (nahraďte rovnakou tabuľkou po vyplnení Kalkulačky nákladov):</w:t>
      </w:r>
    </w:p>
    <w:tbl>
      <w:tblPr>
        <w:tblW w:w="14004" w:type="dxa"/>
        <w:tblInd w:w="-5" w:type="dxa"/>
        <w:tblCellMar>
          <w:left w:w="70" w:type="dxa"/>
          <w:right w:w="70" w:type="dxa"/>
        </w:tblCellMar>
        <w:tblLook w:val="04A0" w:firstRow="1" w:lastRow="0" w:firstColumn="1" w:lastColumn="0" w:noHBand="0" w:noVBand="1"/>
      </w:tblPr>
      <w:tblGrid>
        <w:gridCol w:w="451"/>
        <w:gridCol w:w="1618"/>
        <w:gridCol w:w="925"/>
        <w:gridCol w:w="1129"/>
        <w:gridCol w:w="1052"/>
        <w:gridCol w:w="934"/>
        <w:gridCol w:w="1288"/>
        <w:gridCol w:w="974"/>
        <w:gridCol w:w="1103"/>
        <w:gridCol w:w="1204"/>
        <w:gridCol w:w="942"/>
        <w:gridCol w:w="1213"/>
        <w:gridCol w:w="1171"/>
      </w:tblGrid>
      <w:tr w:rsidR="00EC53BA" w:rsidRPr="00E54931" w14:paraId="671E6D2A" w14:textId="77777777" w:rsidTr="009A347A">
        <w:trPr>
          <w:trHeight w:val="450"/>
        </w:trPr>
        <w:tc>
          <w:tcPr>
            <w:tcW w:w="451" w:type="dxa"/>
            <w:vMerge w:val="restart"/>
            <w:tcBorders>
              <w:top w:val="nil"/>
              <w:left w:val="single" w:sz="4" w:space="0" w:color="auto"/>
              <w:bottom w:val="single" w:sz="4" w:space="0" w:color="auto"/>
              <w:right w:val="single" w:sz="4" w:space="0" w:color="auto"/>
            </w:tcBorders>
            <w:shd w:val="clear" w:color="000000" w:fill="BFBFBF"/>
            <w:vAlign w:val="center"/>
            <w:hideMark/>
          </w:tcPr>
          <w:p w14:paraId="3AF06A32"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P.č.</w:t>
            </w:r>
          </w:p>
        </w:tc>
        <w:tc>
          <w:tcPr>
            <w:tcW w:w="1618" w:type="dxa"/>
            <w:vMerge w:val="restart"/>
            <w:tcBorders>
              <w:top w:val="nil"/>
              <w:left w:val="single" w:sz="4" w:space="0" w:color="auto"/>
              <w:bottom w:val="single" w:sz="4" w:space="0" w:color="auto"/>
              <w:right w:val="single" w:sz="4" w:space="0" w:color="auto"/>
            </w:tcBorders>
            <w:shd w:val="clear" w:color="000000" w:fill="BFBFBF"/>
            <w:vAlign w:val="center"/>
            <w:hideMark/>
          </w:tcPr>
          <w:p w14:paraId="3426CEEA"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Zrozumiteľný a stručný opis regulácie </w:t>
            </w:r>
            <w:r w:rsidRPr="007A3739">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92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FDCBD2D"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Číslo normy</w:t>
            </w:r>
            <w:r w:rsidRPr="007A3739">
              <w:rPr>
                <w:rFonts w:ascii="Times New Roman" w:eastAsia="Times New Roman" w:hAnsi="Times New Roman" w:cs="Times New Roman"/>
                <w:b/>
                <w:bCs/>
                <w:color w:val="000000"/>
                <w:sz w:val="20"/>
                <w:szCs w:val="20"/>
                <w:lang w:eastAsia="sk-SK"/>
              </w:rPr>
              <w:br/>
            </w:r>
            <w:r w:rsidRPr="007A3739">
              <w:rPr>
                <w:rFonts w:ascii="Times New Roman" w:eastAsia="Times New Roman" w:hAnsi="Times New Roman" w:cs="Times New Roman"/>
                <w:color w:val="000000"/>
                <w:sz w:val="20"/>
                <w:szCs w:val="20"/>
                <w:lang w:eastAsia="sk-SK"/>
              </w:rPr>
              <w:t>(zákona, vyhlášky a pod.)</w:t>
            </w:r>
          </w:p>
        </w:tc>
        <w:tc>
          <w:tcPr>
            <w:tcW w:w="1129"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2523CD7"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Lokalizácia</w:t>
            </w:r>
            <w:r w:rsidRPr="007A3739">
              <w:rPr>
                <w:rFonts w:ascii="Times New Roman" w:eastAsia="Times New Roman" w:hAnsi="Times New Roman" w:cs="Times New Roman"/>
                <w:b/>
                <w:bCs/>
                <w:color w:val="000000"/>
                <w:sz w:val="20"/>
                <w:szCs w:val="20"/>
                <w:lang w:eastAsia="sk-SK"/>
              </w:rPr>
              <w:br/>
              <w:t>(§, ods., čl.,...)</w:t>
            </w:r>
          </w:p>
        </w:tc>
        <w:tc>
          <w:tcPr>
            <w:tcW w:w="1052" w:type="dxa"/>
            <w:vMerge w:val="restart"/>
            <w:tcBorders>
              <w:top w:val="nil"/>
              <w:left w:val="single" w:sz="4" w:space="0" w:color="auto"/>
              <w:bottom w:val="single" w:sz="4" w:space="0" w:color="auto"/>
              <w:right w:val="single" w:sz="4" w:space="0" w:color="auto"/>
            </w:tcBorders>
            <w:shd w:val="clear" w:color="000000" w:fill="BFBFBF"/>
            <w:vAlign w:val="center"/>
            <w:hideMark/>
          </w:tcPr>
          <w:p w14:paraId="07F4E79D"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Pôvod regulácie: </w:t>
            </w:r>
            <w:r w:rsidRPr="007A3739">
              <w:rPr>
                <w:rFonts w:ascii="Times New Roman" w:eastAsia="Times New Roman" w:hAnsi="Times New Roman" w:cs="Times New Roman"/>
                <w:b/>
                <w:bCs/>
                <w:color w:val="000000"/>
                <w:sz w:val="20"/>
                <w:szCs w:val="20"/>
                <w:lang w:eastAsia="sk-SK"/>
              </w:rPr>
              <w:br/>
            </w:r>
            <w:r w:rsidRPr="007A3739">
              <w:rPr>
                <w:rFonts w:ascii="Times New Roman" w:eastAsia="Times New Roman" w:hAnsi="Times New Roman" w:cs="Times New Roman"/>
                <w:color w:val="000000"/>
                <w:sz w:val="20"/>
                <w:szCs w:val="20"/>
                <w:lang w:eastAsia="sk-SK"/>
              </w:rPr>
              <w:t>SK/EÚ úplná harm./</w:t>
            </w:r>
            <w:r w:rsidRPr="007A3739">
              <w:rPr>
                <w:rFonts w:ascii="Times New Roman" w:eastAsia="Times New Roman" w:hAnsi="Times New Roman" w:cs="Times New Roman"/>
                <w:color w:val="000000"/>
                <w:sz w:val="20"/>
                <w:szCs w:val="20"/>
                <w:lang w:eastAsia="sk-SK"/>
              </w:rPr>
              <w:br/>
              <w:t>goldplating</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662DE7"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Účinnosť regulácie</w:t>
            </w:r>
          </w:p>
        </w:tc>
        <w:tc>
          <w:tcPr>
            <w:tcW w:w="128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FFBD5C7"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Kategória dotk.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B450B7C"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Počet dotk. subjektov spolu </w:t>
            </w:r>
          </w:p>
        </w:tc>
        <w:tc>
          <w:tcPr>
            <w:tcW w:w="110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D665DE"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Vplyv na 1 podnik. v €</w:t>
            </w:r>
          </w:p>
        </w:tc>
        <w:tc>
          <w:tcPr>
            <w:tcW w:w="120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60EDCF9"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Vplyv na kategóriu dotk. subjektov v €</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4028CE"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Druh vplyvu</w:t>
            </w:r>
            <w:r w:rsidRPr="007A3739">
              <w:rPr>
                <w:rFonts w:ascii="Times New Roman" w:eastAsia="Times New Roman" w:hAnsi="Times New Roman" w:cs="Times New Roman"/>
                <w:b/>
                <w:bCs/>
                <w:color w:val="000000"/>
                <w:sz w:val="20"/>
                <w:szCs w:val="20"/>
                <w:lang w:eastAsia="sk-SK"/>
              </w:rPr>
              <w:br/>
            </w:r>
            <w:r w:rsidRPr="007A3739">
              <w:rPr>
                <w:rFonts w:ascii="Times New Roman" w:eastAsia="Times New Roman" w:hAnsi="Times New Roman" w:cs="Times New Roman"/>
                <w:color w:val="000000"/>
                <w:sz w:val="20"/>
                <w:szCs w:val="20"/>
                <w:lang w:eastAsia="sk-SK"/>
              </w:rPr>
              <w:t xml:space="preserve">In (zvyšuje náklady) / </w:t>
            </w:r>
            <w:r w:rsidRPr="007A3739">
              <w:rPr>
                <w:rFonts w:ascii="Times New Roman" w:eastAsia="Times New Roman" w:hAnsi="Times New Roman" w:cs="Times New Roman"/>
                <w:color w:val="000000"/>
                <w:sz w:val="20"/>
                <w:szCs w:val="20"/>
                <w:lang w:eastAsia="sk-SK"/>
              </w:rPr>
              <w:br/>
              <w:t>Out (znižuje náklady) / Nemení sa</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A3357"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1in2out </w:t>
            </w:r>
            <w:r w:rsidRPr="007A3739">
              <w:rPr>
                <w:rFonts w:ascii="Times New Roman" w:eastAsia="Times New Roman" w:hAnsi="Times New Roman" w:cs="Times New Roman"/>
                <w:b/>
                <w:bCs/>
                <w:color w:val="000000"/>
                <w:sz w:val="20"/>
                <w:szCs w:val="20"/>
                <w:lang w:eastAsia="sk-SK"/>
              </w:rPr>
              <w:br/>
              <w:t>celkom</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0558A"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Goldplating celkom</w:t>
            </w:r>
          </w:p>
        </w:tc>
      </w:tr>
      <w:tr w:rsidR="00EC53BA" w:rsidRPr="00E54931" w14:paraId="3BC0872B"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154EE2E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0E62F74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05B45BD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73334DA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1236A24A"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54FCA15C"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7AC7344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72CF97B"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36BC95D"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918BAEA"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44C7A3CF"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9E41F5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F92BF4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E54931" w14:paraId="559EECFA"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640E530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1493847E"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7A4E868C"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318CB29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7DABAC3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DFA624B"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4999A698"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698FCC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5625EC7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7ED04A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AD7F40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9B87779"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4CC1DC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E54931" w14:paraId="7710A5B6"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4CF6079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158D09DD"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5EC0220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0BE5351E"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73336E9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172603D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286D8A6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D632F3E"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31181C3D"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5002B47"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7288F178"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0AA48F0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60F613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E54931" w14:paraId="3443C632"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54B21C3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4FF0855A"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5938A9B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6DD360B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61313B4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8BB9F4F"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10DB59FE"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A1812E8"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189A198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AD1782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0FB478A"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42F424D1"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2B353BCC"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E54931" w14:paraId="6441D2CD"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271731C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3FDD48F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2744922F"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0CA8CAE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427BB6E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1F23EF3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409C04A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C6AD94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6A1D45A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00572CF"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6C12149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0CACB0D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5808CA3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554BD8" w14:paraId="6DCC4120"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4C40FF3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w:t>
            </w:r>
          </w:p>
        </w:tc>
        <w:tc>
          <w:tcPr>
            <w:tcW w:w="1618" w:type="dxa"/>
            <w:tcBorders>
              <w:top w:val="nil"/>
              <w:left w:val="nil"/>
              <w:bottom w:val="single" w:sz="4" w:space="0" w:color="auto"/>
              <w:right w:val="single" w:sz="4" w:space="0" w:color="auto"/>
            </w:tcBorders>
            <w:shd w:val="clear" w:color="auto" w:fill="auto"/>
            <w:vAlign w:val="center"/>
          </w:tcPr>
          <w:p w14:paraId="748C3E7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Zjednodušenie systému registrácie oprávnených spotrebiteľov elektriny </w:t>
            </w:r>
          </w:p>
        </w:tc>
        <w:tc>
          <w:tcPr>
            <w:tcW w:w="927" w:type="dxa"/>
            <w:tcBorders>
              <w:top w:val="nil"/>
              <w:left w:val="nil"/>
              <w:bottom w:val="single" w:sz="4" w:space="0" w:color="auto"/>
              <w:right w:val="single" w:sz="4" w:space="0" w:color="auto"/>
            </w:tcBorders>
            <w:shd w:val="clear" w:color="auto" w:fill="auto"/>
            <w:vAlign w:val="center"/>
          </w:tcPr>
          <w:p w14:paraId="434558B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566A07B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8</w:t>
            </w:r>
          </w:p>
        </w:tc>
        <w:tc>
          <w:tcPr>
            <w:tcW w:w="1052" w:type="dxa"/>
            <w:tcBorders>
              <w:top w:val="nil"/>
              <w:left w:val="nil"/>
              <w:bottom w:val="single" w:sz="4" w:space="0" w:color="auto"/>
              <w:right w:val="single" w:sz="4" w:space="0" w:color="auto"/>
            </w:tcBorders>
            <w:shd w:val="clear" w:color="auto" w:fill="auto"/>
            <w:vAlign w:val="center"/>
          </w:tcPr>
          <w:p w14:paraId="3CB745D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5DFEDF5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15CBA43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obchodujú s elektrinou</w:t>
            </w:r>
          </w:p>
        </w:tc>
        <w:tc>
          <w:tcPr>
            <w:tcW w:w="974" w:type="dxa"/>
            <w:tcBorders>
              <w:top w:val="nil"/>
              <w:left w:val="nil"/>
              <w:bottom w:val="single" w:sz="4" w:space="0" w:color="auto"/>
              <w:right w:val="single" w:sz="4" w:space="0" w:color="auto"/>
            </w:tcBorders>
            <w:shd w:val="clear" w:color="auto" w:fill="auto"/>
            <w:vAlign w:val="center"/>
          </w:tcPr>
          <w:p w14:paraId="40688D81"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149 </w:t>
            </w:r>
          </w:p>
        </w:tc>
        <w:tc>
          <w:tcPr>
            <w:tcW w:w="1103" w:type="dxa"/>
            <w:tcBorders>
              <w:top w:val="nil"/>
              <w:left w:val="nil"/>
              <w:bottom w:val="single" w:sz="4" w:space="0" w:color="auto"/>
              <w:right w:val="single" w:sz="4" w:space="0" w:color="auto"/>
            </w:tcBorders>
            <w:shd w:val="clear" w:color="000000" w:fill="FFFFFF"/>
            <w:vAlign w:val="center"/>
          </w:tcPr>
          <w:p w14:paraId="0609636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31385D6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378</w:t>
            </w:r>
          </w:p>
        </w:tc>
        <w:tc>
          <w:tcPr>
            <w:tcW w:w="945" w:type="dxa"/>
            <w:tcBorders>
              <w:top w:val="nil"/>
              <w:left w:val="nil"/>
              <w:bottom w:val="single" w:sz="4" w:space="0" w:color="auto"/>
              <w:right w:val="single" w:sz="4" w:space="0" w:color="auto"/>
            </w:tcBorders>
            <w:shd w:val="clear" w:color="auto" w:fill="auto"/>
            <w:vAlign w:val="center"/>
          </w:tcPr>
          <w:p w14:paraId="5A65496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7ABF068E"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378</w:t>
            </w:r>
          </w:p>
        </w:tc>
        <w:tc>
          <w:tcPr>
            <w:tcW w:w="1171" w:type="dxa"/>
            <w:tcBorders>
              <w:top w:val="nil"/>
              <w:left w:val="nil"/>
              <w:bottom w:val="single" w:sz="4" w:space="0" w:color="auto"/>
              <w:right w:val="single" w:sz="4" w:space="0" w:color="auto"/>
            </w:tcBorders>
            <w:shd w:val="clear" w:color="auto" w:fill="auto"/>
            <w:vAlign w:val="center"/>
          </w:tcPr>
          <w:p w14:paraId="0D6B709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7D5D4B2A"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4FEB5FC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2</w:t>
            </w:r>
          </w:p>
        </w:tc>
        <w:tc>
          <w:tcPr>
            <w:tcW w:w="1618" w:type="dxa"/>
            <w:tcBorders>
              <w:top w:val="nil"/>
              <w:left w:val="nil"/>
              <w:bottom w:val="single" w:sz="4" w:space="0" w:color="auto"/>
              <w:right w:val="single" w:sz="4" w:space="0" w:color="auto"/>
            </w:tcBorders>
            <w:shd w:val="clear" w:color="auto" w:fill="auto"/>
            <w:vAlign w:val="center"/>
          </w:tcPr>
          <w:p w14:paraId="13C58E7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Zjednodušenie systému registrácie oprávnených spotrebiteľov uhlia</w:t>
            </w:r>
          </w:p>
        </w:tc>
        <w:tc>
          <w:tcPr>
            <w:tcW w:w="927" w:type="dxa"/>
            <w:tcBorders>
              <w:top w:val="nil"/>
              <w:left w:val="nil"/>
              <w:bottom w:val="single" w:sz="4" w:space="0" w:color="auto"/>
              <w:right w:val="single" w:sz="4" w:space="0" w:color="auto"/>
            </w:tcBorders>
            <w:shd w:val="clear" w:color="auto" w:fill="auto"/>
            <w:vAlign w:val="center"/>
          </w:tcPr>
          <w:p w14:paraId="1CF8124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73E2D2F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20</w:t>
            </w:r>
          </w:p>
        </w:tc>
        <w:tc>
          <w:tcPr>
            <w:tcW w:w="1052" w:type="dxa"/>
            <w:tcBorders>
              <w:top w:val="nil"/>
              <w:left w:val="nil"/>
              <w:bottom w:val="single" w:sz="4" w:space="0" w:color="auto"/>
              <w:right w:val="single" w:sz="4" w:space="0" w:color="auto"/>
            </w:tcBorders>
            <w:shd w:val="clear" w:color="auto" w:fill="auto"/>
            <w:vAlign w:val="center"/>
          </w:tcPr>
          <w:p w14:paraId="5FC5048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244BC05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091E381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obchodujú s uhlím</w:t>
            </w:r>
            <w:r w:rsidRPr="007A3739">
              <w:rPr>
                <w:rFonts w:ascii="Times New Roman" w:hAnsi="Times New Roman" w:cs="Times New Roman"/>
                <w:color w:val="000000"/>
                <w:sz w:val="20"/>
                <w:szCs w:val="20"/>
              </w:rPr>
              <w:br/>
            </w:r>
          </w:p>
        </w:tc>
        <w:tc>
          <w:tcPr>
            <w:tcW w:w="974" w:type="dxa"/>
            <w:tcBorders>
              <w:top w:val="nil"/>
              <w:left w:val="nil"/>
              <w:bottom w:val="single" w:sz="4" w:space="0" w:color="auto"/>
              <w:right w:val="single" w:sz="4" w:space="0" w:color="auto"/>
            </w:tcBorders>
            <w:shd w:val="clear" w:color="auto" w:fill="auto"/>
            <w:vAlign w:val="center"/>
          </w:tcPr>
          <w:p w14:paraId="6759F768"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39 </w:t>
            </w:r>
          </w:p>
        </w:tc>
        <w:tc>
          <w:tcPr>
            <w:tcW w:w="1103" w:type="dxa"/>
            <w:tcBorders>
              <w:top w:val="nil"/>
              <w:left w:val="nil"/>
              <w:bottom w:val="single" w:sz="4" w:space="0" w:color="auto"/>
              <w:right w:val="single" w:sz="4" w:space="0" w:color="auto"/>
            </w:tcBorders>
            <w:shd w:val="clear" w:color="000000" w:fill="FFFFFF"/>
            <w:vAlign w:val="center"/>
          </w:tcPr>
          <w:p w14:paraId="01754E1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0C408A4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99</w:t>
            </w:r>
          </w:p>
        </w:tc>
        <w:tc>
          <w:tcPr>
            <w:tcW w:w="945" w:type="dxa"/>
            <w:tcBorders>
              <w:top w:val="nil"/>
              <w:left w:val="nil"/>
              <w:bottom w:val="single" w:sz="4" w:space="0" w:color="auto"/>
              <w:right w:val="single" w:sz="4" w:space="0" w:color="auto"/>
            </w:tcBorders>
            <w:shd w:val="clear" w:color="auto" w:fill="auto"/>
            <w:vAlign w:val="center"/>
          </w:tcPr>
          <w:p w14:paraId="23050D0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13D0841E"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99</w:t>
            </w:r>
          </w:p>
        </w:tc>
        <w:tc>
          <w:tcPr>
            <w:tcW w:w="1171" w:type="dxa"/>
            <w:tcBorders>
              <w:top w:val="nil"/>
              <w:left w:val="nil"/>
              <w:bottom w:val="single" w:sz="4" w:space="0" w:color="auto"/>
              <w:right w:val="single" w:sz="4" w:space="0" w:color="auto"/>
            </w:tcBorders>
            <w:shd w:val="clear" w:color="auto" w:fill="auto"/>
            <w:vAlign w:val="center"/>
          </w:tcPr>
          <w:p w14:paraId="41693D3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493570E5"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7F1981F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618" w:type="dxa"/>
            <w:tcBorders>
              <w:top w:val="nil"/>
              <w:left w:val="nil"/>
              <w:bottom w:val="single" w:sz="4" w:space="0" w:color="auto"/>
              <w:right w:val="single" w:sz="4" w:space="0" w:color="auto"/>
            </w:tcBorders>
            <w:shd w:val="clear" w:color="auto" w:fill="auto"/>
            <w:vAlign w:val="center"/>
          </w:tcPr>
          <w:p w14:paraId="109CD14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Zjednodušenie systému registrácie oprávnených spotrebiteľov zemného plynu</w:t>
            </w:r>
          </w:p>
        </w:tc>
        <w:tc>
          <w:tcPr>
            <w:tcW w:w="927" w:type="dxa"/>
            <w:tcBorders>
              <w:top w:val="nil"/>
              <w:left w:val="nil"/>
              <w:bottom w:val="single" w:sz="4" w:space="0" w:color="auto"/>
              <w:right w:val="single" w:sz="4" w:space="0" w:color="auto"/>
            </w:tcBorders>
            <w:shd w:val="clear" w:color="auto" w:fill="auto"/>
            <w:vAlign w:val="center"/>
          </w:tcPr>
          <w:p w14:paraId="6B1663B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54FB6CA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32</w:t>
            </w:r>
          </w:p>
        </w:tc>
        <w:tc>
          <w:tcPr>
            <w:tcW w:w="1052" w:type="dxa"/>
            <w:tcBorders>
              <w:top w:val="nil"/>
              <w:left w:val="nil"/>
              <w:bottom w:val="single" w:sz="4" w:space="0" w:color="auto"/>
              <w:right w:val="single" w:sz="4" w:space="0" w:color="auto"/>
            </w:tcBorders>
            <w:shd w:val="clear" w:color="auto" w:fill="auto"/>
            <w:vAlign w:val="center"/>
          </w:tcPr>
          <w:p w14:paraId="4C83CCC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7754028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6CF0CD4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Podnikateľské subjekty, ktoré obchodujú so zemným plynom </w:t>
            </w:r>
          </w:p>
        </w:tc>
        <w:tc>
          <w:tcPr>
            <w:tcW w:w="974" w:type="dxa"/>
            <w:tcBorders>
              <w:top w:val="nil"/>
              <w:left w:val="nil"/>
              <w:bottom w:val="single" w:sz="4" w:space="0" w:color="auto"/>
              <w:right w:val="single" w:sz="4" w:space="0" w:color="auto"/>
            </w:tcBorders>
            <w:shd w:val="clear" w:color="auto" w:fill="auto"/>
            <w:vAlign w:val="center"/>
          </w:tcPr>
          <w:p w14:paraId="6D000278"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248 </w:t>
            </w:r>
          </w:p>
        </w:tc>
        <w:tc>
          <w:tcPr>
            <w:tcW w:w="1103" w:type="dxa"/>
            <w:tcBorders>
              <w:top w:val="nil"/>
              <w:left w:val="nil"/>
              <w:bottom w:val="single" w:sz="4" w:space="0" w:color="auto"/>
              <w:right w:val="single" w:sz="4" w:space="0" w:color="auto"/>
            </w:tcBorders>
            <w:shd w:val="clear" w:color="000000" w:fill="FFFFFF"/>
            <w:vAlign w:val="center"/>
          </w:tcPr>
          <w:p w14:paraId="346BA22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203906B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629</w:t>
            </w:r>
          </w:p>
        </w:tc>
        <w:tc>
          <w:tcPr>
            <w:tcW w:w="945" w:type="dxa"/>
            <w:tcBorders>
              <w:top w:val="nil"/>
              <w:left w:val="nil"/>
              <w:bottom w:val="single" w:sz="4" w:space="0" w:color="auto"/>
              <w:right w:val="single" w:sz="4" w:space="0" w:color="auto"/>
            </w:tcBorders>
            <w:shd w:val="clear" w:color="auto" w:fill="auto"/>
            <w:vAlign w:val="center"/>
          </w:tcPr>
          <w:p w14:paraId="46C4669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779F7D59"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629</w:t>
            </w:r>
          </w:p>
        </w:tc>
        <w:tc>
          <w:tcPr>
            <w:tcW w:w="1171" w:type="dxa"/>
            <w:tcBorders>
              <w:top w:val="nil"/>
              <w:left w:val="nil"/>
              <w:bottom w:val="single" w:sz="4" w:space="0" w:color="auto"/>
              <w:right w:val="single" w:sz="4" w:space="0" w:color="auto"/>
            </w:tcBorders>
            <w:shd w:val="clear" w:color="auto" w:fill="auto"/>
            <w:vAlign w:val="center"/>
          </w:tcPr>
          <w:p w14:paraId="3C98B3C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7EB02AE4"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2238E35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4</w:t>
            </w:r>
          </w:p>
        </w:tc>
        <w:tc>
          <w:tcPr>
            <w:tcW w:w="1618" w:type="dxa"/>
            <w:tcBorders>
              <w:top w:val="nil"/>
              <w:left w:val="nil"/>
              <w:bottom w:val="single" w:sz="4" w:space="0" w:color="auto"/>
              <w:right w:val="single" w:sz="4" w:space="0" w:color="auto"/>
            </w:tcBorders>
            <w:shd w:val="clear" w:color="auto" w:fill="auto"/>
            <w:vAlign w:val="center"/>
          </w:tcPr>
          <w:p w14:paraId="7B76A53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Zjednodušenie systému registrácie platiteľa dane z elektriny </w:t>
            </w:r>
          </w:p>
        </w:tc>
        <w:tc>
          <w:tcPr>
            <w:tcW w:w="927" w:type="dxa"/>
            <w:tcBorders>
              <w:top w:val="nil"/>
              <w:left w:val="nil"/>
              <w:bottom w:val="single" w:sz="4" w:space="0" w:color="auto"/>
              <w:right w:val="single" w:sz="4" w:space="0" w:color="auto"/>
            </w:tcBorders>
            <w:shd w:val="clear" w:color="auto" w:fill="auto"/>
            <w:vAlign w:val="center"/>
          </w:tcPr>
          <w:p w14:paraId="11AD5806"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4216894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11</w:t>
            </w:r>
          </w:p>
        </w:tc>
        <w:tc>
          <w:tcPr>
            <w:tcW w:w="1052" w:type="dxa"/>
            <w:tcBorders>
              <w:top w:val="nil"/>
              <w:left w:val="nil"/>
              <w:bottom w:val="single" w:sz="4" w:space="0" w:color="auto"/>
              <w:right w:val="single" w:sz="4" w:space="0" w:color="auto"/>
            </w:tcBorders>
            <w:shd w:val="clear" w:color="auto" w:fill="auto"/>
            <w:vAlign w:val="center"/>
          </w:tcPr>
          <w:p w14:paraId="759CBA2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189F9E0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E7E3D3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Podnikateľské subjekty, ktoré obchodujú s elektrinou </w:t>
            </w:r>
          </w:p>
        </w:tc>
        <w:tc>
          <w:tcPr>
            <w:tcW w:w="974" w:type="dxa"/>
            <w:tcBorders>
              <w:top w:val="nil"/>
              <w:left w:val="nil"/>
              <w:bottom w:val="single" w:sz="4" w:space="0" w:color="auto"/>
              <w:right w:val="single" w:sz="4" w:space="0" w:color="auto"/>
            </w:tcBorders>
            <w:shd w:val="clear" w:color="auto" w:fill="auto"/>
            <w:vAlign w:val="center"/>
          </w:tcPr>
          <w:p w14:paraId="0C007767" w14:textId="77777777" w:rsidR="00EC53BA" w:rsidRPr="007A3739" w:rsidRDefault="00EC53BA" w:rsidP="009A347A">
            <w:pPr>
              <w:spacing w:after="0" w:line="240" w:lineRule="auto"/>
              <w:rPr>
                <w:rFonts w:ascii="Times New Roman" w:hAnsi="Times New Roman" w:cs="Times New Roman"/>
                <w:color w:val="000000"/>
                <w:sz w:val="20"/>
                <w:szCs w:val="20"/>
              </w:rPr>
            </w:pPr>
            <w:r w:rsidRPr="007A3739">
              <w:rPr>
                <w:rFonts w:ascii="Times New Roman" w:hAnsi="Times New Roman" w:cs="Times New Roman"/>
                <w:color w:val="000000"/>
                <w:sz w:val="20"/>
                <w:szCs w:val="20"/>
              </w:rPr>
              <w:t xml:space="preserve">            </w:t>
            </w:r>
          </w:p>
          <w:p w14:paraId="08F151E9"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3 038 </w:t>
            </w:r>
          </w:p>
        </w:tc>
        <w:tc>
          <w:tcPr>
            <w:tcW w:w="1103" w:type="dxa"/>
            <w:tcBorders>
              <w:top w:val="nil"/>
              <w:left w:val="nil"/>
              <w:bottom w:val="single" w:sz="4" w:space="0" w:color="auto"/>
              <w:right w:val="single" w:sz="4" w:space="0" w:color="auto"/>
            </w:tcBorders>
            <w:shd w:val="clear" w:color="000000" w:fill="FFFFFF"/>
            <w:vAlign w:val="center"/>
          </w:tcPr>
          <w:p w14:paraId="2CE0008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2882282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7 704</w:t>
            </w:r>
          </w:p>
        </w:tc>
        <w:tc>
          <w:tcPr>
            <w:tcW w:w="945" w:type="dxa"/>
            <w:tcBorders>
              <w:top w:val="nil"/>
              <w:left w:val="nil"/>
              <w:bottom w:val="single" w:sz="4" w:space="0" w:color="auto"/>
              <w:right w:val="single" w:sz="4" w:space="0" w:color="auto"/>
            </w:tcBorders>
            <w:shd w:val="clear" w:color="auto" w:fill="auto"/>
            <w:vAlign w:val="center"/>
          </w:tcPr>
          <w:p w14:paraId="244BD8A2"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0CC27E9E"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7 704</w:t>
            </w:r>
          </w:p>
        </w:tc>
        <w:tc>
          <w:tcPr>
            <w:tcW w:w="1171" w:type="dxa"/>
            <w:tcBorders>
              <w:top w:val="nil"/>
              <w:left w:val="nil"/>
              <w:bottom w:val="single" w:sz="4" w:space="0" w:color="auto"/>
              <w:right w:val="single" w:sz="4" w:space="0" w:color="auto"/>
            </w:tcBorders>
            <w:shd w:val="clear" w:color="auto" w:fill="auto"/>
            <w:vAlign w:val="center"/>
          </w:tcPr>
          <w:p w14:paraId="1C803CFB"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1092FF61"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476A787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lastRenderedPageBreak/>
              <w:t>5</w:t>
            </w:r>
          </w:p>
        </w:tc>
        <w:tc>
          <w:tcPr>
            <w:tcW w:w="1618" w:type="dxa"/>
            <w:tcBorders>
              <w:top w:val="nil"/>
              <w:left w:val="nil"/>
              <w:bottom w:val="single" w:sz="4" w:space="0" w:color="auto"/>
              <w:right w:val="single" w:sz="4" w:space="0" w:color="auto"/>
            </w:tcBorders>
            <w:shd w:val="clear" w:color="auto" w:fill="auto"/>
            <w:vAlign w:val="center"/>
          </w:tcPr>
          <w:p w14:paraId="5A9D69C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Zjednodušenie systému registrácie platiteľa dane z uhlia </w:t>
            </w:r>
          </w:p>
        </w:tc>
        <w:tc>
          <w:tcPr>
            <w:tcW w:w="927" w:type="dxa"/>
            <w:tcBorders>
              <w:top w:val="nil"/>
              <w:left w:val="nil"/>
              <w:bottom w:val="single" w:sz="4" w:space="0" w:color="auto"/>
              <w:right w:val="single" w:sz="4" w:space="0" w:color="auto"/>
            </w:tcBorders>
            <w:shd w:val="clear" w:color="auto" w:fill="auto"/>
            <w:vAlign w:val="center"/>
          </w:tcPr>
          <w:p w14:paraId="63F0596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16A38BC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23</w:t>
            </w:r>
          </w:p>
        </w:tc>
        <w:tc>
          <w:tcPr>
            <w:tcW w:w="1052" w:type="dxa"/>
            <w:tcBorders>
              <w:top w:val="nil"/>
              <w:left w:val="nil"/>
              <w:bottom w:val="single" w:sz="4" w:space="0" w:color="auto"/>
              <w:right w:val="single" w:sz="4" w:space="0" w:color="auto"/>
            </w:tcBorders>
            <w:shd w:val="clear" w:color="auto" w:fill="auto"/>
            <w:vAlign w:val="center"/>
          </w:tcPr>
          <w:p w14:paraId="1B3641B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0B82C21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25D05A9"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obchodujú s uhlím</w:t>
            </w:r>
          </w:p>
        </w:tc>
        <w:tc>
          <w:tcPr>
            <w:tcW w:w="974" w:type="dxa"/>
            <w:tcBorders>
              <w:top w:val="nil"/>
              <w:left w:val="nil"/>
              <w:bottom w:val="single" w:sz="4" w:space="0" w:color="auto"/>
              <w:right w:val="single" w:sz="4" w:space="0" w:color="auto"/>
            </w:tcBorders>
            <w:shd w:val="clear" w:color="auto" w:fill="auto"/>
            <w:vAlign w:val="center"/>
          </w:tcPr>
          <w:p w14:paraId="35AEF04C"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328 </w:t>
            </w:r>
          </w:p>
        </w:tc>
        <w:tc>
          <w:tcPr>
            <w:tcW w:w="1103" w:type="dxa"/>
            <w:tcBorders>
              <w:top w:val="nil"/>
              <w:left w:val="nil"/>
              <w:bottom w:val="single" w:sz="4" w:space="0" w:color="auto"/>
              <w:right w:val="single" w:sz="4" w:space="0" w:color="auto"/>
            </w:tcBorders>
            <w:shd w:val="clear" w:color="000000" w:fill="FFFFFF"/>
            <w:vAlign w:val="center"/>
          </w:tcPr>
          <w:p w14:paraId="13456D8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6987865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832</w:t>
            </w:r>
          </w:p>
        </w:tc>
        <w:tc>
          <w:tcPr>
            <w:tcW w:w="945" w:type="dxa"/>
            <w:tcBorders>
              <w:top w:val="nil"/>
              <w:left w:val="nil"/>
              <w:bottom w:val="single" w:sz="4" w:space="0" w:color="auto"/>
              <w:right w:val="single" w:sz="4" w:space="0" w:color="auto"/>
            </w:tcBorders>
            <w:shd w:val="clear" w:color="auto" w:fill="auto"/>
            <w:vAlign w:val="center"/>
          </w:tcPr>
          <w:p w14:paraId="0F38CD1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111F870D"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832</w:t>
            </w:r>
          </w:p>
        </w:tc>
        <w:tc>
          <w:tcPr>
            <w:tcW w:w="1171" w:type="dxa"/>
            <w:tcBorders>
              <w:top w:val="nil"/>
              <w:left w:val="nil"/>
              <w:bottom w:val="single" w:sz="4" w:space="0" w:color="auto"/>
              <w:right w:val="single" w:sz="4" w:space="0" w:color="auto"/>
            </w:tcBorders>
            <w:shd w:val="clear" w:color="auto" w:fill="auto"/>
            <w:vAlign w:val="center"/>
          </w:tcPr>
          <w:p w14:paraId="018CC5F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6CABB89C"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725BE8A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w:t>
            </w:r>
          </w:p>
        </w:tc>
        <w:tc>
          <w:tcPr>
            <w:tcW w:w="1618" w:type="dxa"/>
            <w:tcBorders>
              <w:top w:val="nil"/>
              <w:left w:val="nil"/>
              <w:bottom w:val="single" w:sz="4" w:space="0" w:color="auto"/>
              <w:right w:val="single" w:sz="4" w:space="0" w:color="auto"/>
            </w:tcBorders>
            <w:shd w:val="clear" w:color="auto" w:fill="auto"/>
            <w:vAlign w:val="center"/>
          </w:tcPr>
          <w:p w14:paraId="4AF85D4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Zjednodušenie systému registrácie platiteľa dane zo zemného plynu</w:t>
            </w:r>
          </w:p>
        </w:tc>
        <w:tc>
          <w:tcPr>
            <w:tcW w:w="927" w:type="dxa"/>
            <w:tcBorders>
              <w:top w:val="nil"/>
              <w:left w:val="nil"/>
              <w:bottom w:val="single" w:sz="4" w:space="0" w:color="auto"/>
              <w:right w:val="single" w:sz="4" w:space="0" w:color="auto"/>
            </w:tcBorders>
            <w:shd w:val="clear" w:color="auto" w:fill="auto"/>
            <w:vAlign w:val="center"/>
          </w:tcPr>
          <w:p w14:paraId="351EC3C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784AA85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35</w:t>
            </w:r>
          </w:p>
        </w:tc>
        <w:tc>
          <w:tcPr>
            <w:tcW w:w="1052" w:type="dxa"/>
            <w:tcBorders>
              <w:top w:val="nil"/>
              <w:left w:val="nil"/>
              <w:bottom w:val="single" w:sz="4" w:space="0" w:color="auto"/>
              <w:right w:val="single" w:sz="4" w:space="0" w:color="auto"/>
            </w:tcBorders>
            <w:shd w:val="clear" w:color="auto" w:fill="auto"/>
            <w:vAlign w:val="center"/>
          </w:tcPr>
          <w:p w14:paraId="632866F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20032AD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48E249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Podnikateľské subjekty, ktoré obchodujú so zemným plynom </w:t>
            </w:r>
          </w:p>
        </w:tc>
        <w:tc>
          <w:tcPr>
            <w:tcW w:w="974" w:type="dxa"/>
            <w:tcBorders>
              <w:top w:val="nil"/>
              <w:left w:val="nil"/>
              <w:bottom w:val="single" w:sz="4" w:space="0" w:color="auto"/>
              <w:right w:val="single" w:sz="4" w:space="0" w:color="auto"/>
            </w:tcBorders>
            <w:shd w:val="clear" w:color="auto" w:fill="auto"/>
            <w:vAlign w:val="center"/>
          </w:tcPr>
          <w:p w14:paraId="4C1D683A"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317 </w:t>
            </w:r>
          </w:p>
        </w:tc>
        <w:tc>
          <w:tcPr>
            <w:tcW w:w="1103" w:type="dxa"/>
            <w:tcBorders>
              <w:top w:val="nil"/>
              <w:left w:val="nil"/>
              <w:bottom w:val="single" w:sz="4" w:space="0" w:color="auto"/>
              <w:right w:val="single" w:sz="4" w:space="0" w:color="auto"/>
            </w:tcBorders>
            <w:shd w:val="clear" w:color="000000" w:fill="FFFFFF"/>
            <w:vAlign w:val="center"/>
          </w:tcPr>
          <w:p w14:paraId="1F34509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35046A5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804</w:t>
            </w:r>
          </w:p>
        </w:tc>
        <w:tc>
          <w:tcPr>
            <w:tcW w:w="945" w:type="dxa"/>
            <w:tcBorders>
              <w:top w:val="nil"/>
              <w:left w:val="nil"/>
              <w:bottom w:val="single" w:sz="4" w:space="0" w:color="auto"/>
              <w:right w:val="single" w:sz="4" w:space="0" w:color="auto"/>
            </w:tcBorders>
            <w:shd w:val="clear" w:color="auto" w:fill="auto"/>
            <w:vAlign w:val="center"/>
          </w:tcPr>
          <w:p w14:paraId="056FD83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2EC62BDE"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804</w:t>
            </w:r>
          </w:p>
        </w:tc>
        <w:tc>
          <w:tcPr>
            <w:tcW w:w="1171" w:type="dxa"/>
            <w:tcBorders>
              <w:top w:val="nil"/>
              <w:left w:val="nil"/>
              <w:bottom w:val="single" w:sz="4" w:space="0" w:color="auto"/>
              <w:right w:val="single" w:sz="4" w:space="0" w:color="auto"/>
            </w:tcBorders>
            <w:shd w:val="clear" w:color="auto" w:fill="auto"/>
            <w:vAlign w:val="center"/>
          </w:tcPr>
          <w:p w14:paraId="038DA97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386ABD3E"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12D62C3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7</w:t>
            </w:r>
          </w:p>
        </w:tc>
        <w:tc>
          <w:tcPr>
            <w:tcW w:w="1618" w:type="dxa"/>
            <w:tcBorders>
              <w:top w:val="nil"/>
              <w:left w:val="nil"/>
              <w:bottom w:val="single" w:sz="4" w:space="0" w:color="auto"/>
              <w:right w:val="single" w:sz="4" w:space="0" w:color="auto"/>
            </w:tcBorders>
            <w:shd w:val="clear" w:color="auto" w:fill="auto"/>
            <w:vAlign w:val="center"/>
          </w:tcPr>
          <w:p w14:paraId="3D6AF10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Vedenie evidencie platiteľa dane z elektriny</w:t>
            </w:r>
          </w:p>
        </w:tc>
        <w:tc>
          <w:tcPr>
            <w:tcW w:w="927" w:type="dxa"/>
            <w:tcBorders>
              <w:top w:val="nil"/>
              <w:left w:val="nil"/>
              <w:bottom w:val="single" w:sz="4" w:space="0" w:color="auto"/>
              <w:right w:val="single" w:sz="4" w:space="0" w:color="auto"/>
            </w:tcBorders>
            <w:shd w:val="clear" w:color="auto" w:fill="auto"/>
            <w:vAlign w:val="center"/>
          </w:tcPr>
          <w:p w14:paraId="4AAE6CF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2097397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14 ods. 2</w:t>
            </w:r>
          </w:p>
        </w:tc>
        <w:tc>
          <w:tcPr>
            <w:tcW w:w="1052" w:type="dxa"/>
            <w:tcBorders>
              <w:top w:val="nil"/>
              <w:left w:val="nil"/>
              <w:bottom w:val="single" w:sz="4" w:space="0" w:color="auto"/>
              <w:right w:val="single" w:sz="4" w:space="0" w:color="auto"/>
            </w:tcBorders>
            <w:shd w:val="clear" w:color="auto" w:fill="auto"/>
            <w:vAlign w:val="center"/>
          </w:tcPr>
          <w:p w14:paraId="6485509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69729FE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6D6E41D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eastAsia="Times New Roman" w:hAnsi="Times New Roman" w:cs="Times New Roman"/>
                <w:color w:val="000000"/>
                <w:sz w:val="20"/>
                <w:szCs w:val="20"/>
                <w:lang w:eastAsia="sk-SK"/>
              </w:rPr>
              <w:t>Podnikateľské subjekty, ktoré obchodujú s elektrinou</w:t>
            </w:r>
          </w:p>
        </w:tc>
        <w:tc>
          <w:tcPr>
            <w:tcW w:w="974" w:type="dxa"/>
            <w:tcBorders>
              <w:top w:val="nil"/>
              <w:left w:val="nil"/>
              <w:bottom w:val="single" w:sz="4" w:space="0" w:color="auto"/>
              <w:right w:val="single" w:sz="4" w:space="0" w:color="auto"/>
            </w:tcBorders>
            <w:shd w:val="clear" w:color="auto" w:fill="auto"/>
            <w:vAlign w:val="center"/>
          </w:tcPr>
          <w:p w14:paraId="39E05016"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45 </w:t>
            </w:r>
          </w:p>
        </w:tc>
        <w:tc>
          <w:tcPr>
            <w:tcW w:w="1103" w:type="dxa"/>
            <w:tcBorders>
              <w:top w:val="nil"/>
              <w:left w:val="nil"/>
              <w:bottom w:val="single" w:sz="4" w:space="0" w:color="auto"/>
              <w:right w:val="single" w:sz="4" w:space="0" w:color="auto"/>
            </w:tcBorders>
            <w:shd w:val="clear" w:color="000000" w:fill="FFFFFF"/>
            <w:vAlign w:val="center"/>
          </w:tcPr>
          <w:p w14:paraId="6D6D2F6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6,08640625</w:t>
            </w:r>
          </w:p>
        </w:tc>
        <w:tc>
          <w:tcPr>
            <w:tcW w:w="1204" w:type="dxa"/>
            <w:tcBorders>
              <w:top w:val="nil"/>
              <w:left w:val="nil"/>
              <w:bottom w:val="single" w:sz="4" w:space="0" w:color="auto"/>
              <w:right w:val="single" w:sz="4" w:space="0" w:color="auto"/>
            </w:tcBorders>
            <w:shd w:val="clear" w:color="auto" w:fill="auto"/>
            <w:vAlign w:val="center"/>
          </w:tcPr>
          <w:p w14:paraId="10BFC92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273,8882813</w:t>
            </w:r>
          </w:p>
        </w:tc>
        <w:tc>
          <w:tcPr>
            <w:tcW w:w="945" w:type="dxa"/>
            <w:tcBorders>
              <w:top w:val="nil"/>
              <w:left w:val="nil"/>
              <w:bottom w:val="single" w:sz="4" w:space="0" w:color="auto"/>
              <w:right w:val="single" w:sz="4" w:space="0" w:color="auto"/>
            </w:tcBorders>
            <w:shd w:val="clear" w:color="auto" w:fill="auto"/>
            <w:vAlign w:val="center"/>
          </w:tcPr>
          <w:p w14:paraId="28957F8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In (zvyšuje náklady)</w:t>
            </w:r>
          </w:p>
        </w:tc>
        <w:tc>
          <w:tcPr>
            <w:tcW w:w="1214" w:type="dxa"/>
            <w:tcBorders>
              <w:top w:val="nil"/>
              <w:left w:val="nil"/>
              <w:bottom w:val="single" w:sz="4" w:space="0" w:color="auto"/>
              <w:right w:val="single" w:sz="4" w:space="0" w:color="auto"/>
            </w:tcBorders>
            <w:shd w:val="clear" w:color="auto" w:fill="auto"/>
            <w:vAlign w:val="center"/>
          </w:tcPr>
          <w:p w14:paraId="0A49BF53"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color w:val="000000"/>
                <w:sz w:val="20"/>
                <w:szCs w:val="20"/>
              </w:rPr>
              <w:t>273,8882813</w:t>
            </w:r>
          </w:p>
        </w:tc>
        <w:tc>
          <w:tcPr>
            <w:tcW w:w="1171" w:type="dxa"/>
            <w:tcBorders>
              <w:top w:val="nil"/>
              <w:left w:val="nil"/>
              <w:bottom w:val="single" w:sz="4" w:space="0" w:color="auto"/>
              <w:right w:val="single" w:sz="4" w:space="0" w:color="auto"/>
            </w:tcBorders>
            <w:shd w:val="clear" w:color="auto" w:fill="auto"/>
            <w:vAlign w:val="center"/>
          </w:tcPr>
          <w:p w14:paraId="4A3D9AD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3295864D"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71EACCC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8</w:t>
            </w:r>
          </w:p>
        </w:tc>
        <w:tc>
          <w:tcPr>
            <w:tcW w:w="1618" w:type="dxa"/>
            <w:tcBorders>
              <w:top w:val="nil"/>
              <w:left w:val="nil"/>
              <w:bottom w:val="single" w:sz="4" w:space="0" w:color="auto"/>
              <w:right w:val="single" w:sz="4" w:space="0" w:color="auto"/>
            </w:tcBorders>
            <w:shd w:val="clear" w:color="auto" w:fill="auto"/>
            <w:vAlign w:val="center"/>
          </w:tcPr>
          <w:p w14:paraId="57BE3B7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Vedenie evidencie platiteľa dane z uhlia</w:t>
            </w:r>
          </w:p>
        </w:tc>
        <w:tc>
          <w:tcPr>
            <w:tcW w:w="927" w:type="dxa"/>
            <w:tcBorders>
              <w:top w:val="nil"/>
              <w:left w:val="nil"/>
              <w:bottom w:val="single" w:sz="4" w:space="0" w:color="auto"/>
              <w:right w:val="single" w:sz="4" w:space="0" w:color="auto"/>
            </w:tcBorders>
            <w:shd w:val="clear" w:color="auto" w:fill="auto"/>
            <w:vAlign w:val="center"/>
          </w:tcPr>
          <w:p w14:paraId="37FD24EB"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057E248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26 ods. 2</w:t>
            </w:r>
          </w:p>
        </w:tc>
        <w:tc>
          <w:tcPr>
            <w:tcW w:w="1052" w:type="dxa"/>
            <w:tcBorders>
              <w:top w:val="nil"/>
              <w:left w:val="nil"/>
              <w:bottom w:val="single" w:sz="4" w:space="0" w:color="auto"/>
              <w:right w:val="single" w:sz="4" w:space="0" w:color="auto"/>
            </w:tcBorders>
            <w:shd w:val="clear" w:color="auto" w:fill="auto"/>
            <w:vAlign w:val="center"/>
          </w:tcPr>
          <w:p w14:paraId="534C7B7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3828E942"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148953D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obchodujú s uhlím</w:t>
            </w:r>
          </w:p>
        </w:tc>
        <w:tc>
          <w:tcPr>
            <w:tcW w:w="974" w:type="dxa"/>
            <w:tcBorders>
              <w:top w:val="nil"/>
              <w:left w:val="nil"/>
              <w:bottom w:val="single" w:sz="4" w:space="0" w:color="auto"/>
              <w:right w:val="single" w:sz="4" w:space="0" w:color="auto"/>
            </w:tcBorders>
            <w:shd w:val="clear" w:color="auto" w:fill="auto"/>
            <w:vAlign w:val="center"/>
          </w:tcPr>
          <w:p w14:paraId="7361D776"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12 </w:t>
            </w:r>
          </w:p>
        </w:tc>
        <w:tc>
          <w:tcPr>
            <w:tcW w:w="1103" w:type="dxa"/>
            <w:tcBorders>
              <w:top w:val="nil"/>
              <w:left w:val="nil"/>
              <w:bottom w:val="single" w:sz="4" w:space="0" w:color="auto"/>
              <w:right w:val="single" w:sz="4" w:space="0" w:color="auto"/>
            </w:tcBorders>
            <w:shd w:val="clear" w:color="000000" w:fill="FFFFFF"/>
            <w:vAlign w:val="center"/>
          </w:tcPr>
          <w:p w14:paraId="0B93B5D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w:t>
            </w:r>
          </w:p>
        </w:tc>
        <w:tc>
          <w:tcPr>
            <w:tcW w:w="1204" w:type="dxa"/>
            <w:tcBorders>
              <w:top w:val="nil"/>
              <w:left w:val="nil"/>
              <w:bottom w:val="single" w:sz="4" w:space="0" w:color="auto"/>
              <w:right w:val="single" w:sz="4" w:space="0" w:color="auto"/>
            </w:tcBorders>
            <w:shd w:val="clear" w:color="auto" w:fill="auto"/>
            <w:vAlign w:val="center"/>
          </w:tcPr>
          <w:p w14:paraId="3CB3C93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73</w:t>
            </w:r>
          </w:p>
        </w:tc>
        <w:tc>
          <w:tcPr>
            <w:tcW w:w="945" w:type="dxa"/>
            <w:tcBorders>
              <w:top w:val="nil"/>
              <w:left w:val="nil"/>
              <w:bottom w:val="single" w:sz="4" w:space="0" w:color="auto"/>
              <w:right w:val="single" w:sz="4" w:space="0" w:color="auto"/>
            </w:tcBorders>
            <w:shd w:val="clear" w:color="auto" w:fill="auto"/>
            <w:vAlign w:val="center"/>
          </w:tcPr>
          <w:p w14:paraId="583AB066"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In (zvyšuje náklady)</w:t>
            </w:r>
          </w:p>
        </w:tc>
        <w:tc>
          <w:tcPr>
            <w:tcW w:w="1214" w:type="dxa"/>
            <w:tcBorders>
              <w:top w:val="nil"/>
              <w:left w:val="nil"/>
              <w:bottom w:val="single" w:sz="4" w:space="0" w:color="auto"/>
              <w:right w:val="single" w:sz="4" w:space="0" w:color="auto"/>
            </w:tcBorders>
            <w:shd w:val="clear" w:color="auto" w:fill="auto"/>
            <w:vAlign w:val="center"/>
          </w:tcPr>
          <w:p w14:paraId="5E8E1118"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73</w:t>
            </w:r>
          </w:p>
        </w:tc>
        <w:tc>
          <w:tcPr>
            <w:tcW w:w="1171" w:type="dxa"/>
            <w:tcBorders>
              <w:top w:val="nil"/>
              <w:left w:val="nil"/>
              <w:bottom w:val="single" w:sz="4" w:space="0" w:color="auto"/>
              <w:right w:val="single" w:sz="4" w:space="0" w:color="auto"/>
            </w:tcBorders>
            <w:shd w:val="clear" w:color="auto" w:fill="auto"/>
            <w:vAlign w:val="center"/>
          </w:tcPr>
          <w:p w14:paraId="0B32AFF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583144ED"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2D4DFD3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9</w:t>
            </w:r>
          </w:p>
        </w:tc>
        <w:tc>
          <w:tcPr>
            <w:tcW w:w="1618" w:type="dxa"/>
            <w:tcBorders>
              <w:top w:val="nil"/>
              <w:left w:val="nil"/>
              <w:bottom w:val="single" w:sz="4" w:space="0" w:color="auto"/>
              <w:right w:val="single" w:sz="4" w:space="0" w:color="auto"/>
            </w:tcBorders>
            <w:shd w:val="clear" w:color="auto" w:fill="auto"/>
            <w:vAlign w:val="center"/>
          </w:tcPr>
          <w:p w14:paraId="23F7ADC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Vedenie evidencie platiteľa dane zo zemného plynu </w:t>
            </w:r>
          </w:p>
        </w:tc>
        <w:tc>
          <w:tcPr>
            <w:tcW w:w="927" w:type="dxa"/>
            <w:tcBorders>
              <w:top w:val="nil"/>
              <w:left w:val="nil"/>
              <w:bottom w:val="single" w:sz="4" w:space="0" w:color="auto"/>
              <w:right w:val="single" w:sz="4" w:space="0" w:color="auto"/>
            </w:tcBorders>
            <w:shd w:val="clear" w:color="auto" w:fill="auto"/>
            <w:vAlign w:val="center"/>
          </w:tcPr>
          <w:p w14:paraId="6FD3594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1A13ECE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38 ods. 2 </w:t>
            </w:r>
          </w:p>
        </w:tc>
        <w:tc>
          <w:tcPr>
            <w:tcW w:w="1052" w:type="dxa"/>
            <w:tcBorders>
              <w:top w:val="nil"/>
              <w:left w:val="nil"/>
              <w:bottom w:val="single" w:sz="4" w:space="0" w:color="auto"/>
              <w:right w:val="single" w:sz="4" w:space="0" w:color="auto"/>
            </w:tcBorders>
            <w:shd w:val="clear" w:color="auto" w:fill="auto"/>
            <w:vAlign w:val="center"/>
          </w:tcPr>
          <w:p w14:paraId="09742F1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4940332B"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EF7C4F9"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Podnikateľské subjekty, ktoré obchodujú so zemným plynom </w:t>
            </w:r>
          </w:p>
        </w:tc>
        <w:tc>
          <w:tcPr>
            <w:tcW w:w="974" w:type="dxa"/>
            <w:tcBorders>
              <w:top w:val="nil"/>
              <w:left w:val="nil"/>
              <w:bottom w:val="single" w:sz="4" w:space="0" w:color="auto"/>
              <w:right w:val="single" w:sz="4" w:space="0" w:color="auto"/>
            </w:tcBorders>
            <w:shd w:val="clear" w:color="auto" w:fill="auto"/>
            <w:vAlign w:val="center"/>
          </w:tcPr>
          <w:p w14:paraId="424C61D1"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25 </w:t>
            </w:r>
          </w:p>
        </w:tc>
        <w:tc>
          <w:tcPr>
            <w:tcW w:w="1103" w:type="dxa"/>
            <w:tcBorders>
              <w:top w:val="nil"/>
              <w:left w:val="nil"/>
              <w:bottom w:val="single" w:sz="4" w:space="0" w:color="auto"/>
              <w:right w:val="single" w:sz="4" w:space="0" w:color="auto"/>
            </w:tcBorders>
            <w:shd w:val="clear" w:color="000000" w:fill="FFFFFF"/>
            <w:vAlign w:val="center"/>
          </w:tcPr>
          <w:p w14:paraId="0751753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w:t>
            </w:r>
          </w:p>
        </w:tc>
        <w:tc>
          <w:tcPr>
            <w:tcW w:w="1204" w:type="dxa"/>
            <w:tcBorders>
              <w:top w:val="nil"/>
              <w:left w:val="nil"/>
              <w:bottom w:val="single" w:sz="4" w:space="0" w:color="auto"/>
              <w:right w:val="single" w:sz="4" w:space="0" w:color="auto"/>
            </w:tcBorders>
            <w:shd w:val="clear" w:color="auto" w:fill="auto"/>
            <w:vAlign w:val="center"/>
          </w:tcPr>
          <w:p w14:paraId="5B0A236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152</w:t>
            </w:r>
          </w:p>
        </w:tc>
        <w:tc>
          <w:tcPr>
            <w:tcW w:w="945" w:type="dxa"/>
            <w:tcBorders>
              <w:top w:val="nil"/>
              <w:left w:val="nil"/>
              <w:bottom w:val="single" w:sz="4" w:space="0" w:color="auto"/>
              <w:right w:val="single" w:sz="4" w:space="0" w:color="auto"/>
            </w:tcBorders>
            <w:shd w:val="clear" w:color="auto" w:fill="auto"/>
            <w:vAlign w:val="center"/>
          </w:tcPr>
          <w:p w14:paraId="2EFD2C9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In (zvyšuje náklady)</w:t>
            </w:r>
          </w:p>
        </w:tc>
        <w:tc>
          <w:tcPr>
            <w:tcW w:w="1214" w:type="dxa"/>
            <w:tcBorders>
              <w:top w:val="nil"/>
              <w:left w:val="nil"/>
              <w:bottom w:val="single" w:sz="4" w:space="0" w:color="auto"/>
              <w:right w:val="single" w:sz="4" w:space="0" w:color="auto"/>
            </w:tcBorders>
            <w:shd w:val="clear" w:color="auto" w:fill="auto"/>
            <w:vAlign w:val="center"/>
          </w:tcPr>
          <w:p w14:paraId="41A56916"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152</w:t>
            </w:r>
          </w:p>
        </w:tc>
        <w:tc>
          <w:tcPr>
            <w:tcW w:w="1171" w:type="dxa"/>
            <w:tcBorders>
              <w:top w:val="nil"/>
              <w:left w:val="nil"/>
              <w:bottom w:val="single" w:sz="4" w:space="0" w:color="auto"/>
              <w:right w:val="single" w:sz="4" w:space="0" w:color="auto"/>
            </w:tcBorders>
            <w:shd w:val="clear" w:color="auto" w:fill="auto"/>
            <w:vAlign w:val="center"/>
          </w:tcPr>
          <w:p w14:paraId="01BD59F9"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6C809F9B"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752E1D0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10</w:t>
            </w:r>
          </w:p>
        </w:tc>
        <w:tc>
          <w:tcPr>
            <w:tcW w:w="1618" w:type="dxa"/>
            <w:tcBorders>
              <w:top w:val="nil"/>
              <w:left w:val="nil"/>
              <w:bottom w:val="single" w:sz="4" w:space="0" w:color="auto"/>
              <w:right w:val="single" w:sz="4" w:space="0" w:color="auto"/>
            </w:tcBorders>
            <w:shd w:val="clear" w:color="auto" w:fill="auto"/>
            <w:vAlign w:val="center"/>
          </w:tcPr>
          <w:p w14:paraId="051C79B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Zrušenie povinnosti registrácie pre malých výrobcov elektriny </w:t>
            </w:r>
          </w:p>
        </w:tc>
        <w:tc>
          <w:tcPr>
            <w:tcW w:w="927" w:type="dxa"/>
            <w:tcBorders>
              <w:top w:val="nil"/>
              <w:left w:val="nil"/>
              <w:bottom w:val="single" w:sz="4" w:space="0" w:color="auto"/>
              <w:right w:val="single" w:sz="4" w:space="0" w:color="auto"/>
            </w:tcBorders>
            <w:shd w:val="clear" w:color="auto" w:fill="auto"/>
            <w:vAlign w:val="center"/>
          </w:tcPr>
          <w:p w14:paraId="3076828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4D794F9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2ods. 1 písm. p)</w:t>
            </w:r>
          </w:p>
        </w:tc>
        <w:tc>
          <w:tcPr>
            <w:tcW w:w="1052" w:type="dxa"/>
            <w:tcBorders>
              <w:top w:val="nil"/>
              <w:left w:val="nil"/>
              <w:bottom w:val="single" w:sz="4" w:space="0" w:color="auto"/>
              <w:right w:val="single" w:sz="4" w:space="0" w:color="auto"/>
            </w:tcBorders>
            <w:shd w:val="clear" w:color="auto" w:fill="auto"/>
            <w:vAlign w:val="center"/>
          </w:tcPr>
          <w:p w14:paraId="41EF9E6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209C14D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1ED7F33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vyrábajú elektrinu do 5 MW zo zdanených vstupov</w:t>
            </w:r>
          </w:p>
        </w:tc>
        <w:tc>
          <w:tcPr>
            <w:tcW w:w="974" w:type="dxa"/>
            <w:tcBorders>
              <w:top w:val="nil"/>
              <w:left w:val="nil"/>
              <w:bottom w:val="single" w:sz="4" w:space="0" w:color="auto"/>
              <w:right w:val="single" w:sz="4" w:space="0" w:color="auto"/>
            </w:tcBorders>
            <w:shd w:val="clear" w:color="auto" w:fill="auto"/>
            <w:vAlign w:val="center"/>
          </w:tcPr>
          <w:p w14:paraId="5D996109"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50 </w:t>
            </w:r>
          </w:p>
        </w:tc>
        <w:tc>
          <w:tcPr>
            <w:tcW w:w="1103" w:type="dxa"/>
            <w:tcBorders>
              <w:top w:val="nil"/>
              <w:left w:val="nil"/>
              <w:bottom w:val="single" w:sz="4" w:space="0" w:color="auto"/>
              <w:right w:val="single" w:sz="4" w:space="0" w:color="auto"/>
            </w:tcBorders>
            <w:shd w:val="clear" w:color="000000" w:fill="FFFFFF"/>
            <w:vAlign w:val="center"/>
          </w:tcPr>
          <w:p w14:paraId="602C85F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eastAsia="Times New Roman" w:hAnsi="Times New Roman" w:cs="Times New Roman"/>
                <w:color w:val="000000"/>
                <w:sz w:val="20"/>
                <w:szCs w:val="20"/>
                <w:lang w:eastAsia="sk-SK"/>
              </w:rPr>
              <w:t>2</w:t>
            </w:r>
          </w:p>
        </w:tc>
        <w:tc>
          <w:tcPr>
            <w:tcW w:w="1204" w:type="dxa"/>
            <w:tcBorders>
              <w:top w:val="nil"/>
              <w:left w:val="nil"/>
              <w:bottom w:val="single" w:sz="4" w:space="0" w:color="auto"/>
              <w:right w:val="single" w:sz="4" w:space="0" w:color="auto"/>
            </w:tcBorders>
            <w:shd w:val="clear" w:color="auto" w:fill="auto"/>
            <w:vAlign w:val="center"/>
          </w:tcPr>
          <w:p w14:paraId="271D0E1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eastAsia="Times New Roman" w:hAnsi="Times New Roman" w:cs="Times New Roman"/>
                <w:color w:val="000000"/>
                <w:sz w:val="20"/>
                <w:szCs w:val="20"/>
                <w:lang w:eastAsia="sk-SK"/>
              </w:rPr>
              <w:t>76</w:t>
            </w:r>
          </w:p>
        </w:tc>
        <w:tc>
          <w:tcPr>
            <w:tcW w:w="945" w:type="dxa"/>
            <w:tcBorders>
              <w:top w:val="nil"/>
              <w:left w:val="nil"/>
              <w:bottom w:val="single" w:sz="4" w:space="0" w:color="auto"/>
              <w:right w:val="single" w:sz="4" w:space="0" w:color="auto"/>
            </w:tcBorders>
            <w:shd w:val="clear" w:color="auto" w:fill="auto"/>
            <w:vAlign w:val="center"/>
          </w:tcPr>
          <w:p w14:paraId="20B206E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68C0C75A"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76</w:t>
            </w:r>
          </w:p>
        </w:tc>
        <w:tc>
          <w:tcPr>
            <w:tcW w:w="1171" w:type="dxa"/>
            <w:tcBorders>
              <w:top w:val="nil"/>
              <w:left w:val="nil"/>
              <w:bottom w:val="single" w:sz="4" w:space="0" w:color="auto"/>
              <w:right w:val="single" w:sz="4" w:space="0" w:color="auto"/>
            </w:tcBorders>
            <w:shd w:val="clear" w:color="auto" w:fill="auto"/>
            <w:vAlign w:val="center"/>
          </w:tcPr>
          <w:p w14:paraId="46ACC14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bl>
    <w:p w14:paraId="1D77E815" w14:textId="77777777" w:rsidR="00EC53BA" w:rsidRPr="00554BD8" w:rsidRDefault="00EC53BA" w:rsidP="00EC53BA">
      <w:pPr>
        <w:jc w:val="both"/>
        <w:rPr>
          <w:rFonts w:ascii="Times New Roman" w:eastAsia="Calibri" w:hAnsi="Times New Roman" w:cs="Times New Roman"/>
          <w:i/>
          <w:sz w:val="20"/>
          <w:szCs w:val="20"/>
        </w:rPr>
      </w:pPr>
    </w:p>
    <w:p w14:paraId="1C0F4154" w14:textId="77777777" w:rsidR="00EC53BA" w:rsidRPr="00895898" w:rsidRDefault="00EC53BA" w:rsidP="00EC53BA">
      <w:pPr>
        <w:jc w:val="both"/>
        <w:rPr>
          <w:rFonts w:ascii="Times New Roman" w:eastAsia="Calibri" w:hAnsi="Times New Roman" w:cs="Times New Roman"/>
          <w:b/>
          <w:bCs/>
          <w:i/>
          <w:sz w:val="24"/>
          <w:szCs w:val="24"/>
        </w:rPr>
        <w:sectPr w:rsidR="00EC53BA" w:rsidRPr="00895898" w:rsidSect="00EC53BA">
          <w:pgSz w:w="16838" w:h="11906" w:orient="landscape"/>
          <w:pgMar w:top="1418" w:right="1417" w:bottom="1417" w:left="1418" w:header="709" w:footer="709" w:gutter="0"/>
          <w:cols w:space="708"/>
          <w:docGrid w:linePitch="360"/>
        </w:sectPr>
      </w:pPr>
    </w:p>
    <w:p w14:paraId="1049E2E0" w14:textId="77777777" w:rsidR="00EC53BA" w:rsidRPr="00FA1CC0" w:rsidRDefault="00EC53BA" w:rsidP="00EC53BA">
      <w:pPr>
        <w:jc w:val="both"/>
        <w:rPr>
          <w:rFonts w:ascii="Times New Roman" w:eastAsia="Calibri" w:hAnsi="Times New Roman" w:cs="Times New Roman"/>
          <w:b/>
          <w:bCs/>
          <w:i/>
          <w:u w:val="single"/>
        </w:rPr>
      </w:pPr>
      <w:r w:rsidRPr="00FA1CC0">
        <w:rPr>
          <w:rFonts w:ascii="Times New Roman" w:eastAsia="Calibri" w:hAnsi="Times New Roman" w:cs="Times New Roman"/>
          <w:b/>
          <w:bCs/>
          <w:i/>
          <w:u w:val="single"/>
        </w:rPr>
        <w:lastRenderedPageBreak/>
        <w:t xml:space="preserve">3.1.3 Doplňujúce informácie k spôsobu výpočtu vplyvov jednotlivých regulácií na zmenu nákladov </w:t>
      </w:r>
    </w:p>
    <w:p w14:paraId="7D91570E"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V predkladanom návrhu zákona bolo identifikovaných 9 regulácií s vplyvom na podnikateľské prostredie. Predmetom Kalkulačky nákladov sú regulácie súvisiace so znížením alebo zvýšením administratívnej záťaže:</w:t>
      </w:r>
    </w:p>
    <w:p w14:paraId="4BC5B051" w14:textId="77777777" w:rsidR="00EC53BA" w:rsidRPr="00FA1CC0" w:rsidRDefault="00EC53BA" w:rsidP="00EC53BA">
      <w:pPr>
        <w:spacing w:after="0"/>
        <w:jc w:val="both"/>
        <w:rPr>
          <w:rFonts w:ascii="Times New Roman" w:hAnsi="Times New Roman" w:cs="Times New Roman"/>
        </w:rPr>
      </w:pPr>
    </w:p>
    <w:p w14:paraId="7A09F38E"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 xml:space="preserve">Zjednodušenie systému registrácie oprávnených spotrebiteľov elektriny </w:t>
      </w:r>
    </w:p>
    <w:p w14:paraId="6AD19082" w14:textId="77777777" w:rsidR="00EC53BA" w:rsidRPr="00FA1CC0" w:rsidRDefault="00EC53BA" w:rsidP="00EC53BA">
      <w:pPr>
        <w:pStyle w:val="Odsekzoznamu"/>
        <w:spacing w:after="0"/>
        <w:ind w:left="0"/>
        <w:jc w:val="both"/>
        <w:rPr>
          <w:rFonts w:ascii="Times New Roman" w:hAnsi="Times New Roman" w:cs="Times New Roman"/>
          <w:b/>
        </w:rPr>
      </w:pPr>
    </w:p>
    <w:p w14:paraId="04A1CA3C"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Počet dotknutých subjektov 149 bol určený na základe údajov FR SR k 12. 09. 2024. Náklady regulácie boli určené ako administratívne. Pri kvantifikácii bol zvolený postup na základe alternatívy č. 1. Podmienky pre registráciu oprávneného spotrebiteľa elektriny ako také zostávajú rovnaké, k zmene však dochádza v prípade, ak by osoba – oprávnený spotrebiteľ elektriny bola registrovaná aj ako platiteľ dane z elektriny. Cieľom legislatívneho návrhu pritom je, aby došlo k zjednodušeniu systému registrácie a aby každá osoba mala len jedno registračné číslo, prioritne, aby bola registrovaná ako platiteľ dane z elektriny.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4DD80EC7" w14:textId="77777777" w:rsidR="00EC53BA" w:rsidRPr="00FA1CC0" w:rsidRDefault="00EC53BA" w:rsidP="00EC53BA">
      <w:pPr>
        <w:spacing w:after="0"/>
        <w:jc w:val="both"/>
        <w:rPr>
          <w:rFonts w:ascii="Times New Roman" w:hAnsi="Times New Roman" w:cs="Times New Roman"/>
          <w:b/>
        </w:rPr>
      </w:pPr>
    </w:p>
    <w:p w14:paraId="74BBBDDC"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oprávnených spotrebiteľov uhlia</w:t>
      </w:r>
    </w:p>
    <w:p w14:paraId="616F8B65" w14:textId="77777777" w:rsidR="00EC53BA" w:rsidRPr="00FA1CC0" w:rsidRDefault="00EC53BA" w:rsidP="00EC53BA">
      <w:pPr>
        <w:pStyle w:val="Odsekzoznamu"/>
        <w:spacing w:after="0"/>
        <w:ind w:left="0"/>
        <w:jc w:val="both"/>
        <w:rPr>
          <w:rFonts w:ascii="Times New Roman" w:hAnsi="Times New Roman" w:cs="Times New Roman"/>
          <w:b/>
        </w:rPr>
      </w:pPr>
    </w:p>
    <w:p w14:paraId="0F437FE1"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Počet dotknutých subjektov 39 bol určený na základe údajov FR SR k 12. 09. 2024. Náklady regulácie boli určené ako administratívne. Pri kvantifikácii bol zvolený postup na základe alternatívy č. 1. Podmienky pre registráciu oprávneného spotrebiteľa uhlia ako také zostávajú rovnaké, k zmene však dochádza v prípade, ak by osoba – oprávnený spotrebiteľ uhlia bola registrovaná aj ako platiteľ dane z uhlia. Cieľom legislatívneho návrhu pritom je, aby došlo k zjednodušeniu systému registrácie a aby každá osoba mala len jedno registračné číslo, prioritne, aby bola registrovaná ako platiteľ dane z uhlia.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2B8D9A94" w14:textId="77777777" w:rsidR="00EC53BA" w:rsidRPr="00FA1CC0" w:rsidRDefault="00EC53BA" w:rsidP="00EC53BA">
      <w:pPr>
        <w:pStyle w:val="Odsekzoznamu"/>
        <w:spacing w:after="0"/>
        <w:ind w:left="0"/>
        <w:jc w:val="both"/>
        <w:rPr>
          <w:rFonts w:ascii="Times New Roman" w:hAnsi="Times New Roman" w:cs="Times New Roman"/>
          <w:b/>
        </w:rPr>
      </w:pPr>
    </w:p>
    <w:p w14:paraId="726FF050"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oprávnených spotrebiteľov zemného plynu</w:t>
      </w:r>
    </w:p>
    <w:p w14:paraId="4B631104" w14:textId="77777777" w:rsidR="00EC53BA" w:rsidRPr="00FA1CC0" w:rsidRDefault="00EC53BA" w:rsidP="00EC53BA">
      <w:pPr>
        <w:pStyle w:val="Odsekzoznamu"/>
        <w:spacing w:after="0"/>
        <w:ind w:left="0"/>
        <w:jc w:val="both"/>
        <w:rPr>
          <w:rFonts w:ascii="Times New Roman" w:hAnsi="Times New Roman" w:cs="Times New Roman"/>
          <w:b/>
        </w:rPr>
      </w:pPr>
    </w:p>
    <w:p w14:paraId="3290AC48"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Počet dotknutých subjektov 248 bol určený na základe údajov FR SR k 12. 09. 2024. Náklady regulácie boli určené ako administratívne. Pri kvantifikácii bol zvolený postup na základe alternatívy č. 1. Podmienky pre registráciu oprávneného spotrebiteľa zemného plynu ako také zostávajú rovnaké, k zmene však dochádza v prípade, ak by osoba – oprávnený spotrebiteľ zemného plynu bola registrovaná aj ako platiteľ dane zo zemného plynu. Cieľom legislatívneho návrhu pritom je, aby došlo k zjednodušeniu systému registrácie a aby každá osoba mala len jedno registračné číslo, prioritne, aby bola registrovaná ako platiteľ dane zo zemného plynu.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732E1A39" w14:textId="77777777" w:rsidR="00EC53BA" w:rsidRPr="00FA1CC0" w:rsidRDefault="00EC53BA" w:rsidP="00EC53BA">
      <w:pPr>
        <w:spacing w:after="0"/>
        <w:jc w:val="both"/>
        <w:rPr>
          <w:rFonts w:ascii="Times New Roman" w:hAnsi="Times New Roman" w:cs="Times New Roman"/>
        </w:rPr>
      </w:pPr>
    </w:p>
    <w:p w14:paraId="4AB0F544"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platiteľa dane z elektriny</w:t>
      </w:r>
    </w:p>
    <w:p w14:paraId="01BE1596" w14:textId="77777777" w:rsidR="00EC53BA" w:rsidRPr="00FA1CC0" w:rsidRDefault="00EC53BA" w:rsidP="00EC53BA">
      <w:pPr>
        <w:pStyle w:val="Odsekzoznamu"/>
        <w:spacing w:after="0"/>
        <w:ind w:left="0"/>
        <w:jc w:val="both"/>
        <w:rPr>
          <w:rFonts w:ascii="Times New Roman" w:hAnsi="Times New Roman" w:cs="Times New Roman"/>
          <w:b/>
        </w:rPr>
      </w:pPr>
    </w:p>
    <w:p w14:paraId="744ED3D6"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Počet dotknutých subjektov 3038 bol určený na základe údajov FR SR k 12. 09. 2024. Náklady regulácie boli určené ako administratívne. Pri kvantifikácii bol zvolený postup na základe alternatívy č. 1. Cieľom legislatívneho návrhu je, aby došlo k zjednodušeniu systému registrácie a aby každá osoba mala len jedno registračné číslo, prioritne, aby bola registrovaná ako platiteľ dane z elektriny. </w:t>
      </w:r>
    </w:p>
    <w:p w14:paraId="0F21A95D"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Podmienky sa menia pre osobu, ktorá je alebo chce byť platiteľom dane z elektriny a zároveň chce vykonávať činnosti oslobodené od dane z elektriny. Takáto osoba je pri registrácii povinná okrem údajov stanovených zákonom a nevyhnutných pre registráciu platiteľa dane z elektriny predložiť aj údaje súvisiace s jej zámerom vykonávať činnosti oslobodené od dane. Zákon pritom jednoznačne stanovuje podmienky (údaje a skutočnosti), ktoré musí osoba uviesť pri registrácii. Osoba, ktorá je alebo chce byť platiteľom dane z elektriny a ktorá chce zároveň vykonávať činnosti oslobodené od dane z elektriny je povinná požiadať colný úrad o registráciu platiteľa dane z elektriny a o vydanie povolenia na používanie elektriny oslobodenej od dane. Zákon explicitne stanovuje aké údaje má obsahovať </w:t>
      </w:r>
      <w:r w:rsidRPr="00FA1CC0">
        <w:rPr>
          <w:rFonts w:ascii="Times New Roman" w:hAnsi="Times New Roman" w:cs="Times New Roman"/>
        </w:rPr>
        <w:lastRenderedPageBreak/>
        <w:t xml:space="preserve">žiadosť o vydanie takéhoto povolenia a aké sú prílohy k nej. Zároveň stanovuje postup v prípade, že takáto osoba nedisponuje samostatným odberným miestom výlučne na odber elektriny oslobodenej od dane, keďže bude vykonávať činnosti oslobodené od dane. </w:t>
      </w:r>
    </w:p>
    <w:p w14:paraId="196B1F7E"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Návrh zachováva princíp, aby nebolo možné dodať elektrinu bez dane osobe, ktorá nie je registrovaná ako platiteľ dane z elektriny. To, či je osoba registrovaná ako platiteľ dane z elektriny si dodávateľ môže overiť na stránke Finančnej správy SR. Upúšťa sa tak od papierovej verzie dokumentov a preukazovania sa/predkladania dokumentov dodávateľovi elektriny. Platiteľ dane z elektriny, ktorý bude mať vydané povolenie na používanie elektriny oslobodenej od dane si bude môcť vysporiadať oslobodenie od dane sám v daňovom priznaní, kde si môže spotrebu elektriny na oslobodené účely priamo vykázať – oslobodiť.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3DA3DBEC" w14:textId="77777777" w:rsidR="00EC53BA" w:rsidRPr="00FA1CC0" w:rsidRDefault="00EC53BA" w:rsidP="00EC53BA">
      <w:pPr>
        <w:pStyle w:val="Odsekzoznamu"/>
        <w:spacing w:after="0"/>
        <w:ind w:left="0"/>
        <w:jc w:val="both"/>
        <w:rPr>
          <w:rFonts w:ascii="Times New Roman" w:hAnsi="Times New Roman" w:cs="Times New Roman"/>
          <w:b/>
        </w:rPr>
      </w:pPr>
    </w:p>
    <w:p w14:paraId="5238BA96"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platiteľa dane z uhlia</w:t>
      </w:r>
    </w:p>
    <w:p w14:paraId="655ADBC4" w14:textId="77777777" w:rsidR="00EC53BA" w:rsidRPr="00FA1CC0" w:rsidRDefault="00EC53BA" w:rsidP="00EC53BA">
      <w:pPr>
        <w:pStyle w:val="Odsekzoznamu"/>
        <w:spacing w:after="0"/>
        <w:ind w:left="0"/>
        <w:jc w:val="both"/>
        <w:rPr>
          <w:rFonts w:ascii="Times New Roman" w:hAnsi="Times New Roman" w:cs="Times New Roman"/>
          <w:b/>
        </w:rPr>
      </w:pPr>
    </w:p>
    <w:p w14:paraId="69ADCEC9"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 xml:space="preserve">Počet dotknutých subjektov 328 bol určený na základe údajov FR SR k 12. 09. 2024. Náklady regulácie boli určené ako administratívne. Pri kvantifikácii bol zvolený postup na základe alternatívy č. 1. Cieľom legislatívneho návrhu je, aby došlo k zjednodušeniu systému registrácie a aby každá osoba mala len jedno registračné číslo, prioritne, aby bola registrovaná ako platiteľ dane z uhlia. </w:t>
      </w:r>
    </w:p>
    <w:p w14:paraId="4BE2D407"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 xml:space="preserve">Podmienky sa menia pre osobu, ktorá je alebo chce byť platiteľom dane z uhlia a zároveň chce vykonávať činnosti oslobodené od dane z uhlia. Takáto osoba je pri registrácii povinná okrem údajov stanovených zákonom a nevyhnutných pre registráciu platiteľa dane z uhlia predložiť aj údaje súvisiace s jej zámerom vykonávať činnosti oslobodené od dane. Zákon pritom jednoznačne stanovuje podmienky (údaje a skutočnosti), ktoré musí osoba uviesť pri registrácii. Osoba, ktorá je alebo chce byť platiteľom dane z uhlia a ktorá chce zároveň vykonávať činnosti oslobodené od dane z uhlia je povinná požiadať colný úrad o registráciu platiteľa dane z uhlia a o vydanie povolenia na používanie uhlia oslobodeného od dane. Zákon explicitne stanovuje aké údaje má obsahovať žiadosť o vydanie takéhoto povolenia a aké sú prílohy k nej. </w:t>
      </w:r>
    </w:p>
    <w:p w14:paraId="57ECF6AB"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Návrh zachováva princíp, aby nebolo možné dodať uhlie bez dane osobe, ktorá nie je registrovaná ako platiteľ dane z uhlia. To, či je osoba registrovaná ako platiteľ dane z uhlia si dodávateľ môže overiť na stránke Finančnej správy SR. Upúšťa sa tak od papierovej verzie dokumentov a  preukazovania sa/predkladania dokumentov dodávateľovi uhlia. Platiteľ dane z uhlia, ktorý bude mať vydané povolenie na používanie uhlia oslobodeného od dane si bude môcť vysporiadať oslobodenie od dane sám v daňovom priznaní, kde si môže spotrebu uhlia na oslobodené účely priamo vykázať – oslobodiť.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38BFEE11" w14:textId="77777777" w:rsidR="008B741B" w:rsidRPr="00FA1CC0" w:rsidRDefault="008B741B" w:rsidP="00EC53BA">
      <w:pPr>
        <w:spacing w:after="0"/>
        <w:jc w:val="both"/>
        <w:rPr>
          <w:rFonts w:ascii="Times New Roman" w:hAnsi="Times New Roman" w:cs="Times New Roman"/>
        </w:rPr>
      </w:pPr>
    </w:p>
    <w:p w14:paraId="0893C0C6"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platiteľa dane zo zemného plynu</w:t>
      </w:r>
    </w:p>
    <w:p w14:paraId="27570F39" w14:textId="77777777" w:rsidR="00EC53BA" w:rsidRPr="00FA1CC0" w:rsidRDefault="00EC53BA" w:rsidP="00EC53BA">
      <w:pPr>
        <w:pStyle w:val="Odsekzoznamu"/>
        <w:ind w:left="0"/>
        <w:rPr>
          <w:rFonts w:ascii="Times New Roman" w:hAnsi="Times New Roman" w:cs="Times New Roman"/>
          <w:b/>
        </w:rPr>
      </w:pPr>
    </w:p>
    <w:p w14:paraId="51EFC663"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 xml:space="preserve">Počet dotknutých subjektov 317 bol určený na základe údajov FR SR k 12. 09. 2024. Náklady regulácie boli určené ako administratívne. Pri kvantifikácii bol zvolený postup na základe alternatívy č. 1. Cieľom legislatívneho návrhu je, aby došlo k zjednodušeniu systému registrácie a aby každá osoba mala len jedno registračné číslo, prioritne, aby bola registrovaná ako platiteľ dane zo zemného plynu. </w:t>
      </w:r>
    </w:p>
    <w:p w14:paraId="769AA525"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 xml:space="preserve">Podmienky sa menia pre osobu, ktorá je alebo chce byť platiteľom dane zo zemného plynu a zároveň chce vykonávať činnosti oslobodené od dane zo zemného plynu. Takáto osoba je pri registrácii povinná okrem údajov stanovených zákonom a nevyhnutných pre registráciu platiteľa dane zo zemného plynu predložiť aj údaje súvisiace s jej zámerom vykonávať činnosti oslobodené od dane. Zákon pritom jednoznačne stanovuje podmienky (údaje a skutočnosti), ktoré musí osoba uviesť pri registrácii. Osoba, ktorá je alebo chce byť platiteľom dane zo zemného plynu a ktorá chce zároveň vykonávať činnosti oslobodené od dane zo zemného plynu je povinná požiadať colný úrad o registráciu platiteľa dane zo zemného plynu a o vydanie povolenia na používanie zemného plynu oslobodeného od dane. Zákon explicitne stanovuje aké údaje má obsahovať žiadosť o vydanie takéhoto povolenia a aké sú prílohy k nej. Zároveň stanovuje postup v prípade, že takáto osoba nedisponuje samostatným odberným miestom </w:t>
      </w:r>
      <w:r w:rsidRPr="00FA1CC0">
        <w:rPr>
          <w:rFonts w:ascii="Times New Roman" w:hAnsi="Times New Roman" w:cs="Times New Roman"/>
        </w:rPr>
        <w:lastRenderedPageBreak/>
        <w:t xml:space="preserve">výlučne na odber zemného plynu oslobodeného od dane, keďže bude vykonávať činnosti oslobodené od dane. </w:t>
      </w:r>
    </w:p>
    <w:p w14:paraId="25BE6CD6"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Návrh zachováva princíp, aby nebolo možné dodať zemný plyn bez dane osobe, ktorá nie je registrovaná ako platiteľ dane zo zemného plynu. To, či je osoba registrovaná ako platiteľ dane zo zemného plynu si dodávateľ môže overiť na stránke Finančnej správy SR. Upúšťa sa tak od papierovej verzie dokumentov a  preukazovania sa/predkladania dokumentov dodávateľovi zemného plynu. Platiteľ dane zo zemného plynu, ktorý bude mať vydané povolenie na používanie zemného plynu oslobodeného od dane si bude môcť vysporiadať oslobodenie od dane sám v daňovom priznaní, kde si môže spotrebu zemného plynu na oslobodené účely priamo vykázať – oslobodiť.</w:t>
      </w:r>
    </w:p>
    <w:p w14:paraId="156212E7" w14:textId="77777777" w:rsidR="00EC53BA" w:rsidRPr="00FA1CC0" w:rsidRDefault="00EC53BA" w:rsidP="00EC53BA">
      <w:pPr>
        <w:pStyle w:val="Odsekzoznamu"/>
        <w:spacing w:after="0"/>
        <w:ind w:left="0"/>
        <w:jc w:val="both"/>
        <w:rPr>
          <w:rFonts w:ascii="Times New Roman" w:hAnsi="Times New Roman" w:cs="Times New Roman"/>
          <w:b/>
        </w:rPr>
      </w:pPr>
    </w:p>
    <w:p w14:paraId="6E7BF47E"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Vedenie evidencie platiteľa dane z elektriny (má povolenie na použitie elektriny oslobodenej od dane)</w:t>
      </w:r>
    </w:p>
    <w:p w14:paraId="245F780B" w14:textId="77777777" w:rsidR="00EC53BA" w:rsidRPr="00FA1CC0" w:rsidRDefault="00EC53BA" w:rsidP="00EC53BA">
      <w:pPr>
        <w:spacing w:after="0"/>
        <w:jc w:val="both"/>
        <w:rPr>
          <w:rFonts w:ascii="Times New Roman" w:hAnsi="Times New Roman" w:cs="Times New Roman"/>
        </w:rPr>
      </w:pPr>
    </w:p>
    <w:p w14:paraId="7D8CF19E"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Z celkového počtu 149 – podnikateľov, ktorí obchodujú s elektrinou predpokladáme 30 % (45) má povolenie na použitie elektriny oslobodenej od dane. Ustanovuje sa povinnosť vedenia evidencie množstva elektriny použitej na oslobodené účely platiteľom dane z elektriny, ktorý zároveň vykonáva aj činnosti oslobodené od dane. Náklady regulácie boli určené ako administratívne. Pri kvantifikácii bol zvolený postup na základe alternatívy č. 2. </w:t>
      </w:r>
    </w:p>
    <w:p w14:paraId="231E405F" w14:textId="77777777" w:rsidR="00EC53BA" w:rsidRPr="00FA1CC0" w:rsidRDefault="00EC53BA" w:rsidP="00EC53BA">
      <w:pPr>
        <w:pStyle w:val="Odsekzoznamu"/>
        <w:spacing w:after="0"/>
        <w:ind w:left="0"/>
        <w:jc w:val="both"/>
        <w:rPr>
          <w:rFonts w:ascii="Times New Roman" w:hAnsi="Times New Roman" w:cs="Times New Roman"/>
        </w:rPr>
      </w:pPr>
    </w:p>
    <w:p w14:paraId="5A984DA8"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Vedenie evidencie platiteľa dane z uhlia (má povolenie na použitie uhlia oslobodeného od dane)</w:t>
      </w:r>
    </w:p>
    <w:p w14:paraId="1FE81B5F" w14:textId="77777777" w:rsidR="00EC53BA" w:rsidRPr="00FA1CC0" w:rsidRDefault="00EC53BA" w:rsidP="00EC53BA">
      <w:pPr>
        <w:pStyle w:val="Odsekzoznamu"/>
        <w:spacing w:after="0"/>
        <w:ind w:left="0"/>
        <w:jc w:val="both"/>
        <w:rPr>
          <w:rFonts w:ascii="Times New Roman" w:hAnsi="Times New Roman" w:cs="Times New Roman"/>
          <w:b/>
        </w:rPr>
      </w:pPr>
    </w:p>
    <w:p w14:paraId="266ED039"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Z celkového počtu 39 – podnikateľov, ktorí obchodujú s uhlím predpokladáme 30 % (12) má povolenie na použitie uhlia oslobodeného od dane. Ustanovuje sa povinnosť vedenia evidencie množstva uhlia použitého na oslobodené účely platiteľom dane z uhlia, ktorý zároveň vykonáva aj činnosti oslobodené od dane. Náklady regulácie boli určené ako administratívne. Pri kvantifikácii bol zvolený postup na základe alternatívy č. 2. Frekvencia plnenia bola určená nepravidelne. </w:t>
      </w:r>
    </w:p>
    <w:p w14:paraId="0436E3D7" w14:textId="77777777" w:rsidR="00FA1CC0" w:rsidRDefault="00FA1CC0" w:rsidP="00FA1CC0">
      <w:pPr>
        <w:pStyle w:val="Odsekzoznamu"/>
        <w:spacing w:after="0"/>
        <w:ind w:left="0"/>
        <w:jc w:val="both"/>
        <w:rPr>
          <w:rFonts w:ascii="Times New Roman" w:hAnsi="Times New Roman" w:cs="Times New Roman"/>
          <w:b/>
        </w:rPr>
      </w:pPr>
    </w:p>
    <w:p w14:paraId="48CF6D5F"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Vedenie evidencie platiteľa dane zo zemného plynu (má povolenie na použitie zemného plynu oslobodeného od dane)</w:t>
      </w:r>
    </w:p>
    <w:p w14:paraId="58A3AD2D" w14:textId="77777777" w:rsidR="00EC53BA" w:rsidRPr="00FA1CC0" w:rsidRDefault="00EC53BA" w:rsidP="00EC53BA">
      <w:pPr>
        <w:pStyle w:val="Odsekzoznamu"/>
        <w:spacing w:after="0"/>
        <w:ind w:left="0"/>
        <w:jc w:val="both"/>
        <w:rPr>
          <w:rFonts w:ascii="Times New Roman" w:hAnsi="Times New Roman" w:cs="Times New Roman"/>
          <w:b/>
        </w:rPr>
      </w:pPr>
    </w:p>
    <w:p w14:paraId="1A37851F"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Z celkového počtu 248 – podnikateľov, ktorí obchodujú so zemným plynom predpokladáme </w:t>
      </w:r>
      <w:r w:rsidRPr="00FA1CC0">
        <w:rPr>
          <w:rFonts w:ascii="Times New Roman" w:hAnsi="Times New Roman" w:cs="Times New Roman"/>
        </w:rPr>
        <w:br/>
        <w:t xml:space="preserve">30 % (75) má povolenie na použitie zemného plynu oslobodeného od dane. Ustanovuje povinnosť vedenia evidencie množstva zemného plynu použitého na oslobodené účely platiteľom dane zo zemného plynu, ktorý zároveň vykonáva aj činnosti oslobodené od dane. Náklady regulácie boli určené ako administratívne. Pri kvantifikácii bol zvolený postup na základe alternatívy č. 2. Frekvencia plnenia bola určená nepravidelne. </w:t>
      </w:r>
    </w:p>
    <w:p w14:paraId="5EFAADB5" w14:textId="77777777" w:rsidR="00EC53BA" w:rsidRPr="00FA1CC0" w:rsidRDefault="00EC53BA" w:rsidP="00EC53BA">
      <w:pPr>
        <w:spacing w:after="0"/>
        <w:jc w:val="both"/>
        <w:rPr>
          <w:rFonts w:ascii="Times New Roman" w:hAnsi="Times New Roman" w:cs="Times New Roman"/>
          <w:b/>
        </w:rPr>
      </w:pPr>
    </w:p>
    <w:p w14:paraId="51E6E27A" w14:textId="77777777" w:rsidR="00EC53BA" w:rsidRPr="00FA1CC0" w:rsidRDefault="00EC53BA" w:rsidP="00EC53BA">
      <w:pPr>
        <w:jc w:val="both"/>
        <w:rPr>
          <w:rFonts w:ascii="Times New Roman" w:eastAsia="Times New Roman" w:hAnsi="Times New Roman" w:cs="Times New Roman"/>
          <w:lang w:eastAsia="sk-SK"/>
        </w:rPr>
      </w:pPr>
      <w:r w:rsidRPr="00FA1CC0">
        <w:rPr>
          <w:rFonts w:ascii="Times New Roman" w:eastAsia="Times New Roman" w:hAnsi="Times New Roman" w:cs="Times New Roman"/>
          <w:lang w:eastAsia="sk-SK"/>
        </w:rPr>
        <w:t xml:space="preserve">Daňové subjekty doručujú finančnej správe SR podania elektronickými prostriedkami. Po prihlásení do osobnej internetovej zóny sa daňovému subjektu vo formulári tlačiva žiadosti o registráciu, vydania povolenia na spotrebnú daň, oznámenia zmien, žiadosť o zrušenie registrácie a povolenia na spotrebnú daň (ktoré slúži zároveň aj na nahlásenie zmien údajov a skutočností poskytnutých v žiadosti o registráciu) pred vyplnia jeho základné identifikačné údaje, a tak daňový subjekt vypĺňa len ostatné údaje vyžadované zákonom pre registráciu podľa jednotlivých daní a druhu daňového subjektu. </w:t>
      </w:r>
    </w:p>
    <w:p w14:paraId="218B477A"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 xml:space="preserve">Zrušenie povinnosti registrácie pre malých výrobcov elektriny </w:t>
      </w:r>
    </w:p>
    <w:p w14:paraId="7741CF09" w14:textId="77777777" w:rsidR="00EC53BA" w:rsidRPr="00FA1CC0" w:rsidRDefault="00EC53BA" w:rsidP="00EC53BA">
      <w:pPr>
        <w:pStyle w:val="Odsekzoznamu"/>
        <w:spacing w:after="0"/>
        <w:ind w:left="0"/>
        <w:jc w:val="both"/>
        <w:rPr>
          <w:rFonts w:ascii="Times New Roman" w:hAnsi="Times New Roman" w:cs="Times New Roman"/>
          <w:b/>
        </w:rPr>
      </w:pPr>
    </w:p>
    <w:p w14:paraId="32B0838E"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Malí výrobcovia elektriny, napr. nemocnice, ktoré vyrábajú elektrinu v zariadení s celkovým inštalovaným výkonom do 5 MW vrátane, z preukázateľne zdaneného uhlia, zemného plynu alebo minerálneho oleja nie sú elektroenergetickým podnikom a nie sú povinní registrovať sa ako platiteľ dane z elektriny.</w:t>
      </w:r>
    </w:p>
    <w:p w14:paraId="38B3BF05" w14:textId="77777777" w:rsidR="00EC53BA" w:rsidRPr="00FA1CC0" w:rsidRDefault="00EC53BA" w:rsidP="00EC53BA">
      <w:pPr>
        <w:jc w:val="both"/>
        <w:rPr>
          <w:rFonts w:ascii="Times New Roman" w:eastAsia="Calibri" w:hAnsi="Times New Roman" w:cs="Times New Roman"/>
          <w:b/>
          <w:bCs/>
          <w:i/>
          <w:u w:val="single"/>
        </w:rPr>
      </w:pPr>
      <w:r w:rsidRPr="00FA1CC0">
        <w:rPr>
          <w:rFonts w:ascii="Times New Roman" w:eastAsia="Calibri" w:hAnsi="Times New Roman" w:cs="Times New Roman"/>
          <w:b/>
          <w:bCs/>
          <w:i/>
          <w:u w:val="single"/>
        </w:rPr>
        <w:lastRenderedPageBreak/>
        <w:t>3.1.4 Odôvodnenie goldplatingu podľa bodu 4 časti III jednotnej metodiky a ďalšie doplňujúce informácie</w:t>
      </w:r>
      <w:r w:rsidRPr="00FA1CC0">
        <w:rPr>
          <w:rStyle w:val="Odkaznapoznmkupodiarou"/>
          <w:rFonts w:ascii="Times New Roman" w:eastAsia="Calibri" w:hAnsi="Times New Roman" w:cs="Times New Roman"/>
          <w:b/>
          <w:bCs/>
          <w:i/>
          <w:u w:val="single"/>
        </w:rPr>
        <w:footnoteReference w:id="2"/>
      </w:r>
      <w:r w:rsidRPr="00FA1CC0">
        <w:rPr>
          <w:rFonts w:ascii="Times New Roman" w:eastAsia="Calibri" w:hAnsi="Times New Roman" w:cs="Times New Roman"/>
          <w:b/>
          <w:bCs/>
          <w:i/>
          <w:u w:val="single"/>
        </w:rPr>
        <w:t xml:space="preserve"> </w:t>
      </w:r>
    </w:p>
    <w:p w14:paraId="62B3F3E3" w14:textId="77777777" w:rsidR="00EC53BA" w:rsidRPr="00FA1CC0" w:rsidRDefault="00EC53BA" w:rsidP="00EC53BA">
      <w:pPr>
        <w:jc w:val="both"/>
        <w:rPr>
          <w:rFonts w:ascii="Times New Roman" w:eastAsia="Calibri" w:hAnsi="Times New Roman" w:cs="Times New Roman"/>
          <w:bCs/>
          <w:iCs/>
          <w:color w:val="000000"/>
        </w:rPr>
      </w:pPr>
      <w:r w:rsidRPr="00FA1CC0">
        <w:rPr>
          <w:rFonts w:ascii="Times New Roman" w:eastAsia="Calibri" w:hAnsi="Times New Roman" w:cs="Times New Roman"/>
          <w:bCs/>
          <w:iCs/>
          <w:color w:val="000000"/>
        </w:rPr>
        <w:t xml:space="preserve">V návrhu zákona nie je identifikovaný goldplating. </w:t>
      </w:r>
    </w:p>
    <w:p w14:paraId="2CA039D6" w14:textId="77777777" w:rsidR="00EC53BA" w:rsidRPr="00FA1CC0" w:rsidRDefault="00EC53BA" w:rsidP="00EC53BA">
      <w:pPr>
        <w:jc w:val="both"/>
        <w:rPr>
          <w:rFonts w:ascii="Times New Roman" w:eastAsia="Calibri" w:hAnsi="Times New Roman" w:cs="Times New Roman"/>
          <w:b/>
          <w:bCs/>
          <w:i/>
          <w:u w:val="single"/>
        </w:rPr>
      </w:pPr>
    </w:p>
    <w:p w14:paraId="19D78F93" w14:textId="77777777" w:rsidR="00EC53BA" w:rsidRPr="00FA1CC0" w:rsidRDefault="00EC53BA" w:rsidP="00EC53BA">
      <w:pPr>
        <w:jc w:val="both"/>
        <w:rPr>
          <w:rFonts w:ascii="Times New Roman" w:eastAsia="Calibri" w:hAnsi="Times New Roman" w:cs="Times New Roman"/>
          <w:b/>
        </w:rPr>
      </w:pPr>
      <w:r w:rsidRPr="00FA1CC0">
        <w:rPr>
          <w:rFonts w:ascii="Times New Roman" w:eastAsia="Calibri" w:hAnsi="Times New Roman" w:cs="Times New Roman"/>
          <w:b/>
        </w:rPr>
        <w:t>3.2 Vyhodnotenie konzultácií s podnikateľskými subjektmi pred predbežným pripomienkovým konaním</w:t>
      </w:r>
    </w:p>
    <w:p w14:paraId="7DABC327" w14:textId="1D2A4017" w:rsidR="00EC53BA" w:rsidRPr="00FA1CC0" w:rsidRDefault="00EC53BA" w:rsidP="00EC53BA">
      <w:pPr>
        <w:spacing w:after="0"/>
        <w:jc w:val="both"/>
        <w:rPr>
          <w:rFonts w:ascii="Times New Roman" w:eastAsia="Calibri" w:hAnsi="Times New Roman" w:cs="Times New Roman"/>
        </w:rPr>
      </w:pPr>
      <w:r w:rsidRPr="00FA1CC0">
        <w:rPr>
          <w:rFonts w:ascii="Times New Roman" w:eastAsia="Calibri" w:hAnsi="Times New Roman" w:cs="Times New Roman"/>
        </w:rPr>
        <w:t>Verejnosť bola o príprave návrhu zákona informovaná prostredníctvom predbežnej informácie zverejnenej v informačnom systéme verejnej správy Slov-Lex (PI/2020/34) od 28. februára 2020 do 16. marca 2020. Návrh zákona v roku 2022 bol predmetom medzirezortného pripomienkového konania. V priebehu novembra 2022 až júla 2023 sa cez Microsoft Teams, uskutočnili pracovné stretnutia so zástupcami OKTE, a.</w:t>
      </w:r>
      <w:r w:rsidR="00CF33FE">
        <w:rPr>
          <w:rFonts w:ascii="Times New Roman" w:eastAsia="Calibri" w:hAnsi="Times New Roman" w:cs="Times New Roman"/>
        </w:rPr>
        <w:t xml:space="preserve"> </w:t>
      </w:r>
      <w:r w:rsidRPr="00FA1CC0">
        <w:rPr>
          <w:rFonts w:ascii="Times New Roman" w:eastAsia="Calibri" w:hAnsi="Times New Roman" w:cs="Times New Roman"/>
        </w:rPr>
        <w:t xml:space="preserve">s, MH SR, Klub 500, </w:t>
      </w:r>
      <w:r w:rsidRPr="00FA1CC0">
        <w:rPr>
          <w:rFonts w:ascii="Times" w:hAnsi="Times" w:cs="Times"/>
          <w:bCs/>
        </w:rPr>
        <w:t xml:space="preserve">AZZZ SR, RÚZ SR a SAPPO. Na základe záverov z týchto stretnutí </w:t>
      </w:r>
      <w:r w:rsidRPr="00FA1CC0">
        <w:rPr>
          <w:rFonts w:ascii="Times New Roman" w:eastAsia="Calibri" w:hAnsi="Times New Roman" w:cs="Times New Roman"/>
        </w:rPr>
        <w:t>pristúpilo Ministerstvo financií Slovenskej republiky k opakovanému medzirezortnému pripomienkovému konaniu. Dôvodom boli zásadné zmeny v návrhu zákona oproti zneniu, ktoré bolo predmetom medzirezortného pripomienkového konania.</w:t>
      </w:r>
    </w:p>
    <w:p w14:paraId="416ABDAF" w14:textId="77777777" w:rsidR="00EC53BA" w:rsidRPr="00FA1CC0" w:rsidRDefault="00EC53BA" w:rsidP="00EC53BA">
      <w:pPr>
        <w:spacing w:after="0"/>
        <w:jc w:val="both"/>
        <w:rPr>
          <w:rFonts w:ascii="Times New Roman" w:eastAsia="Calibri" w:hAnsi="Times New Roman" w:cs="Times New Roman"/>
          <w:i/>
        </w:rPr>
      </w:pPr>
    </w:p>
    <w:p w14:paraId="36FBA8A2" w14:textId="77777777" w:rsidR="00EC53BA" w:rsidRPr="00FA1CC0" w:rsidRDefault="00EC53BA" w:rsidP="00EC53BA">
      <w:pPr>
        <w:jc w:val="both"/>
        <w:rPr>
          <w:rFonts w:ascii="Times New Roman" w:eastAsia="Calibri" w:hAnsi="Times New Roman" w:cs="Times New Roman"/>
          <w:b/>
        </w:rPr>
      </w:pPr>
      <w:bookmarkStart w:id="1" w:name="_Hlk47698091"/>
      <w:r w:rsidRPr="00FA1CC0">
        <w:rPr>
          <w:rFonts w:ascii="Times New Roman" w:eastAsia="Calibri" w:hAnsi="Times New Roman" w:cs="Times New Roman"/>
          <w:b/>
        </w:rPr>
        <w:t>3.3 Vplyvy na konkurencieschopnosť a produktivitu</w:t>
      </w:r>
    </w:p>
    <w:bookmarkEnd w:id="1"/>
    <w:p w14:paraId="6F812252" w14:textId="77777777" w:rsidR="00EC53BA" w:rsidRPr="00FA1CC0" w:rsidRDefault="00EC53BA" w:rsidP="00EC53BA">
      <w:pPr>
        <w:spacing w:after="0"/>
        <w:jc w:val="both"/>
        <w:rPr>
          <w:rFonts w:ascii="Times New Roman" w:eastAsia="Calibri" w:hAnsi="Times New Roman" w:cs="Times New Roman"/>
        </w:rPr>
      </w:pPr>
      <w:r w:rsidRPr="00FA1CC0">
        <w:rPr>
          <w:rFonts w:ascii="Times New Roman" w:eastAsia="Calibri" w:hAnsi="Times New Roman" w:cs="Times New Roman"/>
        </w:rPr>
        <w:t>V tejto fáze legislatívneho procesu nie je možné konkrétne vyčísliť vplyvy na konkurencieschopnosť a produktivitu pre podnikateľské subjekty, ktoré obchodujú so zemným plynom (LNG) vzhľadom na nedostupnosť údajov.</w:t>
      </w:r>
    </w:p>
    <w:p w14:paraId="480E8AF7" w14:textId="77777777" w:rsidR="00EC53BA" w:rsidRPr="00FA1CC0" w:rsidRDefault="00EC53BA" w:rsidP="00EC53BA">
      <w:pPr>
        <w:spacing w:after="0"/>
        <w:jc w:val="both"/>
        <w:rPr>
          <w:rFonts w:ascii="Times New Roman" w:eastAsia="Calibri" w:hAnsi="Times New Roman" w:cs="Times New Roman"/>
        </w:rPr>
      </w:pPr>
    </w:p>
    <w:p w14:paraId="70F60436" w14:textId="77777777" w:rsidR="00EC53BA" w:rsidRPr="00FA1CC0" w:rsidRDefault="00EC53BA" w:rsidP="00EC53BA">
      <w:pPr>
        <w:spacing w:after="0"/>
        <w:jc w:val="both"/>
        <w:rPr>
          <w:rFonts w:ascii="Times New Roman" w:eastAsia="Calibri" w:hAnsi="Times New Roman" w:cs="Times New Roman"/>
          <w:b/>
          <w:i/>
        </w:rPr>
      </w:pPr>
      <w:r w:rsidRPr="00FA1CC0">
        <w:rPr>
          <w:rFonts w:ascii="Times New Roman" w:eastAsia="Calibri" w:hAnsi="Times New Roman" w:cs="Times New Roman"/>
          <w:b/>
          <w:i/>
        </w:rPr>
        <w:t>Konkurencieschopnosť:</w:t>
      </w:r>
    </w:p>
    <w:p w14:paraId="290C8DB2" w14:textId="77777777" w:rsidR="00EC53BA" w:rsidRPr="00FA1CC0" w:rsidRDefault="00EC53BA" w:rsidP="00EC53BA">
      <w:pPr>
        <w:spacing w:after="0"/>
        <w:jc w:val="both"/>
        <w:rPr>
          <w:rFonts w:ascii="Times New Roman" w:eastAsia="Calibri" w:hAnsi="Times New Roman" w:cs="Times New Roman"/>
          <w:i/>
        </w:rPr>
      </w:pPr>
      <w:r w:rsidRPr="00FA1CC0">
        <w:rPr>
          <w:rFonts w:ascii="Times New Roman" w:eastAsia="Calibri" w:hAnsi="Times New Roman" w:cs="Times New Roman"/>
          <w:i/>
        </w:rPr>
        <w:t>Na základe uvedených odpovedí zaškrtnite a popíšte, či materiál konkurencieschopnosť:</w:t>
      </w:r>
    </w:p>
    <w:p w14:paraId="61A4A5BA" w14:textId="4C596952" w:rsidR="00EC53BA" w:rsidRPr="00FA1CC0" w:rsidRDefault="00FD1244" w:rsidP="00EC53BA">
      <w:pPr>
        <w:spacing w:after="0"/>
        <w:jc w:val="both"/>
        <w:rPr>
          <w:rFonts w:ascii="Times New Roman" w:eastAsia="Calibri" w:hAnsi="Times New Roman" w:cs="Times New Roman"/>
          <w:i/>
        </w:rPr>
      </w:pPr>
      <w:sdt>
        <w:sdtPr>
          <w:rPr>
            <w:rFonts w:ascii="Times New Roman" w:eastAsia="Calibri" w:hAnsi="Times New Roman" w:cs="Times New Roman"/>
            <w:i/>
          </w:rPr>
          <w:id w:val="798576880"/>
        </w:sdtPr>
        <w:sdtEndPr/>
        <w:sdtContent>
          <w:sdt>
            <w:sdtPr>
              <w:rPr>
                <w:rFonts w:ascii="Times New Roman" w:eastAsia="Calibri" w:hAnsi="Times New Roman" w:cs="Times New Roman"/>
                <w:i/>
              </w:rPr>
              <w:id w:val="1729873660"/>
            </w:sdtPr>
            <w:sdtEndPr/>
            <w:sdtContent>
              <w:r w:rsidR="00EC53BA" w:rsidRPr="00FA1CC0">
                <w:rPr>
                  <w:rFonts w:ascii="Segoe UI Symbol" w:eastAsia="Calibri" w:hAnsi="Segoe UI Symbol" w:cs="Segoe UI Symbol"/>
                  <w:i/>
                </w:rPr>
                <w:t>☐</w:t>
              </w:r>
            </w:sdtContent>
          </w:sdt>
        </w:sdtContent>
      </w:sdt>
      <w:r w:rsidR="00EC53BA" w:rsidRPr="00FA1CC0">
        <w:rPr>
          <w:rFonts w:ascii="Times New Roman" w:eastAsia="Calibri" w:hAnsi="Times New Roman" w:cs="Times New Roman"/>
          <w:i/>
        </w:rPr>
        <w:t xml:space="preserve"> zvyšuje  </w:t>
      </w:r>
      <w:r w:rsidR="00EC53BA" w:rsidRPr="00FA1CC0">
        <w:rPr>
          <w:rFonts w:ascii="Times New Roman" w:eastAsia="Calibri" w:hAnsi="Times New Roman" w:cs="Times New Roman"/>
          <w:i/>
        </w:rPr>
        <w:tab/>
      </w:r>
      <w:sdt>
        <w:sdtPr>
          <w:rPr>
            <w:rFonts w:ascii="Times New Roman" w:eastAsia="Calibri" w:hAnsi="Times New Roman" w:cs="Times New Roman"/>
            <w:i/>
          </w:rPr>
          <w:id w:val="410579887"/>
        </w:sdtPr>
        <w:sdtEndPr/>
        <w:sdtContent>
          <w:sdt>
            <w:sdtPr>
              <w:rPr>
                <w:rFonts w:ascii="Times New Roman" w:eastAsia="Calibri" w:hAnsi="Times New Roman" w:cs="Times New Roman"/>
                <w:i/>
              </w:rPr>
              <w:id w:val="-80300261"/>
              <w:showingPlcHdr/>
            </w:sdtPr>
            <w:sdtEndPr/>
            <w:sdtContent>
              <w:r w:rsidR="00CF33FE">
                <w:rPr>
                  <w:rFonts w:ascii="Times New Roman" w:eastAsia="Calibri" w:hAnsi="Times New Roman" w:cs="Times New Roman"/>
                  <w:i/>
                </w:rPr>
                <w:t xml:space="preserve">     </w:t>
              </w:r>
            </w:sdtContent>
          </w:sdt>
        </w:sdtContent>
      </w:sdt>
      <w:r w:rsidR="00EC53BA" w:rsidRPr="00FA1CC0">
        <w:rPr>
          <w:rFonts w:ascii="Segoe UI Symbol" w:eastAsia="Calibri" w:hAnsi="Segoe UI Symbol" w:cs="Segoe UI Symbol"/>
          <w:i/>
        </w:rPr>
        <w:t>☒</w:t>
      </w:r>
      <w:r w:rsidR="00EC53BA" w:rsidRPr="00FA1CC0">
        <w:rPr>
          <w:rFonts w:ascii="Times New Roman" w:eastAsia="Calibri" w:hAnsi="Times New Roman" w:cs="Times New Roman"/>
          <w:i/>
        </w:rPr>
        <w:t xml:space="preserve"> nemení</w:t>
      </w:r>
      <w:r w:rsidR="00EC53BA" w:rsidRPr="00FA1CC0">
        <w:rPr>
          <w:rFonts w:ascii="Times New Roman" w:eastAsia="Calibri" w:hAnsi="Times New Roman" w:cs="Times New Roman"/>
          <w:i/>
        </w:rPr>
        <w:tab/>
      </w:r>
      <w:sdt>
        <w:sdtPr>
          <w:rPr>
            <w:rFonts w:ascii="Times New Roman" w:eastAsia="Calibri" w:hAnsi="Times New Roman" w:cs="Times New Roman"/>
            <w:i/>
          </w:rPr>
          <w:id w:val="-474604883"/>
        </w:sdtPr>
        <w:sdtEndPr/>
        <w:sdtContent>
          <w:sdt>
            <w:sdtPr>
              <w:rPr>
                <w:rFonts w:ascii="Times New Roman" w:eastAsia="Calibri" w:hAnsi="Times New Roman" w:cs="Times New Roman"/>
                <w:i/>
              </w:rPr>
              <w:id w:val="-1706551548"/>
            </w:sdtPr>
            <w:sdtEndPr/>
            <w:sdtContent>
              <w:r w:rsidR="00EC53BA" w:rsidRPr="00FA1CC0">
                <w:rPr>
                  <w:rFonts w:ascii="Segoe UI Symbol" w:eastAsia="Calibri" w:hAnsi="Segoe UI Symbol" w:cs="Segoe UI Symbol"/>
                  <w:i/>
                </w:rPr>
                <w:t>☐</w:t>
              </w:r>
            </w:sdtContent>
          </w:sdt>
        </w:sdtContent>
      </w:sdt>
      <w:r w:rsidR="00EC53BA" w:rsidRPr="00FA1CC0">
        <w:rPr>
          <w:rFonts w:ascii="Times New Roman" w:eastAsia="Calibri" w:hAnsi="Times New Roman" w:cs="Times New Roman"/>
          <w:i/>
        </w:rPr>
        <w:t xml:space="preserve"> znižuje</w:t>
      </w:r>
    </w:p>
    <w:p w14:paraId="0476B607" w14:textId="77777777" w:rsidR="00EC53BA" w:rsidRPr="00FA1CC0" w:rsidRDefault="00EC53BA" w:rsidP="00EC53BA">
      <w:pPr>
        <w:spacing w:after="0"/>
        <w:jc w:val="both"/>
        <w:rPr>
          <w:rFonts w:ascii="Times New Roman" w:eastAsia="Calibri" w:hAnsi="Times New Roman" w:cs="Times New Roman"/>
          <w:i/>
        </w:rPr>
      </w:pPr>
    </w:p>
    <w:p w14:paraId="5931DBC5" w14:textId="77777777" w:rsidR="00EC53BA" w:rsidRPr="00FA1CC0" w:rsidRDefault="00EC53BA" w:rsidP="00EC53BA">
      <w:pPr>
        <w:spacing w:after="0"/>
        <w:jc w:val="both"/>
        <w:rPr>
          <w:rFonts w:ascii="Times New Roman" w:eastAsia="Calibri" w:hAnsi="Times New Roman" w:cs="Times New Roman"/>
          <w:b/>
          <w:i/>
        </w:rPr>
      </w:pPr>
      <w:r w:rsidRPr="00FA1CC0">
        <w:rPr>
          <w:rFonts w:ascii="Times New Roman" w:eastAsia="Calibri" w:hAnsi="Times New Roman" w:cs="Times New Roman"/>
          <w:b/>
          <w:i/>
        </w:rPr>
        <w:t>Produktivita:</w:t>
      </w:r>
    </w:p>
    <w:p w14:paraId="68C8FB5E" w14:textId="77777777" w:rsidR="00EC53BA" w:rsidRPr="00FA1CC0" w:rsidRDefault="00EC53BA" w:rsidP="00EC53BA">
      <w:pPr>
        <w:spacing w:after="0"/>
        <w:jc w:val="both"/>
        <w:rPr>
          <w:rFonts w:ascii="Times New Roman" w:eastAsia="Calibri" w:hAnsi="Times New Roman" w:cs="Times New Roman"/>
          <w:i/>
        </w:rPr>
      </w:pPr>
      <w:r w:rsidRPr="00FA1CC0">
        <w:rPr>
          <w:rFonts w:ascii="Times New Roman" w:eastAsia="Calibri" w:hAnsi="Times New Roman" w:cs="Times New Roman"/>
          <w:i/>
        </w:rPr>
        <w:t xml:space="preserve">Aký má materiál vplyv na zmenu pomeru medzi produkciou podnikov a ich nákladmi? </w:t>
      </w:r>
    </w:p>
    <w:p w14:paraId="01602715" w14:textId="77777777" w:rsidR="00EC53BA" w:rsidRPr="00FA1CC0" w:rsidRDefault="00EC53BA" w:rsidP="00EC53BA">
      <w:pPr>
        <w:spacing w:after="0"/>
        <w:jc w:val="both"/>
        <w:rPr>
          <w:rFonts w:ascii="Times New Roman" w:eastAsia="Calibri" w:hAnsi="Times New Roman" w:cs="Times New Roman"/>
          <w:i/>
        </w:rPr>
      </w:pPr>
    </w:p>
    <w:p w14:paraId="60C8139D" w14:textId="77777777" w:rsidR="00EC53BA" w:rsidRPr="00FA1CC0" w:rsidRDefault="00EC53BA" w:rsidP="00EC53BA">
      <w:pPr>
        <w:spacing w:after="0"/>
        <w:jc w:val="both"/>
        <w:rPr>
          <w:rFonts w:ascii="Times New Roman" w:eastAsia="Calibri" w:hAnsi="Times New Roman" w:cs="Times New Roman"/>
          <w:i/>
        </w:rPr>
      </w:pPr>
      <w:r w:rsidRPr="00FA1CC0">
        <w:rPr>
          <w:rFonts w:ascii="Times New Roman" w:eastAsia="Calibri" w:hAnsi="Times New Roman" w:cs="Times New Roman"/>
          <w:i/>
        </w:rPr>
        <w:t>Na základe uvedenej odpovede zaškrtnite a popíšte, či materiál produktivitu:</w:t>
      </w:r>
    </w:p>
    <w:p w14:paraId="76A556B5" w14:textId="77777777" w:rsidR="00EC53BA" w:rsidRPr="00FA1CC0" w:rsidRDefault="00FD1244" w:rsidP="00EC53BA">
      <w:pPr>
        <w:spacing w:after="0"/>
        <w:jc w:val="both"/>
        <w:rPr>
          <w:rFonts w:ascii="Times New Roman" w:eastAsia="Calibri" w:hAnsi="Times New Roman" w:cs="Times New Roman"/>
          <w:i/>
        </w:rPr>
      </w:pPr>
      <w:sdt>
        <w:sdtPr>
          <w:rPr>
            <w:rFonts w:ascii="Times New Roman" w:eastAsia="Calibri" w:hAnsi="Times New Roman" w:cs="Times New Roman"/>
            <w:i/>
          </w:rPr>
          <w:id w:val="-1545903528"/>
        </w:sdtPr>
        <w:sdtEndPr/>
        <w:sdtContent>
          <w:sdt>
            <w:sdtPr>
              <w:rPr>
                <w:rFonts w:ascii="Times New Roman" w:eastAsia="Calibri" w:hAnsi="Times New Roman" w:cs="Times New Roman"/>
                <w:i/>
              </w:rPr>
              <w:id w:val="825715010"/>
            </w:sdtPr>
            <w:sdtEndPr/>
            <w:sdtContent>
              <w:r w:rsidR="00EC53BA" w:rsidRPr="00FA1CC0">
                <w:rPr>
                  <w:rFonts w:ascii="Segoe UI Symbol" w:eastAsia="Calibri" w:hAnsi="Segoe UI Symbol" w:cs="Segoe UI Symbol"/>
                  <w:i/>
                </w:rPr>
                <w:t>☐</w:t>
              </w:r>
            </w:sdtContent>
          </w:sdt>
        </w:sdtContent>
      </w:sdt>
      <w:r w:rsidR="00EC53BA" w:rsidRPr="00FA1CC0">
        <w:rPr>
          <w:rFonts w:ascii="Times New Roman" w:eastAsia="Calibri" w:hAnsi="Times New Roman" w:cs="Times New Roman"/>
          <w:i/>
        </w:rPr>
        <w:t xml:space="preserve"> zvyšuje  </w:t>
      </w:r>
      <w:r w:rsidR="00EC53BA" w:rsidRPr="00FA1CC0">
        <w:rPr>
          <w:rFonts w:ascii="Times New Roman" w:eastAsia="Calibri" w:hAnsi="Times New Roman" w:cs="Times New Roman"/>
          <w:i/>
        </w:rPr>
        <w:tab/>
      </w:r>
      <w:sdt>
        <w:sdtPr>
          <w:rPr>
            <w:rFonts w:ascii="Times New Roman" w:eastAsia="Calibri" w:hAnsi="Times New Roman" w:cs="Times New Roman"/>
            <w:i/>
          </w:rPr>
          <w:id w:val="-353966921"/>
        </w:sdtPr>
        <w:sdtEndPr/>
        <w:sdtContent>
          <w:sdt>
            <w:sdtPr>
              <w:rPr>
                <w:rFonts w:ascii="Times New Roman" w:eastAsia="Calibri" w:hAnsi="Times New Roman" w:cs="Times New Roman"/>
                <w:i/>
              </w:rPr>
              <w:id w:val="-1222205104"/>
            </w:sdtPr>
            <w:sdtEndPr/>
            <w:sdtContent>
              <w:sdt>
                <w:sdtPr>
                  <w:rPr>
                    <w:rFonts w:ascii="Times New Roman" w:eastAsia="Calibri" w:hAnsi="Times New Roman" w:cs="Times New Roman"/>
                    <w:i/>
                  </w:rPr>
                  <w:id w:val="1211074026"/>
                </w:sdtPr>
                <w:sdtEndPr/>
                <w:sdtContent>
                  <w:sdt>
                    <w:sdtPr>
                      <w:rPr>
                        <w:rFonts w:ascii="Times New Roman" w:eastAsia="Calibri" w:hAnsi="Times New Roman" w:cs="Times New Roman"/>
                        <w:i/>
                      </w:rPr>
                      <w:id w:val="-876004710"/>
                    </w:sdtPr>
                    <w:sdtEndPr/>
                    <w:sdtContent>
                      <w:sdt>
                        <w:sdtPr>
                          <w:rPr>
                            <w:rFonts w:ascii="Times New Roman" w:eastAsia="Calibri" w:hAnsi="Times New Roman" w:cs="Times New Roman"/>
                            <w:i/>
                          </w:rPr>
                          <w:id w:val="-839382653"/>
                        </w:sdtPr>
                        <w:sdtEndPr/>
                        <w:sdtContent>
                          <w:sdt>
                            <w:sdtPr>
                              <w:rPr>
                                <w:rFonts w:ascii="Times New Roman" w:eastAsia="Calibri" w:hAnsi="Times New Roman" w:cs="Times New Roman"/>
                                <w:i/>
                              </w:rPr>
                              <w:id w:val="692588140"/>
                            </w:sdtPr>
                            <w:sdtEndPr/>
                            <w:sdtContent>
                              <w:r w:rsidR="00EC53BA" w:rsidRPr="00FA1CC0">
                                <w:rPr>
                                  <w:rFonts w:ascii="Segoe UI Symbol" w:eastAsia="Calibri" w:hAnsi="Segoe UI Symbol" w:cs="Segoe UI Symbol"/>
                                  <w:i/>
                                </w:rPr>
                                <w:t>☒</w:t>
                              </w:r>
                            </w:sdtContent>
                          </w:sdt>
                        </w:sdtContent>
                      </w:sdt>
                    </w:sdtContent>
                  </w:sdt>
                </w:sdtContent>
              </w:sdt>
            </w:sdtContent>
          </w:sdt>
        </w:sdtContent>
      </w:sdt>
      <w:r w:rsidR="00EC53BA" w:rsidRPr="00FA1CC0">
        <w:rPr>
          <w:rFonts w:ascii="Times New Roman" w:eastAsia="Calibri" w:hAnsi="Times New Roman" w:cs="Times New Roman"/>
          <w:i/>
        </w:rPr>
        <w:t xml:space="preserve"> nemení</w:t>
      </w:r>
      <w:r w:rsidR="00EC53BA" w:rsidRPr="00FA1CC0">
        <w:rPr>
          <w:rFonts w:ascii="Times New Roman" w:eastAsia="Calibri" w:hAnsi="Times New Roman" w:cs="Times New Roman"/>
          <w:i/>
        </w:rPr>
        <w:tab/>
      </w:r>
      <w:sdt>
        <w:sdtPr>
          <w:rPr>
            <w:rFonts w:ascii="Times New Roman" w:eastAsia="Calibri" w:hAnsi="Times New Roman" w:cs="Times New Roman"/>
            <w:i/>
          </w:rPr>
          <w:id w:val="-1457723544"/>
        </w:sdtPr>
        <w:sdtEndPr/>
        <w:sdtContent>
          <w:sdt>
            <w:sdtPr>
              <w:rPr>
                <w:rFonts w:ascii="Times New Roman" w:eastAsia="Calibri" w:hAnsi="Times New Roman" w:cs="Times New Roman"/>
                <w:i/>
              </w:rPr>
              <w:id w:val="-623767955"/>
            </w:sdtPr>
            <w:sdtEndPr/>
            <w:sdtContent>
              <w:r w:rsidR="00EC53BA" w:rsidRPr="00FA1CC0">
                <w:rPr>
                  <w:rFonts w:ascii="Segoe UI Symbol" w:eastAsia="Calibri" w:hAnsi="Segoe UI Symbol" w:cs="Segoe UI Symbol"/>
                  <w:i/>
                </w:rPr>
                <w:t>☐</w:t>
              </w:r>
            </w:sdtContent>
          </w:sdt>
        </w:sdtContent>
      </w:sdt>
      <w:r w:rsidR="00EC53BA" w:rsidRPr="00FA1CC0">
        <w:rPr>
          <w:rFonts w:ascii="Times New Roman" w:eastAsia="Calibri" w:hAnsi="Times New Roman" w:cs="Times New Roman"/>
          <w:i/>
        </w:rPr>
        <w:t xml:space="preserve"> znižuje</w:t>
      </w:r>
    </w:p>
    <w:p w14:paraId="3FFC5FE8" w14:textId="77777777" w:rsidR="00EC53BA" w:rsidRPr="00D8247C" w:rsidRDefault="00EC53BA" w:rsidP="00EC53BA">
      <w:pPr>
        <w:spacing w:after="0"/>
        <w:jc w:val="both"/>
        <w:rPr>
          <w:rFonts w:ascii="Times New Roman" w:eastAsia="Calibri" w:hAnsi="Times New Roman" w:cs="Times New Roman"/>
          <w:i/>
          <w:sz w:val="24"/>
          <w:szCs w:val="24"/>
        </w:rPr>
      </w:pPr>
    </w:p>
    <w:p w14:paraId="4FF80E63" w14:textId="77777777" w:rsidR="00EC53BA" w:rsidRPr="00FA1CC0" w:rsidRDefault="00EC53BA" w:rsidP="00EC53BA">
      <w:pPr>
        <w:jc w:val="both"/>
        <w:rPr>
          <w:rFonts w:ascii="Times New Roman" w:eastAsia="Calibri" w:hAnsi="Times New Roman" w:cs="Times New Roman"/>
          <w:b/>
        </w:rPr>
      </w:pPr>
      <w:r w:rsidRPr="00FA1CC0">
        <w:rPr>
          <w:rFonts w:ascii="Times New Roman" w:eastAsia="Calibri" w:hAnsi="Times New Roman" w:cs="Times New Roman"/>
          <w:b/>
        </w:rPr>
        <w:t xml:space="preserve">3.4 Iné vplyvy na podnikateľské prostredie </w:t>
      </w:r>
    </w:p>
    <w:p w14:paraId="7A4CD443" w14:textId="77777777" w:rsidR="00EC53BA" w:rsidRPr="00FA1CC0" w:rsidRDefault="00EC53BA" w:rsidP="00EC53BA">
      <w:pPr>
        <w:jc w:val="both"/>
        <w:rPr>
          <w:rFonts w:ascii="Times New Roman" w:eastAsia="Times New Roman" w:hAnsi="Times New Roman" w:cs="Times New Roman"/>
          <w:lang w:eastAsia="sk-SK"/>
        </w:rPr>
      </w:pPr>
      <w:r w:rsidRPr="00FA1CC0">
        <w:rPr>
          <w:rFonts w:ascii="Times New Roman" w:eastAsia="Times New Roman" w:hAnsi="Times New Roman" w:cs="Times New Roman"/>
          <w:lang w:eastAsia="sk-SK"/>
        </w:rPr>
        <w:t>Súčasne platná smernica Rady 2003/96/ES o reštrukturalizácii právneho rámca spoločenstva pre zdaňovanie energetických výrobkov a elektriny nerozlišuje daňovú diferenciáciu pre stlačený zemný plyn (CNG) a skvapalnený zemný plyn (LNG). Predmetom dane je zemný plyn ako taký, a to bez ohľadu na to, či sa ako pohonná látka alebo palivo bude používať v stlačenej forme ako (CNG) alebo skvapalnenej forme ako (LNG). Navrhované úpravy pre zemný plyn (LNG a BioLNG) nie je možné kvantifikovať vzhľadom na nedostupnosť údajov.</w:t>
      </w:r>
      <w:r w:rsidRPr="00FA1CC0">
        <w:rPr>
          <w:color w:val="1F497D"/>
        </w:rPr>
        <w:t xml:space="preserve"> </w:t>
      </w:r>
      <w:r w:rsidRPr="00FA1CC0">
        <w:rPr>
          <w:rFonts w:ascii="Times New Roman" w:eastAsia="Times New Roman" w:hAnsi="Times New Roman" w:cs="Times New Roman"/>
          <w:lang w:eastAsia="sk-SK"/>
        </w:rPr>
        <w:t xml:space="preserve">IFP nepredpokladá pre najbližšie obdobie významný pozitívny vplyv zavedenia zdanenia pre zemný plyn (LNG a BioLNG) ako pohonnej látky a ako paliva na výrobu tepla na daňové príjmy. Na Slovensku je registrovaných približne 127 vozidiel s pohonom pre zemný plyn (LNG) a evidujeme 7 čerpacích staníc pre skvapalnený zemný plyn (LNG). V budúcnosti po rozšírení vozového parku a infraštruktúry by mohlo dôjsť k navýšeniu príjmov zo </w:t>
      </w:r>
      <w:r w:rsidRPr="00FA1CC0">
        <w:rPr>
          <w:rFonts w:ascii="Times New Roman" w:eastAsia="Times New Roman" w:hAnsi="Times New Roman" w:cs="Times New Roman"/>
          <w:lang w:eastAsia="sk-SK"/>
        </w:rPr>
        <w:lastRenderedPageBreak/>
        <w:t>zdanenia pre zemný plyn (LNG). Zdaňovanie BioLNG je upravené zákonom č. 98/2004 Z. z. tak, aby sa naň vzťahovala rovnaká sadzba ako na LNG.</w:t>
      </w:r>
    </w:p>
    <w:p w14:paraId="7078088C" w14:textId="77777777" w:rsidR="00EC53BA" w:rsidRPr="00FA1CC0" w:rsidRDefault="00EC53BA" w:rsidP="00EC53BA">
      <w:pPr>
        <w:jc w:val="both"/>
        <w:rPr>
          <w:rFonts w:ascii="Times New Roman" w:eastAsia="Times New Roman" w:hAnsi="Times New Roman" w:cs="Times New Roman"/>
          <w:lang w:eastAsia="sk-SK"/>
        </w:rPr>
      </w:pPr>
      <w:r w:rsidRPr="00FA1CC0">
        <w:rPr>
          <w:rFonts w:ascii="Times New Roman" w:eastAsia="Times New Roman" w:hAnsi="Times New Roman" w:cs="Times New Roman"/>
          <w:lang w:eastAsia="sk-SK"/>
        </w:rPr>
        <w:t>Navrhovanou úpravou sa rozširujú definície správnych deliktov a upravujú sa sankcie, a to v súvislosti so zmenou povinností pre platiteľov dane a oprávnených spotrebiteľov elektriny, uhlia a zemného plynu. Rozšírením o nové typy povolení sa zavádza aj sankcia pre osoby, ktoré dodajú elektrinu, uhlie alebo zemný plyn bez dane osobe, ktorá nie je platiteľom dane. V kontexte nových typov povolení na použitie oslobodeného predmetu dane sa rozširuje sankcia za použitie predmetu dane bez takého povolenia alebo v rozpore s ním. Výška pokuty za správne delikty však zostáva nezmenená.</w:t>
      </w:r>
    </w:p>
    <w:p w14:paraId="47ECC697" w14:textId="77777777" w:rsidR="00EC53BA" w:rsidRDefault="00EC53BA" w:rsidP="00EC53BA">
      <w:pPr>
        <w:jc w:val="both"/>
        <w:rPr>
          <w:rFonts w:ascii="Times New Roman" w:eastAsia="Times New Roman" w:hAnsi="Times New Roman" w:cs="Times New Roman"/>
          <w:lang w:eastAsia="sk-SK"/>
        </w:rPr>
      </w:pPr>
      <w:r w:rsidRPr="00FA1CC0">
        <w:rPr>
          <w:rFonts w:ascii="Times New Roman" w:eastAsia="Times New Roman" w:hAnsi="Times New Roman" w:cs="Times New Roman"/>
          <w:lang w:eastAsia="sk-SK"/>
        </w:rPr>
        <w:t>Súčasťou navrhovanej úpravy je aj ustanovenie osobitnej sadzby dane pre skvapalnené plynné uhľovodíky s kódom kombinovanej nomenklatúry 2711 19 00, konkrétne pre skvapalnený bioplyn a biometán. Táto sadzba dane je rovnaká ako sadzba dane pre zemný plyn podľa zákona č. 609/2007 Z. z., ak je určený na použitie alebo použitý ako pohonná látka vo výške 141 eur/1000 kg.</w:t>
      </w:r>
    </w:p>
    <w:p w14:paraId="618B5FB4" w14:textId="77777777" w:rsidR="00FA1CC0" w:rsidRDefault="00FA1CC0" w:rsidP="00EC53BA">
      <w:pPr>
        <w:jc w:val="both"/>
        <w:rPr>
          <w:rFonts w:ascii="Times New Roman" w:eastAsia="Times New Roman" w:hAnsi="Times New Roman" w:cs="Times New Roman"/>
          <w:lang w:eastAsia="sk-SK"/>
        </w:rPr>
      </w:pPr>
    </w:p>
    <w:p w14:paraId="3AE355DB" w14:textId="77777777" w:rsidR="00FA1CC0" w:rsidRDefault="00FA1CC0" w:rsidP="00EC53BA">
      <w:pPr>
        <w:jc w:val="both"/>
        <w:rPr>
          <w:rFonts w:ascii="Times New Roman" w:eastAsia="Times New Roman" w:hAnsi="Times New Roman" w:cs="Times New Roman"/>
          <w:lang w:eastAsia="sk-SK"/>
        </w:rPr>
      </w:pPr>
    </w:p>
    <w:p w14:paraId="3E6187C1" w14:textId="77777777" w:rsidR="00FA1CC0" w:rsidRDefault="00FA1CC0" w:rsidP="00EC53BA">
      <w:pPr>
        <w:jc w:val="both"/>
        <w:rPr>
          <w:rFonts w:ascii="Times New Roman" w:eastAsia="Times New Roman" w:hAnsi="Times New Roman" w:cs="Times New Roman"/>
          <w:lang w:eastAsia="sk-SK"/>
        </w:rPr>
      </w:pPr>
    </w:p>
    <w:p w14:paraId="3EA1BEBF" w14:textId="77777777" w:rsidR="00FA1CC0" w:rsidRDefault="00FA1CC0" w:rsidP="00EC53BA">
      <w:pPr>
        <w:jc w:val="both"/>
        <w:rPr>
          <w:rFonts w:ascii="Times New Roman" w:eastAsia="Times New Roman" w:hAnsi="Times New Roman" w:cs="Times New Roman"/>
          <w:lang w:eastAsia="sk-SK"/>
        </w:rPr>
      </w:pPr>
    </w:p>
    <w:p w14:paraId="5E1F71BD" w14:textId="77777777" w:rsidR="00FA1CC0" w:rsidRDefault="00FA1CC0" w:rsidP="00EC53BA">
      <w:pPr>
        <w:jc w:val="both"/>
        <w:rPr>
          <w:rFonts w:ascii="Times New Roman" w:eastAsia="Times New Roman" w:hAnsi="Times New Roman" w:cs="Times New Roman"/>
          <w:lang w:eastAsia="sk-SK"/>
        </w:rPr>
      </w:pPr>
    </w:p>
    <w:p w14:paraId="775B3D05" w14:textId="77777777" w:rsidR="00FA1CC0" w:rsidRDefault="00FA1CC0" w:rsidP="00EC53BA">
      <w:pPr>
        <w:jc w:val="both"/>
        <w:rPr>
          <w:rFonts w:ascii="Times New Roman" w:eastAsia="Times New Roman" w:hAnsi="Times New Roman" w:cs="Times New Roman"/>
          <w:lang w:eastAsia="sk-SK"/>
        </w:rPr>
      </w:pPr>
    </w:p>
    <w:p w14:paraId="0240CF19" w14:textId="77777777" w:rsidR="00FA1CC0" w:rsidRDefault="00FA1CC0" w:rsidP="00EC53BA">
      <w:pPr>
        <w:jc w:val="both"/>
        <w:rPr>
          <w:rFonts w:ascii="Times New Roman" w:eastAsia="Times New Roman" w:hAnsi="Times New Roman" w:cs="Times New Roman"/>
          <w:lang w:eastAsia="sk-SK"/>
        </w:rPr>
      </w:pPr>
    </w:p>
    <w:p w14:paraId="0B55A350" w14:textId="77777777" w:rsidR="00FA1CC0" w:rsidRDefault="00FA1CC0" w:rsidP="00EC53BA">
      <w:pPr>
        <w:jc w:val="both"/>
        <w:rPr>
          <w:rFonts w:ascii="Times New Roman" w:eastAsia="Times New Roman" w:hAnsi="Times New Roman" w:cs="Times New Roman"/>
          <w:lang w:eastAsia="sk-SK"/>
        </w:rPr>
      </w:pPr>
    </w:p>
    <w:p w14:paraId="6F66F480" w14:textId="77777777" w:rsidR="00FA1CC0" w:rsidRDefault="00FA1CC0" w:rsidP="00EC53BA">
      <w:pPr>
        <w:jc w:val="both"/>
        <w:rPr>
          <w:rFonts w:ascii="Times New Roman" w:eastAsia="Times New Roman" w:hAnsi="Times New Roman" w:cs="Times New Roman"/>
          <w:lang w:eastAsia="sk-SK"/>
        </w:rPr>
      </w:pPr>
    </w:p>
    <w:p w14:paraId="5BBECB6C" w14:textId="77777777" w:rsidR="00FA1CC0" w:rsidRDefault="00FA1CC0" w:rsidP="00EC53BA">
      <w:pPr>
        <w:jc w:val="both"/>
        <w:rPr>
          <w:rFonts w:ascii="Times New Roman" w:eastAsia="Times New Roman" w:hAnsi="Times New Roman" w:cs="Times New Roman"/>
          <w:lang w:eastAsia="sk-SK"/>
        </w:rPr>
      </w:pPr>
    </w:p>
    <w:p w14:paraId="418EE5BF" w14:textId="77777777" w:rsidR="00FA1CC0" w:rsidRDefault="00FA1CC0" w:rsidP="00EC53BA">
      <w:pPr>
        <w:jc w:val="both"/>
        <w:rPr>
          <w:rFonts w:ascii="Times New Roman" w:eastAsia="Times New Roman" w:hAnsi="Times New Roman" w:cs="Times New Roman"/>
          <w:lang w:eastAsia="sk-SK"/>
        </w:rPr>
      </w:pPr>
    </w:p>
    <w:p w14:paraId="22109F5D" w14:textId="77777777" w:rsidR="00FA1CC0" w:rsidRDefault="00FA1CC0" w:rsidP="00EC53BA">
      <w:pPr>
        <w:jc w:val="both"/>
        <w:rPr>
          <w:rFonts w:ascii="Times New Roman" w:eastAsia="Times New Roman" w:hAnsi="Times New Roman" w:cs="Times New Roman"/>
          <w:lang w:eastAsia="sk-SK"/>
        </w:rPr>
      </w:pPr>
    </w:p>
    <w:p w14:paraId="72BE777E" w14:textId="77777777" w:rsidR="00FA1CC0" w:rsidRDefault="00FA1CC0" w:rsidP="00EC53BA">
      <w:pPr>
        <w:jc w:val="both"/>
        <w:rPr>
          <w:rFonts w:ascii="Times New Roman" w:eastAsia="Times New Roman" w:hAnsi="Times New Roman" w:cs="Times New Roman"/>
          <w:lang w:eastAsia="sk-SK"/>
        </w:rPr>
      </w:pPr>
    </w:p>
    <w:p w14:paraId="0FFB0C45" w14:textId="77777777" w:rsidR="00FA1CC0" w:rsidRDefault="00FA1CC0" w:rsidP="00EC53BA">
      <w:pPr>
        <w:jc w:val="both"/>
        <w:rPr>
          <w:rFonts w:ascii="Times New Roman" w:eastAsia="Times New Roman" w:hAnsi="Times New Roman" w:cs="Times New Roman"/>
          <w:lang w:eastAsia="sk-SK"/>
        </w:rPr>
      </w:pPr>
    </w:p>
    <w:p w14:paraId="2D127155" w14:textId="77777777" w:rsidR="00FA1CC0" w:rsidRDefault="00FA1CC0" w:rsidP="00EC53BA">
      <w:pPr>
        <w:jc w:val="both"/>
        <w:rPr>
          <w:rFonts w:ascii="Times New Roman" w:eastAsia="Times New Roman" w:hAnsi="Times New Roman" w:cs="Times New Roman"/>
          <w:lang w:eastAsia="sk-SK"/>
        </w:rPr>
      </w:pPr>
    </w:p>
    <w:p w14:paraId="3792A18C" w14:textId="77777777" w:rsidR="00FA1CC0" w:rsidRDefault="00FA1CC0" w:rsidP="00EC53BA">
      <w:pPr>
        <w:jc w:val="both"/>
        <w:rPr>
          <w:rFonts w:ascii="Times New Roman" w:eastAsia="Times New Roman" w:hAnsi="Times New Roman" w:cs="Times New Roman"/>
          <w:lang w:eastAsia="sk-SK"/>
        </w:rPr>
      </w:pPr>
    </w:p>
    <w:p w14:paraId="0F4C3F45" w14:textId="77777777" w:rsidR="00FA1CC0" w:rsidRDefault="00FA1CC0" w:rsidP="00EC53BA">
      <w:pPr>
        <w:jc w:val="both"/>
        <w:rPr>
          <w:rFonts w:ascii="Times New Roman" w:eastAsia="Times New Roman" w:hAnsi="Times New Roman" w:cs="Times New Roman"/>
          <w:lang w:eastAsia="sk-SK"/>
        </w:rPr>
      </w:pPr>
    </w:p>
    <w:p w14:paraId="7B23F183" w14:textId="77777777" w:rsidR="00FA1CC0" w:rsidRDefault="00FA1CC0" w:rsidP="00EC53BA">
      <w:pPr>
        <w:jc w:val="both"/>
        <w:rPr>
          <w:rFonts w:ascii="Times New Roman" w:eastAsia="Times New Roman" w:hAnsi="Times New Roman" w:cs="Times New Roman"/>
          <w:lang w:eastAsia="sk-SK"/>
        </w:rPr>
      </w:pPr>
    </w:p>
    <w:p w14:paraId="2CF51851" w14:textId="77777777" w:rsidR="00FA1CC0" w:rsidRDefault="00FA1CC0" w:rsidP="00EC53BA">
      <w:pPr>
        <w:jc w:val="both"/>
        <w:rPr>
          <w:rFonts w:ascii="Times New Roman" w:eastAsia="Times New Roman" w:hAnsi="Times New Roman" w:cs="Times New Roman"/>
          <w:lang w:eastAsia="sk-SK"/>
        </w:rPr>
      </w:pPr>
    </w:p>
    <w:p w14:paraId="51B29A4A" w14:textId="77777777" w:rsidR="00FA1CC0" w:rsidRDefault="00FA1CC0" w:rsidP="00EC53BA">
      <w:pPr>
        <w:jc w:val="both"/>
        <w:rPr>
          <w:rFonts w:ascii="Times New Roman" w:eastAsia="Times New Roman" w:hAnsi="Times New Roman" w:cs="Times New Roman"/>
          <w:lang w:eastAsia="sk-SK"/>
        </w:rPr>
      </w:pPr>
    </w:p>
    <w:p w14:paraId="4BD5F1EF" w14:textId="77777777" w:rsidR="00FA1CC0" w:rsidRDefault="00FA1CC0" w:rsidP="00EC53BA">
      <w:pPr>
        <w:jc w:val="both"/>
        <w:rPr>
          <w:rFonts w:ascii="Times New Roman" w:eastAsia="Times New Roman" w:hAnsi="Times New Roman" w:cs="Times New Roman"/>
          <w:lang w:eastAsia="sk-SK"/>
        </w:rPr>
      </w:pPr>
    </w:p>
    <w:p w14:paraId="69AF2AA0" w14:textId="77777777" w:rsidR="00FA1CC0" w:rsidRDefault="00FA1CC0" w:rsidP="00EC53BA">
      <w:pPr>
        <w:jc w:val="both"/>
        <w:rPr>
          <w:rFonts w:ascii="Times New Roman" w:eastAsia="Times New Roman" w:hAnsi="Times New Roman" w:cs="Times New Roman"/>
          <w:lang w:eastAsia="sk-SK"/>
        </w:rPr>
      </w:pPr>
    </w:p>
    <w:p w14:paraId="00031CF0" w14:textId="77777777" w:rsidR="00FA1CC0" w:rsidRPr="00FA1CC0" w:rsidRDefault="00FA1CC0" w:rsidP="00EC53BA">
      <w:pPr>
        <w:jc w:val="both"/>
        <w:rPr>
          <w:rFonts w:ascii="Times New Roman" w:eastAsia="Times New Roman" w:hAnsi="Times New Roman" w:cs="Times New Roman"/>
          <w:lang w:eastAsia="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726B76" w:rsidRPr="005C4B9C" w14:paraId="20B3D21C" w14:textId="77777777" w:rsidTr="009A347A">
        <w:trPr>
          <w:trHeight w:val="20"/>
        </w:trPr>
        <w:tc>
          <w:tcPr>
            <w:tcW w:w="9371" w:type="dxa"/>
            <w:gridSpan w:val="6"/>
            <w:shd w:val="clear" w:color="auto" w:fill="BFBFBF"/>
            <w:vAlign w:val="center"/>
          </w:tcPr>
          <w:p w14:paraId="1279CA61" w14:textId="77777777" w:rsidR="00726B76" w:rsidRPr="00FA1CC0" w:rsidRDefault="00726B76" w:rsidP="009A347A">
            <w:pPr>
              <w:jc w:val="center"/>
              <w:rPr>
                <w:rFonts w:ascii="Times New Roman" w:hAnsi="Times New Roman" w:cs="Times New Roman"/>
                <w:b/>
                <w:bCs/>
                <w:sz w:val="28"/>
                <w:szCs w:val="28"/>
              </w:rPr>
            </w:pPr>
            <w:r w:rsidRPr="00FA1CC0">
              <w:rPr>
                <w:rFonts w:ascii="Times New Roman" w:hAnsi="Times New Roman" w:cs="Times New Roman"/>
                <w:b/>
                <w:bCs/>
                <w:sz w:val="28"/>
                <w:szCs w:val="28"/>
              </w:rPr>
              <w:lastRenderedPageBreak/>
              <w:t>Analýza vplyvov na informatizáciu spoločnosti</w:t>
            </w:r>
          </w:p>
          <w:p w14:paraId="65559EA3" w14:textId="77777777" w:rsidR="00726B76" w:rsidRPr="00FA1CC0" w:rsidRDefault="00726B76" w:rsidP="009A347A">
            <w:pPr>
              <w:jc w:val="center"/>
              <w:rPr>
                <w:rFonts w:ascii="Times New Roman" w:hAnsi="Times New Roman" w:cs="Times New Roman"/>
                <w:b/>
                <w:i/>
                <w:iCs/>
                <w:sz w:val="2"/>
              </w:rPr>
            </w:pPr>
          </w:p>
        </w:tc>
      </w:tr>
      <w:tr w:rsidR="00726B76" w:rsidRPr="005C4B9C" w14:paraId="101EDDDE" w14:textId="77777777" w:rsidTr="009A347A">
        <w:trPr>
          <w:trHeight w:val="20"/>
        </w:trPr>
        <w:tc>
          <w:tcPr>
            <w:tcW w:w="9371" w:type="dxa"/>
            <w:gridSpan w:val="6"/>
            <w:shd w:val="clear" w:color="auto" w:fill="BFBFBF"/>
            <w:vAlign w:val="center"/>
          </w:tcPr>
          <w:p w14:paraId="2D9033C5" w14:textId="77777777" w:rsidR="00726B76" w:rsidRPr="00FA1CC0" w:rsidRDefault="00726B76" w:rsidP="009A347A">
            <w:pPr>
              <w:jc w:val="center"/>
              <w:rPr>
                <w:rFonts w:ascii="Times New Roman" w:hAnsi="Times New Roman" w:cs="Times New Roman"/>
                <w:b/>
                <w:bCs/>
              </w:rPr>
            </w:pPr>
            <w:r w:rsidRPr="00FA1CC0">
              <w:rPr>
                <w:rFonts w:ascii="Times New Roman" w:hAnsi="Times New Roman" w:cs="Times New Roman"/>
                <w:b/>
                <w:bCs/>
              </w:rPr>
              <w:t>Budovanie základných pilierov informatizácie</w:t>
            </w:r>
          </w:p>
        </w:tc>
      </w:tr>
      <w:tr w:rsidR="00726B76" w:rsidRPr="005C4B9C" w14:paraId="24982AB5" w14:textId="77777777" w:rsidTr="009A347A">
        <w:trPr>
          <w:trHeight w:val="681"/>
        </w:trPr>
        <w:tc>
          <w:tcPr>
            <w:tcW w:w="3956" w:type="dxa"/>
            <w:shd w:val="clear" w:color="auto" w:fill="C0C0C0"/>
            <w:vAlign w:val="center"/>
          </w:tcPr>
          <w:p w14:paraId="0B324433" w14:textId="77777777" w:rsidR="00726B76" w:rsidRPr="00FA1CC0" w:rsidRDefault="00726B76" w:rsidP="009A347A">
            <w:pPr>
              <w:jc w:val="center"/>
              <w:rPr>
                <w:rFonts w:ascii="Times New Roman" w:hAnsi="Times New Roman" w:cs="Times New Roman"/>
                <w:b/>
              </w:rPr>
            </w:pPr>
            <w:r w:rsidRPr="00FA1CC0">
              <w:rPr>
                <w:rFonts w:ascii="Times New Roman" w:hAnsi="Times New Roman" w:cs="Times New Roman"/>
                <w:b/>
              </w:rPr>
              <w:t>Biznis vrstva</w:t>
            </w:r>
          </w:p>
        </w:tc>
        <w:tc>
          <w:tcPr>
            <w:tcW w:w="1446" w:type="dxa"/>
            <w:shd w:val="clear" w:color="auto" w:fill="C0C0C0"/>
            <w:vAlign w:val="center"/>
          </w:tcPr>
          <w:p w14:paraId="226F14FF" w14:textId="77777777" w:rsidR="00726B76" w:rsidRPr="00FA1CC0" w:rsidRDefault="00726B76" w:rsidP="009A347A">
            <w:pPr>
              <w:jc w:val="center"/>
              <w:rPr>
                <w:rFonts w:ascii="Times New Roman" w:hAnsi="Times New Roman" w:cs="Times New Roman"/>
                <w:b/>
              </w:rPr>
            </w:pPr>
            <w:r w:rsidRPr="00FA1CC0">
              <w:rPr>
                <w:rFonts w:ascii="Times New Roman" w:hAnsi="Times New Roman" w:cs="Times New Roman"/>
                <w:b/>
              </w:rPr>
              <w:t>A – nová služba</w:t>
            </w:r>
          </w:p>
          <w:p w14:paraId="1A854485" w14:textId="77777777" w:rsidR="00726B76" w:rsidRPr="00FA1CC0" w:rsidRDefault="00726B76" w:rsidP="009A347A">
            <w:pPr>
              <w:jc w:val="center"/>
              <w:rPr>
                <w:rFonts w:ascii="Times New Roman" w:hAnsi="Times New Roman" w:cs="Times New Roman"/>
                <w:i/>
                <w:iCs/>
              </w:rPr>
            </w:pPr>
            <w:r w:rsidRPr="00FA1CC0">
              <w:rPr>
                <w:rFonts w:ascii="Times New Roman" w:hAnsi="Times New Roman" w:cs="Times New Roman"/>
                <w:b/>
              </w:rPr>
              <w:t>B – zmena služby</w:t>
            </w:r>
            <w:r w:rsidRPr="00FA1CC0">
              <w:rPr>
                <w:rFonts w:ascii="Times New Roman" w:hAnsi="Times New Roman" w:cs="Times New Roman"/>
                <w:b/>
              </w:rPr>
              <w:br/>
              <w:t xml:space="preserve"> C-zvýšené používanie služby</w:t>
            </w:r>
          </w:p>
        </w:tc>
        <w:tc>
          <w:tcPr>
            <w:tcW w:w="1134" w:type="dxa"/>
            <w:shd w:val="clear" w:color="auto" w:fill="C0C0C0"/>
            <w:vAlign w:val="center"/>
          </w:tcPr>
          <w:p w14:paraId="05A2598B" w14:textId="77777777" w:rsidR="00726B76" w:rsidRPr="00FA1CC0" w:rsidRDefault="00726B76" w:rsidP="009A347A">
            <w:pPr>
              <w:rPr>
                <w:rFonts w:ascii="Times New Roman" w:hAnsi="Times New Roman" w:cs="Times New Roman"/>
              </w:rPr>
            </w:pPr>
            <w:r w:rsidRPr="00FA1CC0">
              <w:rPr>
                <w:rFonts w:ascii="Times New Roman" w:hAnsi="Times New Roman" w:cs="Times New Roman"/>
                <w:b/>
              </w:rPr>
              <w:t>Kód koncovej služby</w:t>
            </w:r>
          </w:p>
        </w:tc>
        <w:tc>
          <w:tcPr>
            <w:tcW w:w="1276" w:type="dxa"/>
            <w:gridSpan w:val="2"/>
            <w:shd w:val="clear" w:color="auto" w:fill="C0C0C0"/>
            <w:vAlign w:val="center"/>
          </w:tcPr>
          <w:p w14:paraId="4051D7F4" w14:textId="77777777" w:rsidR="00726B76" w:rsidRPr="00FA1CC0" w:rsidRDefault="00726B76" w:rsidP="009A347A">
            <w:pPr>
              <w:rPr>
                <w:rFonts w:ascii="Times New Roman" w:hAnsi="Times New Roman" w:cs="Times New Roman"/>
                <w:i/>
                <w:iCs/>
              </w:rPr>
            </w:pPr>
            <w:r w:rsidRPr="00FA1CC0">
              <w:rPr>
                <w:rFonts w:ascii="Times New Roman" w:hAnsi="Times New Roman" w:cs="Times New Roman"/>
                <w:b/>
              </w:rPr>
              <w:t>Názov koncovej služby</w:t>
            </w:r>
          </w:p>
        </w:tc>
        <w:tc>
          <w:tcPr>
            <w:tcW w:w="1559" w:type="dxa"/>
            <w:shd w:val="clear" w:color="auto" w:fill="C0C0C0"/>
          </w:tcPr>
          <w:p w14:paraId="1ED676CC" w14:textId="77777777" w:rsidR="00726B76" w:rsidRPr="00FA1CC0" w:rsidRDefault="00726B76" w:rsidP="009A347A">
            <w:pPr>
              <w:rPr>
                <w:rFonts w:ascii="Times New Roman" w:hAnsi="Times New Roman" w:cs="Times New Roman"/>
                <w:b/>
              </w:rPr>
            </w:pPr>
            <w:r w:rsidRPr="00FA1CC0">
              <w:rPr>
                <w:rFonts w:ascii="Times New Roman" w:hAnsi="Times New Roman" w:cs="Times New Roman"/>
                <w:b/>
              </w:rPr>
              <w:t>Úroveň elektronizácie – pre C odhad počtu podaní</w:t>
            </w:r>
          </w:p>
        </w:tc>
      </w:tr>
      <w:tr w:rsidR="00726B76" w:rsidRPr="005C4B9C" w14:paraId="09207F53" w14:textId="77777777" w:rsidTr="009A347A">
        <w:trPr>
          <w:trHeight w:val="20"/>
        </w:trPr>
        <w:tc>
          <w:tcPr>
            <w:tcW w:w="3956" w:type="dxa"/>
          </w:tcPr>
          <w:p w14:paraId="7CAB16E0" w14:textId="77777777" w:rsidR="00726B76" w:rsidRPr="00FA1CC0" w:rsidRDefault="00726B76" w:rsidP="00726B76">
            <w:pPr>
              <w:spacing w:after="0"/>
              <w:rPr>
                <w:rFonts w:ascii="Times New Roman" w:hAnsi="Times New Roman" w:cs="Times New Roman"/>
              </w:rPr>
            </w:pPr>
            <w:r w:rsidRPr="00FA1CC0">
              <w:rPr>
                <w:rFonts w:ascii="Times New Roman" w:hAnsi="Times New Roman" w:cs="Times New Roman"/>
                <w:b/>
              </w:rPr>
              <w:t>6.1.</w:t>
            </w:r>
            <w:r w:rsidRPr="00FA1CC0">
              <w:rPr>
                <w:rFonts w:ascii="Times New Roman" w:hAnsi="Times New Roman" w:cs="Times New Roman"/>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4A998743" w14:textId="77777777" w:rsidR="00726B76" w:rsidRPr="00FA1CC0" w:rsidRDefault="00726B76" w:rsidP="00726B76">
            <w:pPr>
              <w:spacing w:after="0"/>
              <w:jc w:val="center"/>
              <w:rPr>
                <w:rFonts w:ascii="Times New Roman" w:hAnsi="Times New Roman" w:cs="Times New Roman"/>
                <w:b/>
              </w:rPr>
            </w:pPr>
            <w:r w:rsidRPr="00FA1CC0">
              <w:rPr>
                <w:rFonts w:ascii="Times New Roman" w:hAnsi="Times New Roman" w:cs="Times New Roman"/>
                <w:b/>
              </w:rPr>
              <w:t>B</w:t>
            </w:r>
          </w:p>
        </w:tc>
        <w:tc>
          <w:tcPr>
            <w:tcW w:w="1134" w:type="dxa"/>
          </w:tcPr>
          <w:p w14:paraId="7EE6E0CA" w14:textId="77777777" w:rsidR="00726B76" w:rsidRPr="00FA1CC0" w:rsidRDefault="00726B76" w:rsidP="00726B76">
            <w:pPr>
              <w:spacing w:after="0" w:line="240" w:lineRule="auto"/>
              <w:jc w:val="center"/>
              <w:rPr>
                <w:rFonts w:ascii="Times New Roman" w:hAnsi="Times New Roman" w:cs="Times New Roman"/>
                <w:bCs/>
                <w:i/>
                <w:iCs/>
              </w:rPr>
            </w:pPr>
            <w:r w:rsidRPr="00FA1CC0">
              <w:rPr>
                <w:rFonts w:ascii="Times New Roman" w:hAnsi="Times New Roman" w:cs="Times New Roman"/>
                <w:bCs/>
                <w:i/>
                <w:iCs/>
              </w:rPr>
              <w:t>ks_338996</w:t>
            </w:r>
          </w:p>
          <w:p w14:paraId="7A4AA236" w14:textId="77777777" w:rsidR="00726B76" w:rsidRPr="00FA1CC0" w:rsidRDefault="00726B76" w:rsidP="00726B76">
            <w:pPr>
              <w:spacing w:after="0" w:line="240" w:lineRule="auto"/>
              <w:jc w:val="center"/>
              <w:rPr>
                <w:rFonts w:ascii="Times New Roman" w:hAnsi="Times New Roman" w:cs="Times New Roman"/>
                <w:bCs/>
                <w:i/>
                <w:iCs/>
              </w:rPr>
            </w:pPr>
          </w:p>
          <w:p w14:paraId="1C3DE323" w14:textId="77777777" w:rsidR="00726B76" w:rsidRPr="00FA1CC0" w:rsidRDefault="00726B76" w:rsidP="00726B76">
            <w:pPr>
              <w:spacing w:after="0" w:line="240" w:lineRule="auto"/>
              <w:jc w:val="center"/>
              <w:rPr>
                <w:rFonts w:ascii="Times New Roman" w:hAnsi="Times New Roman" w:cs="Times New Roman"/>
                <w:bCs/>
                <w:i/>
                <w:iCs/>
              </w:rPr>
            </w:pPr>
          </w:p>
          <w:p w14:paraId="0D3F7063" w14:textId="77777777" w:rsidR="00726B76" w:rsidRPr="00FA1CC0" w:rsidRDefault="00726B76" w:rsidP="00726B76">
            <w:pPr>
              <w:spacing w:after="0" w:line="240" w:lineRule="auto"/>
              <w:jc w:val="center"/>
              <w:rPr>
                <w:rFonts w:ascii="Times New Roman" w:hAnsi="Times New Roman" w:cs="Times New Roman"/>
                <w:bCs/>
                <w:i/>
                <w:iCs/>
              </w:rPr>
            </w:pPr>
          </w:p>
          <w:p w14:paraId="55C7420E" w14:textId="77777777" w:rsidR="00726B76" w:rsidRPr="00FA1CC0" w:rsidRDefault="00726B76" w:rsidP="00726B76">
            <w:pPr>
              <w:spacing w:after="0" w:line="240" w:lineRule="auto"/>
              <w:rPr>
                <w:rFonts w:ascii="Times New Roman" w:hAnsi="Times New Roman" w:cs="Times New Roman"/>
                <w:bCs/>
                <w:i/>
                <w:iCs/>
              </w:rPr>
            </w:pPr>
            <w:r w:rsidRPr="00FA1CC0">
              <w:rPr>
                <w:rFonts w:ascii="Times New Roman" w:hAnsi="Times New Roman" w:cs="Times New Roman"/>
                <w:bCs/>
                <w:i/>
                <w:iCs/>
              </w:rPr>
              <w:t>ks_339004</w:t>
            </w:r>
          </w:p>
          <w:p w14:paraId="583E06D9" w14:textId="77777777" w:rsidR="00726B76" w:rsidRPr="00FA1CC0" w:rsidRDefault="00726B76" w:rsidP="00726B76">
            <w:pPr>
              <w:spacing w:after="0" w:line="240" w:lineRule="auto"/>
              <w:jc w:val="center"/>
              <w:rPr>
                <w:rFonts w:ascii="Times New Roman" w:hAnsi="Times New Roman" w:cs="Times New Roman"/>
                <w:bCs/>
                <w:i/>
                <w:iCs/>
              </w:rPr>
            </w:pPr>
          </w:p>
          <w:p w14:paraId="5E99A505" w14:textId="77777777" w:rsidR="00726B76" w:rsidRPr="00FA1CC0" w:rsidRDefault="00726B76" w:rsidP="00726B76">
            <w:pPr>
              <w:spacing w:after="0" w:line="240" w:lineRule="auto"/>
              <w:jc w:val="center"/>
              <w:rPr>
                <w:rFonts w:ascii="Times New Roman" w:hAnsi="Times New Roman" w:cs="Times New Roman"/>
                <w:bCs/>
                <w:i/>
                <w:iCs/>
              </w:rPr>
            </w:pPr>
          </w:p>
          <w:p w14:paraId="475CAA20" w14:textId="77777777" w:rsidR="00726B76" w:rsidRPr="00FA1CC0" w:rsidRDefault="00726B76" w:rsidP="00726B76">
            <w:pPr>
              <w:spacing w:after="0" w:line="240" w:lineRule="auto"/>
              <w:jc w:val="center"/>
              <w:rPr>
                <w:rFonts w:ascii="Times New Roman" w:hAnsi="Times New Roman" w:cs="Times New Roman"/>
                <w:bCs/>
                <w:i/>
                <w:iCs/>
              </w:rPr>
            </w:pPr>
          </w:p>
          <w:p w14:paraId="48F76A63" w14:textId="77777777" w:rsidR="00726B76" w:rsidRPr="00FA1CC0" w:rsidRDefault="00726B76" w:rsidP="00726B76">
            <w:pPr>
              <w:spacing w:after="0" w:line="240" w:lineRule="auto"/>
              <w:jc w:val="center"/>
              <w:rPr>
                <w:rFonts w:ascii="Times New Roman" w:hAnsi="Times New Roman" w:cs="Times New Roman"/>
                <w:bCs/>
                <w:i/>
                <w:iCs/>
              </w:rPr>
            </w:pPr>
          </w:p>
          <w:p w14:paraId="56B92CDC" w14:textId="77777777" w:rsidR="00726B76" w:rsidRPr="00FA1CC0" w:rsidRDefault="00726B76" w:rsidP="00726B76">
            <w:pPr>
              <w:spacing w:after="0" w:line="240" w:lineRule="auto"/>
              <w:jc w:val="center"/>
              <w:rPr>
                <w:rFonts w:ascii="Times New Roman" w:hAnsi="Times New Roman" w:cs="Times New Roman"/>
                <w:bCs/>
                <w:i/>
                <w:iCs/>
              </w:rPr>
            </w:pPr>
          </w:p>
          <w:p w14:paraId="18FAC60C" w14:textId="77777777" w:rsidR="00726B76" w:rsidRPr="00FA1CC0" w:rsidRDefault="00726B76" w:rsidP="00726B76">
            <w:pPr>
              <w:spacing w:after="0" w:line="240" w:lineRule="auto"/>
              <w:rPr>
                <w:rFonts w:ascii="Times New Roman" w:hAnsi="Times New Roman" w:cs="Times New Roman"/>
                <w:bCs/>
                <w:i/>
                <w:iCs/>
              </w:rPr>
            </w:pPr>
            <w:r w:rsidRPr="00FA1CC0">
              <w:rPr>
                <w:rFonts w:ascii="Times New Roman" w:hAnsi="Times New Roman" w:cs="Times New Roman"/>
                <w:bCs/>
                <w:i/>
                <w:iCs/>
              </w:rPr>
              <w:t>ks_339006</w:t>
            </w:r>
          </w:p>
          <w:p w14:paraId="678C70D5" w14:textId="77777777" w:rsidR="00726B76" w:rsidRPr="00FA1CC0" w:rsidRDefault="00726B76" w:rsidP="00726B76">
            <w:pPr>
              <w:spacing w:after="0" w:line="240" w:lineRule="auto"/>
              <w:rPr>
                <w:rFonts w:ascii="Times New Roman" w:hAnsi="Times New Roman" w:cs="Times New Roman"/>
                <w:bCs/>
                <w:i/>
                <w:iCs/>
              </w:rPr>
            </w:pPr>
          </w:p>
          <w:p w14:paraId="11D1773E" w14:textId="77777777" w:rsidR="00726B76" w:rsidRPr="00FA1CC0" w:rsidRDefault="00726B76" w:rsidP="00726B76">
            <w:pPr>
              <w:spacing w:after="0" w:line="240" w:lineRule="auto"/>
              <w:rPr>
                <w:rFonts w:ascii="Times New Roman" w:hAnsi="Times New Roman" w:cs="Times New Roman"/>
                <w:bCs/>
                <w:i/>
                <w:iCs/>
              </w:rPr>
            </w:pPr>
          </w:p>
          <w:p w14:paraId="2BD85386" w14:textId="77777777" w:rsidR="00726B76" w:rsidRPr="00FA1CC0" w:rsidRDefault="00726B76" w:rsidP="00726B76">
            <w:pPr>
              <w:spacing w:after="0" w:line="240" w:lineRule="auto"/>
              <w:rPr>
                <w:rFonts w:ascii="Times New Roman" w:hAnsi="Times New Roman" w:cs="Times New Roman"/>
                <w:bCs/>
                <w:i/>
                <w:iCs/>
              </w:rPr>
            </w:pPr>
          </w:p>
          <w:p w14:paraId="250918E4" w14:textId="77777777" w:rsidR="00726B76" w:rsidRPr="00FA1CC0" w:rsidRDefault="00726B76" w:rsidP="00726B76">
            <w:pPr>
              <w:spacing w:after="0" w:line="240" w:lineRule="auto"/>
              <w:rPr>
                <w:rFonts w:ascii="Times New Roman" w:hAnsi="Times New Roman" w:cs="Times New Roman"/>
                <w:bCs/>
                <w:i/>
                <w:iCs/>
              </w:rPr>
            </w:pPr>
          </w:p>
          <w:p w14:paraId="690CBB2B" w14:textId="77777777" w:rsidR="00726B76" w:rsidRPr="00FA1CC0" w:rsidRDefault="00726B76" w:rsidP="00726B76">
            <w:pPr>
              <w:spacing w:after="0" w:line="240" w:lineRule="auto"/>
              <w:rPr>
                <w:rFonts w:ascii="Times New Roman" w:hAnsi="Times New Roman" w:cs="Times New Roman"/>
                <w:bCs/>
                <w:i/>
                <w:iCs/>
              </w:rPr>
            </w:pPr>
          </w:p>
          <w:p w14:paraId="28754062" w14:textId="77777777" w:rsidR="00726B76" w:rsidRPr="00FA1CC0" w:rsidRDefault="00726B76" w:rsidP="00726B76">
            <w:pPr>
              <w:spacing w:after="0" w:line="240" w:lineRule="auto"/>
              <w:rPr>
                <w:rFonts w:ascii="Times New Roman" w:hAnsi="Times New Roman" w:cs="Times New Roman"/>
                <w:bCs/>
                <w:i/>
                <w:iCs/>
              </w:rPr>
            </w:pPr>
          </w:p>
          <w:p w14:paraId="3533A853" w14:textId="77777777" w:rsidR="00726B76" w:rsidRPr="00FA1CC0" w:rsidRDefault="00726B76" w:rsidP="00726B76">
            <w:pPr>
              <w:spacing w:after="0" w:line="240" w:lineRule="auto"/>
              <w:rPr>
                <w:rFonts w:ascii="Times New Roman" w:hAnsi="Times New Roman" w:cs="Times New Roman"/>
                <w:bCs/>
                <w:i/>
                <w:iCs/>
              </w:rPr>
            </w:pPr>
            <w:r w:rsidRPr="00FA1CC0">
              <w:rPr>
                <w:rFonts w:ascii="Times New Roman" w:hAnsi="Times New Roman" w:cs="Times New Roman"/>
                <w:bCs/>
                <w:i/>
                <w:iCs/>
              </w:rPr>
              <w:t>ks_339009</w:t>
            </w:r>
          </w:p>
          <w:p w14:paraId="19CD3EE3" w14:textId="77777777" w:rsidR="00726B76" w:rsidRPr="00FA1CC0" w:rsidRDefault="00726B76" w:rsidP="00726B76">
            <w:pPr>
              <w:spacing w:after="0" w:line="240" w:lineRule="auto"/>
              <w:jc w:val="center"/>
              <w:rPr>
                <w:rFonts w:ascii="Times New Roman" w:hAnsi="Times New Roman" w:cs="Times New Roman"/>
                <w:bCs/>
                <w:i/>
                <w:iCs/>
              </w:rPr>
            </w:pPr>
          </w:p>
          <w:p w14:paraId="71F24FEC" w14:textId="77777777" w:rsidR="00726B76" w:rsidRPr="00FA1CC0" w:rsidRDefault="00726B76" w:rsidP="00726B76">
            <w:pPr>
              <w:spacing w:after="0" w:line="240" w:lineRule="auto"/>
              <w:jc w:val="center"/>
              <w:rPr>
                <w:rFonts w:ascii="Times New Roman" w:hAnsi="Times New Roman" w:cs="Times New Roman"/>
                <w:bCs/>
                <w:i/>
                <w:iCs/>
              </w:rPr>
            </w:pPr>
          </w:p>
          <w:p w14:paraId="77F0F92E" w14:textId="77777777" w:rsidR="00726B76" w:rsidRPr="00FA1CC0" w:rsidRDefault="00726B76" w:rsidP="00726B76">
            <w:pPr>
              <w:spacing w:after="0" w:line="240" w:lineRule="auto"/>
              <w:jc w:val="center"/>
              <w:rPr>
                <w:rFonts w:ascii="Times New Roman" w:hAnsi="Times New Roman" w:cs="Times New Roman"/>
                <w:bCs/>
                <w:i/>
                <w:iCs/>
              </w:rPr>
            </w:pPr>
          </w:p>
          <w:p w14:paraId="72946201" w14:textId="77777777" w:rsidR="00726B76" w:rsidRPr="00FA1CC0" w:rsidRDefault="00726B76" w:rsidP="00726B76">
            <w:pPr>
              <w:spacing w:after="0" w:line="240" w:lineRule="auto"/>
              <w:jc w:val="center"/>
              <w:rPr>
                <w:rFonts w:ascii="Times New Roman" w:hAnsi="Times New Roman" w:cs="Times New Roman"/>
                <w:bCs/>
                <w:i/>
                <w:iCs/>
              </w:rPr>
            </w:pPr>
          </w:p>
          <w:p w14:paraId="4180A9CA" w14:textId="77777777" w:rsidR="00726B76" w:rsidRPr="00FA1CC0" w:rsidRDefault="00726B76" w:rsidP="00726B76">
            <w:pPr>
              <w:spacing w:after="0" w:line="240" w:lineRule="auto"/>
              <w:jc w:val="center"/>
              <w:rPr>
                <w:rFonts w:ascii="Times New Roman" w:hAnsi="Times New Roman" w:cs="Times New Roman"/>
                <w:bCs/>
                <w:i/>
                <w:iCs/>
              </w:rPr>
            </w:pPr>
            <w:r w:rsidRPr="00FA1CC0">
              <w:rPr>
                <w:rFonts w:ascii="Times New Roman" w:hAnsi="Times New Roman" w:cs="Times New Roman"/>
                <w:bCs/>
                <w:i/>
                <w:iCs/>
              </w:rPr>
              <w:t>ks_339011</w:t>
            </w:r>
          </w:p>
          <w:p w14:paraId="7FFE73BC" w14:textId="77777777" w:rsidR="00726B76" w:rsidRPr="00FA1CC0" w:rsidRDefault="00726B76" w:rsidP="00726B76">
            <w:pPr>
              <w:spacing w:after="0" w:line="240" w:lineRule="auto"/>
              <w:jc w:val="center"/>
              <w:rPr>
                <w:rFonts w:ascii="Times New Roman" w:hAnsi="Times New Roman" w:cs="Times New Roman"/>
                <w:bCs/>
                <w:i/>
                <w:iCs/>
              </w:rPr>
            </w:pPr>
          </w:p>
          <w:p w14:paraId="5FAAECD4" w14:textId="77777777" w:rsidR="00726B76" w:rsidRPr="00FA1CC0" w:rsidRDefault="00726B76" w:rsidP="00726B76">
            <w:pPr>
              <w:spacing w:after="0" w:line="240" w:lineRule="auto"/>
              <w:jc w:val="center"/>
              <w:rPr>
                <w:rFonts w:ascii="Times New Roman" w:hAnsi="Times New Roman" w:cs="Times New Roman"/>
                <w:bCs/>
                <w:i/>
                <w:iCs/>
              </w:rPr>
            </w:pPr>
          </w:p>
          <w:p w14:paraId="3B4C72D5" w14:textId="77777777" w:rsidR="00726B76" w:rsidRPr="00FA1CC0" w:rsidRDefault="00726B76" w:rsidP="00726B76">
            <w:pPr>
              <w:spacing w:after="0" w:line="240" w:lineRule="auto"/>
              <w:jc w:val="center"/>
              <w:rPr>
                <w:rFonts w:ascii="Times New Roman" w:hAnsi="Times New Roman" w:cs="Times New Roman"/>
                <w:bCs/>
                <w:i/>
                <w:iCs/>
              </w:rPr>
            </w:pPr>
          </w:p>
          <w:p w14:paraId="7EDE2BD8" w14:textId="77777777" w:rsidR="00726B76" w:rsidRPr="00FA1CC0" w:rsidRDefault="00726B76" w:rsidP="00726B76">
            <w:pPr>
              <w:spacing w:after="0" w:line="240" w:lineRule="auto"/>
              <w:jc w:val="center"/>
              <w:rPr>
                <w:rFonts w:ascii="Times New Roman" w:hAnsi="Times New Roman" w:cs="Times New Roman"/>
                <w:bCs/>
                <w:i/>
                <w:iCs/>
              </w:rPr>
            </w:pPr>
          </w:p>
          <w:p w14:paraId="2C44EED6" w14:textId="77777777" w:rsidR="00726B76" w:rsidRPr="00FA1CC0" w:rsidRDefault="00726B76" w:rsidP="00726B76">
            <w:pPr>
              <w:spacing w:after="0" w:line="240" w:lineRule="auto"/>
              <w:jc w:val="center"/>
              <w:rPr>
                <w:rFonts w:ascii="Times New Roman" w:hAnsi="Times New Roman" w:cs="Times New Roman"/>
                <w:bCs/>
                <w:i/>
                <w:iCs/>
              </w:rPr>
            </w:pPr>
          </w:p>
          <w:p w14:paraId="6B8B5AD6" w14:textId="77777777" w:rsidR="00726B76" w:rsidRPr="00FA1CC0" w:rsidRDefault="00726B76" w:rsidP="00726B76">
            <w:pPr>
              <w:spacing w:after="0" w:line="240" w:lineRule="auto"/>
              <w:jc w:val="center"/>
              <w:rPr>
                <w:rFonts w:ascii="Times New Roman" w:hAnsi="Times New Roman" w:cs="Times New Roman"/>
                <w:bCs/>
                <w:i/>
                <w:iCs/>
              </w:rPr>
            </w:pPr>
          </w:p>
          <w:p w14:paraId="5C28AE70" w14:textId="77777777" w:rsidR="00726B76" w:rsidRPr="00FA1CC0" w:rsidRDefault="00726B76" w:rsidP="00726B76">
            <w:pPr>
              <w:spacing w:after="0" w:line="240" w:lineRule="auto"/>
              <w:jc w:val="center"/>
              <w:rPr>
                <w:rFonts w:ascii="Times New Roman" w:hAnsi="Times New Roman" w:cs="Times New Roman"/>
                <w:bCs/>
                <w:i/>
                <w:iCs/>
              </w:rPr>
            </w:pPr>
          </w:p>
          <w:p w14:paraId="1FB8F1B4" w14:textId="77777777" w:rsidR="00726B76" w:rsidRPr="00FA1CC0" w:rsidRDefault="00726B76" w:rsidP="00726B76">
            <w:pPr>
              <w:spacing w:after="0" w:line="240" w:lineRule="auto"/>
              <w:jc w:val="center"/>
              <w:rPr>
                <w:rFonts w:ascii="Times New Roman" w:hAnsi="Times New Roman" w:cs="Times New Roman"/>
                <w:bCs/>
                <w:i/>
                <w:iCs/>
              </w:rPr>
            </w:pPr>
          </w:p>
          <w:p w14:paraId="151D5944" w14:textId="77777777" w:rsidR="00726B76" w:rsidRPr="00FA1CC0" w:rsidRDefault="00726B76" w:rsidP="00726B76">
            <w:pPr>
              <w:spacing w:after="0" w:line="240" w:lineRule="auto"/>
              <w:jc w:val="center"/>
              <w:rPr>
                <w:rFonts w:ascii="Times New Roman" w:hAnsi="Times New Roman" w:cs="Times New Roman"/>
                <w:bCs/>
                <w:i/>
                <w:iCs/>
              </w:rPr>
            </w:pPr>
          </w:p>
          <w:p w14:paraId="21F63523" w14:textId="77777777" w:rsidR="00726B76" w:rsidRDefault="00726B76" w:rsidP="00726B76">
            <w:pPr>
              <w:spacing w:after="0" w:line="240" w:lineRule="auto"/>
              <w:jc w:val="center"/>
              <w:rPr>
                <w:rFonts w:ascii="Times New Roman" w:hAnsi="Times New Roman" w:cs="Times New Roman"/>
                <w:bCs/>
                <w:i/>
                <w:iCs/>
              </w:rPr>
            </w:pPr>
          </w:p>
          <w:p w14:paraId="7D61325D" w14:textId="77777777" w:rsidR="00CE651F" w:rsidRDefault="00CE651F" w:rsidP="00726B76">
            <w:pPr>
              <w:spacing w:after="0" w:line="240" w:lineRule="auto"/>
              <w:jc w:val="center"/>
              <w:rPr>
                <w:rFonts w:ascii="Times New Roman" w:hAnsi="Times New Roman" w:cs="Times New Roman"/>
                <w:bCs/>
                <w:i/>
                <w:iCs/>
              </w:rPr>
            </w:pPr>
          </w:p>
          <w:p w14:paraId="14D611E6" w14:textId="77777777" w:rsidR="00CE651F" w:rsidRDefault="00CE651F" w:rsidP="00726B76">
            <w:pPr>
              <w:spacing w:after="0" w:line="240" w:lineRule="auto"/>
              <w:jc w:val="center"/>
              <w:rPr>
                <w:rFonts w:ascii="Times New Roman" w:hAnsi="Times New Roman" w:cs="Times New Roman"/>
                <w:bCs/>
                <w:i/>
                <w:iCs/>
              </w:rPr>
            </w:pPr>
          </w:p>
          <w:p w14:paraId="73795E9F" w14:textId="77777777" w:rsidR="00CE651F" w:rsidRPr="00FA1CC0" w:rsidRDefault="00CE651F" w:rsidP="00726B76">
            <w:pPr>
              <w:spacing w:after="0" w:line="240" w:lineRule="auto"/>
              <w:jc w:val="center"/>
              <w:rPr>
                <w:rFonts w:ascii="Times New Roman" w:hAnsi="Times New Roman" w:cs="Times New Roman"/>
                <w:bCs/>
                <w:i/>
                <w:iCs/>
              </w:rPr>
            </w:pPr>
          </w:p>
          <w:p w14:paraId="122FF133" w14:textId="77777777" w:rsidR="00726B76" w:rsidRPr="00FA1CC0" w:rsidRDefault="00726B76" w:rsidP="00726B76">
            <w:pPr>
              <w:spacing w:after="0" w:line="240" w:lineRule="auto"/>
              <w:jc w:val="center"/>
              <w:rPr>
                <w:rFonts w:ascii="Times New Roman" w:hAnsi="Times New Roman" w:cs="Times New Roman"/>
                <w:bCs/>
                <w:i/>
                <w:iCs/>
              </w:rPr>
            </w:pPr>
          </w:p>
        </w:tc>
        <w:tc>
          <w:tcPr>
            <w:tcW w:w="1276" w:type="dxa"/>
            <w:gridSpan w:val="2"/>
          </w:tcPr>
          <w:p w14:paraId="5444F9AF"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Registrovanie subjektu k spotrebnej dani</w:t>
            </w:r>
          </w:p>
          <w:p w14:paraId="752B8557"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Podávanie daňového priznania k spotrebnej dani z elektriny</w:t>
            </w:r>
          </w:p>
          <w:p w14:paraId="21A7417C"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Podávanie daňového priznania k spotrebnej dani z minerálneho oleja</w:t>
            </w:r>
          </w:p>
          <w:p w14:paraId="2887F4A9"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Podávanie daňového priznania k spotrebnej dani z uhlia</w:t>
            </w:r>
          </w:p>
          <w:p w14:paraId="02C1BD3B"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Podávanie daňového priznania k spotrebnej dani zo zemného plynu</w:t>
            </w:r>
          </w:p>
        </w:tc>
        <w:tc>
          <w:tcPr>
            <w:tcW w:w="1559" w:type="dxa"/>
          </w:tcPr>
          <w:p w14:paraId="5D853EFF"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p w14:paraId="5BCEB02D" w14:textId="77777777" w:rsidR="00726B76" w:rsidRPr="00FA1CC0" w:rsidRDefault="00726B76" w:rsidP="00726B76">
            <w:pPr>
              <w:spacing w:after="0" w:line="240" w:lineRule="auto"/>
              <w:rPr>
                <w:rFonts w:ascii="Times New Roman" w:hAnsi="Times New Roman" w:cs="Times New Roman"/>
                <w:b/>
                <w:i/>
              </w:rPr>
            </w:pPr>
          </w:p>
          <w:p w14:paraId="2349A2A3" w14:textId="77777777" w:rsidR="00726B76" w:rsidRPr="00FA1CC0" w:rsidRDefault="00726B76" w:rsidP="00726B76">
            <w:pPr>
              <w:spacing w:after="0" w:line="240" w:lineRule="auto"/>
              <w:rPr>
                <w:rFonts w:ascii="Times New Roman" w:hAnsi="Times New Roman" w:cs="Times New Roman"/>
                <w:b/>
                <w:i/>
              </w:rPr>
            </w:pPr>
          </w:p>
          <w:p w14:paraId="5AF11D75" w14:textId="77777777" w:rsidR="00726B76" w:rsidRPr="00FA1CC0" w:rsidRDefault="00726B76" w:rsidP="00726B76">
            <w:pPr>
              <w:spacing w:after="0" w:line="240" w:lineRule="auto"/>
              <w:rPr>
                <w:rFonts w:ascii="Times New Roman" w:hAnsi="Times New Roman" w:cs="Times New Roman"/>
                <w:b/>
                <w:i/>
              </w:rPr>
            </w:pPr>
          </w:p>
          <w:p w14:paraId="6F03EDF6"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p w14:paraId="04CCFC1E" w14:textId="77777777" w:rsidR="00726B76" w:rsidRPr="00FA1CC0" w:rsidRDefault="00726B76" w:rsidP="00726B76">
            <w:pPr>
              <w:spacing w:after="0" w:line="240" w:lineRule="auto"/>
              <w:rPr>
                <w:rFonts w:ascii="Times New Roman" w:hAnsi="Times New Roman" w:cs="Times New Roman"/>
                <w:b/>
                <w:i/>
              </w:rPr>
            </w:pPr>
          </w:p>
          <w:p w14:paraId="46F0C737" w14:textId="77777777" w:rsidR="00726B76" w:rsidRPr="00FA1CC0" w:rsidRDefault="00726B76" w:rsidP="00726B76">
            <w:pPr>
              <w:spacing w:after="0" w:line="240" w:lineRule="auto"/>
              <w:rPr>
                <w:rFonts w:ascii="Times New Roman" w:hAnsi="Times New Roman" w:cs="Times New Roman"/>
                <w:b/>
                <w:i/>
              </w:rPr>
            </w:pPr>
          </w:p>
          <w:p w14:paraId="1E176B4A" w14:textId="77777777" w:rsidR="00726B76" w:rsidRPr="00FA1CC0" w:rsidRDefault="00726B76" w:rsidP="00726B76">
            <w:pPr>
              <w:spacing w:after="0" w:line="240" w:lineRule="auto"/>
              <w:rPr>
                <w:rFonts w:ascii="Times New Roman" w:hAnsi="Times New Roman" w:cs="Times New Roman"/>
                <w:b/>
                <w:i/>
              </w:rPr>
            </w:pPr>
          </w:p>
          <w:p w14:paraId="037BB55A" w14:textId="77777777" w:rsidR="00726B76" w:rsidRPr="00FA1CC0" w:rsidRDefault="00726B76" w:rsidP="00726B76">
            <w:pPr>
              <w:spacing w:after="0" w:line="240" w:lineRule="auto"/>
              <w:rPr>
                <w:rFonts w:ascii="Times New Roman" w:hAnsi="Times New Roman" w:cs="Times New Roman"/>
                <w:b/>
                <w:i/>
              </w:rPr>
            </w:pPr>
          </w:p>
          <w:p w14:paraId="3BE8EB67" w14:textId="77777777" w:rsidR="00726B76" w:rsidRPr="00FA1CC0" w:rsidRDefault="00726B76" w:rsidP="00726B76">
            <w:pPr>
              <w:spacing w:after="0" w:line="240" w:lineRule="auto"/>
              <w:rPr>
                <w:rFonts w:ascii="Times New Roman" w:hAnsi="Times New Roman" w:cs="Times New Roman"/>
                <w:b/>
                <w:i/>
              </w:rPr>
            </w:pPr>
          </w:p>
          <w:p w14:paraId="719BA09D"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p w14:paraId="7A6D8AD6" w14:textId="77777777" w:rsidR="00726B76" w:rsidRPr="00FA1CC0" w:rsidRDefault="00726B76" w:rsidP="00726B76">
            <w:pPr>
              <w:spacing w:after="0" w:line="240" w:lineRule="auto"/>
              <w:rPr>
                <w:rFonts w:ascii="Times New Roman" w:hAnsi="Times New Roman" w:cs="Times New Roman"/>
                <w:b/>
                <w:i/>
              </w:rPr>
            </w:pPr>
          </w:p>
          <w:p w14:paraId="577431D8" w14:textId="77777777" w:rsidR="00726B76" w:rsidRPr="00FA1CC0" w:rsidRDefault="00726B76" w:rsidP="00726B76">
            <w:pPr>
              <w:spacing w:after="0" w:line="240" w:lineRule="auto"/>
              <w:rPr>
                <w:rFonts w:ascii="Times New Roman" w:hAnsi="Times New Roman" w:cs="Times New Roman"/>
                <w:b/>
                <w:i/>
              </w:rPr>
            </w:pPr>
          </w:p>
          <w:p w14:paraId="1FA92049" w14:textId="77777777" w:rsidR="00726B76" w:rsidRPr="00FA1CC0" w:rsidRDefault="00726B76" w:rsidP="00726B76">
            <w:pPr>
              <w:spacing w:after="0" w:line="240" w:lineRule="auto"/>
              <w:rPr>
                <w:rFonts w:ascii="Times New Roman" w:hAnsi="Times New Roman" w:cs="Times New Roman"/>
                <w:b/>
                <w:i/>
              </w:rPr>
            </w:pPr>
          </w:p>
          <w:p w14:paraId="36484AD1" w14:textId="77777777" w:rsidR="00726B76" w:rsidRPr="00FA1CC0" w:rsidRDefault="00726B76" w:rsidP="00726B76">
            <w:pPr>
              <w:spacing w:after="0" w:line="240" w:lineRule="auto"/>
              <w:rPr>
                <w:rFonts w:ascii="Times New Roman" w:hAnsi="Times New Roman" w:cs="Times New Roman"/>
                <w:b/>
                <w:i/>
              </w:rPr>
            </w:pPr>
          </w:p>
          <w:p w14:paraId="0E6AF38B" w14:textId="77777777" w:rsidR="00726B76" w:rsidRPr="00FA1CC0" w:rsidRDefault="00726B76" w:rsidP="00726B76">
            <w:pPr>
              <w:spacing w:after="0" w:line="240" w:lineRule="auto"/>
              <w:rPr>
                <w:rFonts w:ascii="Times New Roman" w:hAnsi="Times New Roman" w:cs="Times New Roman"/>
                <w:b/>
                <w:i/>
              </w:rPr>
            </w:pPr>
          </w:p>
          <w:p w14:paraId="380DD724" w14:textId="77777777" w:rsidR="00726B76" w:rsidRPr="00FA1CC0" w:rsidRDefault="00726B76" w:rsidP="00726B76">
            <w:pPr>
              <w:spacing w:after="0" w:line="240" w:lineRule="auto"/>
              <w:rPr>
                <w:rFonts w:ascii="Times New Roman" w:hAnsi="Times New Roman" w:cs="Times New Roman"/>
                <w:b/>
                <w:i/>
              </w:rPr>
            </w:pPr>
          </w:p>
          <w:p w14:paraId="06034A09"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p w14:paraId="473BF976" w14:textId="77777777" w:rsidR="00726B76" w:rsidRPr="00FA1CC0" w:rsidRDefault="00726B76" w:rsidP="00726B76">
            <w:pPr>
              <w:spacing w:after="0" w:line="240" w:lineRule="auto"/>
              <w:rPr>
                <w:rFonts w:ascii="Times New Roman" w:hAnsi="Times New Roman" w:cs="Times New Roman"/>
                <w:b/>
                <w:i/>
              </w:rPr>
            </w:pPr>
          </w:p>
          <w:p w14:paraId="62DDF490" w14:textId="77777777" w:rsidR="00726B76" w:rsidRPr="00FA1CC0" w:rsidRDefault="00726B76" w:rsidP="00726B76">
            <w:pPr>
              <w:spacing w:after="0" w:line="240" w:lineRule="auto"/>
              <w:rPr>
                <w:rFonts w:ascii="Times New Roman" w:hAnsi="Times New Roman" w:cs="Times New Roman"/>
                <w:b/>
                <w:i/>
              </w:rPr>
            </w:pPr>
          </w:p>
          <w:p w14:paraId="77FC2A33" w14:textId="77777777" w:rsidR="00726B76" w:rsidRPr="00FA1CC0" w:rsidRDefault="00726B76" w:rsidP="00726B76">
            <w:pPr>
              <w:spacing w:after="0" w:line="240" w:lineRule="auto"/>
              <w:rPr>
                <w:rFonts w:ascii="Times New Roman" w:hAnsi="Times New Roman" w:cs="Times New Roman"/>
                <w:b/>
                <w:i/>
              </w:rPr>
            </w:pPr>
          </w:p>
          <w:p w14:paraId="1FEBEA54" w14:textId="77777777" w:rsidR="00726B76" w:rsidRPr="00FA1CC0" w:rsidRDefault="00726B76" w:rsidP="00726B76">
            <w:pPr>
              <w:spacing w:after="0" w:line="240" w:lineRule="auto"/>
              <w:rPr>
                <w:rFonts w:ascii="Times New Roman" w:hAnsi="Times New Roman" w:cs="Times New Roman"/>
                <w:b/>
                <w:i/>
              </w:rPr>
            </w:pPr>
          </w:p>
          <w:p w14:paraId="38895F79"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tc>
      </w:tr>
      <w:tr w:rsidR="00726B76" w:rsidRPr="005C4B9C" w14:paraId="4029429A" w14:textId="77777777" w:rsidTr="009A347A">
        <w:trPr>
          <w:trHeight w:val="20"/>
        </w:trPr>
        <w:tc>
          <w:tcPr>
            <w:tcW w:w="3956" w:type="dxa"/>
            <w:shd w:val="clear" w:color="auto" w:fill="C0C0C0"/>
            <w:vAlign w:val="center"/>
          </w:tcPr>
          <w:p w14:paraId="3EC148E0"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lastRenderedPageBreak/>
              <w:t>Aplikačná a technologická vrstva</w:t>
            </w:r>
          </w:p>
        </w:tc>
        <w:tc>
          <w:tcPr>
            <w:tcW w:w="1446" w:type="dxa"/>
            <w:shd w:val="clear" w:color="auto" w:fill="C0C0C0"/>
          </w:tcPr>
          <w:p w14:paraId="18159C48"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A – nový systém</w:t>
            </w:r>
          </w:p>
          <w:p w14:paraId="10194702"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B – zmena systému</w:t>
            </w:r>
          </w:p>
        </w:tc>
        <w:tc>
          <w:tcPr>
            <w:tcW w:w="1134" w:type="dxa"/>
            <w:shd w:val="clear" w:color="auto" w:fill="C0C0C0"/>
            <w:vAlign w:val="center"/>
          </w:tcPr>
          <w:p w14:paraId="34C5CAD4"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Kód systému</w:t>
            </w:r>
          </w:p>
        </w:tc>
        <w:tc>
          <w:tcPr>
            <w:tcW w:w="1276" w:type="dxa"/>
            <w:gridSpan w:val="2"/>
            <w:shd w:val="clear" w:color="auto" w:fill="C0C0C0"/>
            <w:vAlign w:val="center"/>
          </w:tcPr>
          <w:p w14:paraId="2302FC36"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Názov systému</w:t>
            </w:r>
          </w:p>
        </w:tc>
        <w:tc>
          <w:tcPr>
            <w:tcW w:w="1559" w:type="dxa"/>
            <w:shd w:val="clear" w:color="auto" w:fill="C0C0C0"/>
            <w:vAlign w:val="center"/>
          </w:tcPr>
          <w:p w14:paraId="44926B40"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Vo vládnom cloude – áno / nie</w:t>
            </w:r>
          </w:p>
        </w:tc>
      </w:tr>
      <w:tr w:rsidR="00726B76" w:rsidRPr="005C4B9C" w14:paraId="53FAFB53" w14:textId="77777777" w:rsidTr="009A347A">
        <w:trPr>
          <w:trHeight w:val="20"/>
        </w:trPr>
        <w:tc>
          <w:tcPr>
            <w:tcW w:w="3956" w:type="dxa"/>
          </w:tcPr>
          <w:p w14:paraId="09ECEB4F" w14:textId="77777777" w:rsidR="00726B76" w:rsidRPr="00CE651F" w:rsidRDefault="00726B76" w:rsidP="00726B76">
            <w:pPr>
              <w:spacing w:after="0"/>
              <w:rPr>
                <w:rFonts w:ascii="Times New Roman" w:hAnsi="Times New Roman" w:cs="Times New Roman"/>
              </w:rPr>
            </w:pPr>
            <w:r w:rsidRPr="00CE651F">
              <w:rPr>
                <w:rFonts w:ascii="Times New Roman" w:hAnsi="Times New Roman" w:cs="Times New Roman"/>
                <w:b/>
              </w:rPr>
              <w:t>6.2.</w:t>
            </w:r>
            <w:r w:rsidRPr="00CE651F">
              <w:rPr>
                <w:rFonts w:ascii="Times New Roman" w:hAnsi="Times New Roman" w:cs="Times New Roman"/>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610BF59D" w14:textId="77777777" w:rsidR="00726B76" w:rsidRPr="00CE651F" w:rsidRDefault="00726B76" w:rsidP="00726B76">
            <w:pPr>
              <w:spacing w:after="0" w:line="240" w:lineRule="auto"/>
              <w:jc w:val="center"/>
              <w:rPr>
                <w:rFonts w:ascii="Times New Roman" w:hAnsi="Times New Roman" w:cs="Times New Roman"/>
                <w:b/>
                <w:iCs/>
              </w:rPr>
            </w:pPr>
            <w:r w:rsidRPr="00CE651F">
              <w:rPr>
                <w:rFonts w:ascii="Times New Roman" w:hAnsi="Times New Roman" w:cs="Times New Roman"/>
                <w:b/>
                <w:iCs/>
              </w:rPr>
              <w:t>B</w:t>
            </w:r>
          </w:p>
          <w:p w14:paraId="22DA5F8E" w14:textId="77777777" w:rsidR="00726B76" w:rsidRPr="00CE651F" w:rsidRDefault="00726B76" w:rsidP="00726B76">
            <w:pPr>
              <w:spacing w:after="0" w:line="240" w:lineRule="auto"/>
              <w:jc w:val="center"/>
              <w:rPr>
                <w:rFonts w:ascii="Times New Roman" w:hAnsi="Times New Roman" w:cs="Times New Roman"/>
                <w:b/>
                <w:iCs/>
              </w:rPr>
            </w:pPr>
          </w:p>
          <w:p w14:paraId="2E90840F" w14:textId="77777777" w:rsidR="00726B76" w:rsidRPr="00CE651F" w:rsidRDefault="00726B76" w:rsidP="00726B76">
            <w:pPr>
              <w:spacing w:after="0" w:line="240" w:lineRule="auto"/>
              <w:jc w:val="center"/>
              <w:rPr>
                <w:rFonts w:ascii="Times New Roman" w:hAnsi="Times New Roman" w:cs="Times New Roman"/>
                <w:b/>
                <w:iCs/>
              </w:rPr>
            </w:pPr>
          </w:p>
          <w:p w14:paraId="7926F323" w14:textId="77777777" w:rsidR="00726B76" w:rsidRPr="00CE651F" w:rsidRDefault="00726B76" w:rsidP="00726B76">
            <w:pPr>
              <w:spacing w:after="0" w:line="240" w:lineRule="auto"/>
              <w:jc w:val="center"/>
              <w:rPr>
                <w:rFonts w:ascii="Times New Roman" w:hAnsi="Times New Roman" w:cs="Times New Roman"/>
                <w:b/>
                <w:iCs/>
              </w:rPr>
            </w:pPr>
          </w:p>
          <w:p w14:paraId="664A6EB0" w14:textId="77777777" w:rsidR="00726B76" w:rsidRPr="00CE651F" w:rsidRDefault="00726B76" w:rsidP="00726B76">
            <w:pPr>
              <w:spacing w:after="0" w:line="240" w:lineRule="auto"/>
              <w:jc w:val="center"/>
              <w:rPr>
                <w:rFonts w:ascii="Times New Roman" w:hAnsi="Times New Roman" w:cs="Times New Roman"/>
                <w:b/>
                <w:iCs/>
              </w:rPr>
            </w:pPr>
          </w:p>
          <w:p w14:paraId="50854235" w14:textId="77777777" w:rsidR="00726B76" w:rsidRPr="00CE651F" w:rsidRDefault="00726B76" w:rsidP="00726B76">
            <w:pPr>
              <w:spacing w:after="0" w:line="240" w:lineRule="auto"/>
              <w:jc w:val="center"/>
              <w:rPr>
                <w:rFonts w:ascii="Times New Roman" w:hAnsi="Times New Roman" w:cs="Times New Roman"/>
                <w:b/>
                <w:iCs/>
              </w:rPr>
            </w:pPr>
          </w:p>
          <w:p w14:paraId="2349D727" w14:textId="77777777" w:rsidR="00726B76" w:rsidRPr="00CE651F" w:rsidRDefault="00726B76" w:rsidP="00726B76">
            <w:pPr>
              <w:spacing w:after="0" w:line="240" w:lineRule="auto"/>
              <w:jc w:val="center"/>
              <w:rPr>
                <w:rFonts w:ascii="Times New Roman" w:hAnsi="Times New Roman" w:cs="Times New Roman"/>
                <w:b/>
                <w:iCs/>
              </w:rPr>
            </w:pPr>
          </w:p>
          <w:p w14:paraId="62CFBC39" w14:textId="77777777" w:rsidR="00726B76" w:rsidRPr="00CE651F" w:rsidRDefault="00726B76" w:rsidP="00726B76">
            <w:pPr>
              <w:spacing w:after="0" w:line="240" w:lineRule="auto"/>
              <w:jc w:val="center"/>
              <w:rPr>
                <w:rFonts w:ascii="Times New Roman" w:hAnsi="Times New Roman" w:cs="Times New Roman"/>
                <w:b/>
                <w:iCs/>
              </w:rPr>
            </w:pPr>
            <w:r w:rsidRPr="00CE651F">
              <w:rPr>
                <w:rFonts w:ascii="Times New Roman" w:hAnsi="Times New Roman" w:cs="Times New Roman"/>
                <w:b/>
                <w:iCs/>
              </w:rPr>
              <w:t>B</w:t>
            </w:r>
          </w:p>
          <w:p w14:paraId="5674B45E" w14:textId="77777777" w:rsidR="00726B76" w:rsidRPr="00CE651F" w:rsidRDefault="00726B76" w:rsidP="00726B76">
            <w:pPr>
              <w:spacing w:after="0" w:line="240" w:lineRule="auto"/>
              <w:jc w:val="center"/>
              <w:rPr>
                <w:rFonts w:ascii="Times New Roman" w:hAnsi="Times New Roman" w:cs="Times New Roman"/>
                <w:b/>
                <w:iCs/>
              </w:rPr>
            </w:pPr>
          </w:p>
          <w:p w14:paraId="563855EF" w14:textId="77777777" w:rsidR="00726B76" w:rsidRPr="00CE651F" w:rsidRDefault="00726B76" w:rsidP="00726B76">
            <w:pPr>
              <w:spacing w:after="0" w:line="240" w:lineRule="auto"/>
              <w:rPr>
                <w:rFonts w:ascii="Times New Roman" w:hAnsi="Times New Roman" w:cs="Times New Roman"/>
                <w:b/>
                <w:iCs/>
              </w:rPr>
            </w:pPr>
          </w:p>
        </w:tc>
        <w:tc>
          <w:tcPr>
            <w:tcW w:w="1134" w:type="dxa"/>
          </w:tcPr>
          <w:p w14:paraId="4A459F38"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isvs_7205</w:t>
            </w:r>
          </w:p>
          <w:p w14:paraId="6BFA08AC" w14:textId="77777777" w:rsidR="00726B76" w:rsidRPr="00CE651F" w:rsidRDefault="00726B76" w:rsidP="00726B76">
            <w:pPr>
              <w:spacing w:after="0" w:line="240" w:lineRule="auto"/>
              <w:rPr>
                <w:rFonts w:ascii="Times New Roman" w:hAnsi="Times New Roman" w:cs="Times New Roman"/>
                <w:i/>
                <w:iCs/>
              </w:rPr>
            </w:pPr>
          </w:p>
          <w:p w14:paraId="722BACD0" w14:textId="77777777" w:rsidR="00726B76" w:rsidRPr="00CE651F" w:rsidRDefault="00726B76" w:rsidP="00726B76">
            <w:pPr>
              <w:spacing w:after="0" w:line="240" w:lineRule="auto"/>
              <w:rPr>
                <w:rFonts w:ascii="Times New Roman" w:hAnsi="Times New Roman" w:cs="Times New Roman"/>
                <w:i/>
                <w:iCs/>
              </w:rPr>
            </w:pPr>
          </w:p>
          <w:p w14:paraId="10918AFF" w14:textId="77777777" w:rsidR="00726B76" w:rsidRPr="00CE651F" w:rsidRDefault="00726B76" w:rsidP="00726B76">
            <w:pPr>
              <w:spacing w:after="0" w:line="240" w:lineRule="auto"/>
              <w:rPr>
                <w:rFonts w:ascii="Times New Roman" w:hAnsi="Times New Roman" w:cs="Times New Roman"/>
                <w:i/>
                <w:iCs/>
              </w:rPr>
            </w:pPr>
          </w:p>
          <w:p w14:paraId="3A8E0D9D" w14:textId="77777777" w:rsidR="00726B76" w:rsidRPr="00CE651F" w:rsidRDefault="00726B76" w:rsidP="00726B76">
            <w:pPr>
              <w:spacing w:after="0" w:line="240" w:lineRule="auto"/>
              <w:rPr>
                <w:rFonts w:ascii="Times New Roman" w:hAnsi="Times New Roman" w:cs="Times New Roman"/>
                <w:i/>
                <w:iCs/>
              </w:rPr>
            </w:pPr>
          </w:p>
          <w:p w14:paraId="76AD039E" w14:textId="77777777" w:rsidR="00726B76" w:rsidRPr="00CE651F" w:rsidRDefault="00726B76" w:rsidP="00726B76">
            <w:pPr>
              <w:spacing w:after="0" w:line="240" w:lineRule="auto"/>
              <w:rPr>
                <w:rFonts w:ascii="Times New Roman" w:hAnsi="Times New Roman" w:cs="Times New Roman"/>
                <w:i/>
                <w:iCs/>
              </w:rPr>
            </w:pPr>
          </w:p>
          <w:p w14:paraId="6670BE74" w14:textId="77777777" w:rsidR="00726B76" w:rsidRPr="00CE651F" w:rsidRDefault="00726B76" w:rsidP="00726B76">
            <w:pPr>
              <w:spacing w:after="0" w:line="240" w:lineRule="auto"/>
              <w:rPr>
                <w:rFonts w:ascii="Times New Roman" w:hAnsi="Times New Roman" w:cs="Times New Roman"/>
                <w:i/>
                <w:iCs/>
              </w:rPr>
            </w:pPr>
          </w:p>
          <w:p w14:paraId="0E47644D"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isvs_7213</w:t>
            </w:r>
          </w:p>
          <w:p w14:paraId="63DF909F" w14:textId="77777777" w:rsidR="00726B76" w:rsidRPr="00CE651F" w:rsidRDefault="00726B76" w:rsidP="00726B76">
            <w:pPr>
              <w:spacing w:after="0" w:line="240" w:lineRule="auto"/>
              <w:rPr>
                <w:rFonts w:ascii="Times New Roman" w:hAnsi="Times New Roman" w:cs="Times New Roman"/>
                <w:i/>
                <w:iCs/>
              </w:rPr>
            </w:pPr>
          </w:p>
          <w:p w14:paraId="12BC1BE0" w14:textId="77777777" w:rsidR="00726B76" w:rsidRPr="00CE651F" w:rsidRDefault="00726B76" w:rsidP="00726B76">
            <w:pPr>
              <w:spacing w:after="0" w:line="240" w:lineRule="auto"/>
              <w:rPr>
                <w:rFonts w:ascii="Times New Roman" w:hAnsi="Times New Roman" w:cs="Times New Roman"/>
                <w:i/>
                <w:iCs/>
              </w:rPr>
            </w:pPr>
          </w:p>
        </w:tc>
        <w:tc>
          <w:tcPr>
            <w:tcW w:w="1276" w:type="dxa"/>
            <w:gridSpan w:val="2"/>
          </w:tcPr>
          <w:p w14:paraId="55861A5E"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Systém správy nepriamych daní (SySNeD)</w:t>
            </w:r>
          </w:p>
          <w:p w14:paraId="14AE789E" w14:textId="77777777" w:rsidR="00726B76" w:rsidRPr="00CE651F" w:rsidRDefault="00726B76" w:rsidP="00726B76">
            <w:pPr>
              <w:spacing w:after="0" w:line="240" w:lineRule="auto"/>
              <w:rPr>
                <w:rFonts w:ascii="Times New Roman" w:hAnsi="Times New Roman" w:cs="Times New Roman"/>
                <w:i/>
                <w:iCs/>
              </w:rPr>
            </w:pPr>
          </w:p>
          <w:p w14:paraId="04561188" w14:textId="77777777" w:rsidR="00726B76" w:rsidRPr="00CE651F" w:rsidRDefault="00726B76" w:rsidP="00726B76">
            <w:pPr>
              <w:spacing w:after="0" w:line="240" w:lineRule="auto"/>
              <w:rPr>
                <w:rFonts w:ascii="Times New Roman" w:hAnsi="Times New Roman" w:cs="Times New Roman"/>
                <w:i/>
                <w:iCs/>
              </w:rPr>
            </w:pPr>
          </w:p>
          <w:p w14:paraId="74EB307F"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Portál Finančnej správy (PFS)</w:t>
            </w:r>
          </w:p>
        </w:tc>
        <w:tc>
          <w:tcPr>
            <w:tcW w:w="1559" w:type="dxa"/>
          </w:tcPr>
          <w:p w14:paraId="7DB06AC6"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Nie</w:t>
            </w:r>
          </w:p>
          <w:p w14:paraId="73FD2AD5" w14:textId="77777777" w:rsidR="00726B76" w:rsidRPr="00CE651F" w:rsidRDefault="00726B76" w:rsidP="00726B76">
            <w:pPr>
              <w:spacing w:after="0" w:line="240" w:lineRule="auto"/>
              <w:rPr>
                <w:rFonts w:ascii="Times New Roman" w:hAnsi="Times New Roman" w:cs="Times New Roman"/>
                <w:i/>
                <w:iCs/>
              </w:rPr>
            </w:pPr>
          </w:p>
          <w:p w14:paraId="526125CA" w14:textId="77777777" w:rsidR="00726B76" w:rsidRPr="00CE651F" w:rsidRDefault="00726B76" w:rsidP="00726B76">
            <w:pPr>
              <w:spacing w:after="0" w:line="240" w:lineRule="auto"/>
              <w:rPr>
                <w:rFonts w:ascii="Times New Roman" w:hAnsi="Times New Roman" w:cs="Times New Roman"/>
                <w:i/>
                <w:iCs/>
              </w:rPr>
            </w:pPr>
          </w:p>
          <w:p w14:paraId="73F38C53" w14:textId="77777777" w:rsidR="00726B76" w:rsidRPr="00CE651F" w:rsidRDefault="00726B76" w:rsidP="00726B76">
            <w:pPr>
              <w:spacing w:after="0" w:line="240" w:lineRule="auto"/>
              <w:rPr>
                <w:rFonts w:ascii="Times New Roman" w:hAnsi="Times New Roman" w:cs="Times New Roman"/>
                <w:i/>
                <w:iCs/>
              </w:rPr>
            </w:pPr>
          </w:p>
          <w:p w14:paraId="615B331A" w14:textId="77777777" w:rsidR="00726B76" w:rsidRPr="00CE651F" w:rsidRDefault="00726B76" w:rsidP="00726B76">
            <w:pPr>
              <w:spacing w:after="0" w:line="240" w:lineRule="auto"/>
              <w:rPr>
                <w:rFonts w:ascii="Times New Roman" w:hAnsi="Times New Roman" w:cs="Times New Roman"/>
                <w:i/>
                <w:iCs/>
              </w:rPr>
            </w:pPr>
          </w:p>
          <w:p w14:paraId="02C45C78" w14:textId="77777777" w:rsidR="00726B76" w:rsidRPr="00CE651F" w:rsidRDefault="00726B76" w:rsidP="00726B76">
            <w:pPr>
              <w:spacing w:after="0" w:line="240" w:lineRule="auto"/>
              <w:rPr>
                <w:rFonts w:ascii="Times New Roman" w:hAnsi="Times New Roman" w:cs="Times New Roman"/>
                <w:i/>
                <w:iCs/>
              </w:rPr>
            </w:pPr>
          </w:p>
          <w:p w14:paraId="421C09E9" w14:textId="77777777" w:rsidR="00726B76" w:rsidRPr="00CE651F" w:rsidRDefault="00726B76" w:rsidP="00726B76">
            <w:pPr>
              <w:spacing w:after="0" w:line="240" w:lineRule="auto"/>
              <w:rPr>
                <w:rFonts w:ascii="Times New Roman" w:hAnsi="Times New Roman" w:cs="Times New Roman"/>
                <w:i/>
                <w:iCs/>
              </w:rPr>
            </w:pPr>
          </w:p>
          <w:p w14:paraId="48B510D4"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Nie</w:t>
            </w:r>
          </w:p>
          <w:p w14:paraId="6553760C" w14:textId="77777777" w:rsidR="00726B76" w:rsidRPr="00CE651F" w:rsidRDefault="00726B76" w:rsidP="00726B76">
            <w:pPr>
              <w:spacing w:after="0" w:line="240" w:lineRule="auto"/>
              <w:rPr>
                <w:rFonts w:ascii="Times New Roman" w:hAnsi="Times New Roman" w:cs="Times New Roman"/>
                <w:i/>
                <w:iCs/>
              </w:rPr>
            </w:pPr>
          </w:p>
          <w:p w14:paraId="4DE48CD1" w14:textId="77777777" w:rsidR="00726B76" w:rsidRPr="00CE651F" w:rsidRDefault="00726B76" w:rsidP="00726B76">
            <w:pPr>
              <w:spacing w:after="0" w:line="240" w:lineRule="auto"/>
              <w:rPr>
                <w:rFonts w:ascii="Times New Roman" w:hAnsi="Times New Roman" w:cs="Times New Roman"/>
                <w:i/>
                <w:iCs/>
              </w:rPr>
            </w:pPr>
          </w:p>
        </w:tc>
      </w:tr>
      <w:tr w:rsidR="00726B76" w:rsidRPr="005C4B9C" w14:paraId="3F0570BF" w14:textId="77777777" w:rsidTr="009A347A">
        <w:trPr>
          <w:trHeight w:val="20"/>
        </w:trPr>
        <w:tc>
          <w:tcPr>
            <w:tcW w:w="3956" w:type="dxa"/>
            <w:shd w:val="clear" w:color="auto" w:fill="BFBFBF"/>
            <w:vAlign w:val="center"/>
          </w:tcPr>
          <w:p w14:paraId="5E889157" w14:textId="77777777" w:rsidR="00726B76" w:rsidRPr="00CE651F" w:rsidRDefault="00726B76" w:rsidP="009A347A">
            <w:pPr>
              <w:spacing w:line="20" w:lineRule="atLeast"/>
              <w:ind w:hanging="55"/>
              <w:jc w:val="center"/>
              <w:rPr>
                <w:rFonts w:ascii="Times New Roman" w:hAnsi="Times New Roman" w:cs="Times New Roman"/>
                <w:b/>
              </w:rPr>
            </w:pPr>
            <w:r w:rsidRPr="00CE651F">
              <w:rPr>
                <w:rFonts w:ascii="Times New Roman" w:hAnsi="Times New Roman" w:cs="Times New Roman"/>
                <w:b/>
              </w:rPr>
              <w:t>Financovanie procesu informatizácie</w:t>
            </w:r>
          </w:p>
        </w:tc>
        <w:tc>
          <w:tcPr>
            <w:tcW w:w="1446" w:type="dxa"/>
            <w:shd w:val="clear" w:color="auto" w:fill="BFBFBF"/>
            <w:vAlign w:val="center"/>
          </w:tcPr>
          <w:p w14:paraId="383CAFEA" w14:textId="77777777" w:rsidR="00726B76" w:rsidRPr="00CE651F" w:rsidRDefault="00726B76" w:rsidP="009A347A">
            <w:pPr>
              <w:jc w:val="center"/>
              <w:rPr>
                <w:rFonts w:ascii="Times New Roman" w:hAnsi="Times New Roman" w:cs="Times New Roman"/>
                <w:b/>
                <w:i/>
                <w:iCs/>
              </w:rPr>
            </w:pPr>
            <w:r w:rsidRPr="00CE651F">
              <w:rPr>
                <w:rFonts w:ascii="Times New Roman" w:hAnsi="Times New Roman" w:cs="Times New Roman"/>
                <w:b/>
              </w:rPr>
              <w:t>Rezortná úroveň</w:t>
            </w:r>
          </w:p>
        </w:tc>
        <w:tc>
          <w:tcPr>
            <w:tcW w:w="1984" w:type="dxa"/>
            <w:gridSpan w:val="2"/>
            <w:shd w:val="clear" w:color="auto" w:fill="BFBFBF"/>
            <w:vAlign w:val="center"/>
          </w:tcPr>
          <w:p w14:paraId="0B3580C6" w14:textId="77777777" w:rsidR="00726B76" w:rsidRPr="00CE651F" w:rsidRDefault="00726B76" w:rsidP="009A347A">
            <w:pPr>
              <w:jc w:val="center"/>
              <w:rPr>
                <w:rFonts w:ascii="Times New Roman" w:hAnsi="Times New Roman" w:cs="Times New Roman"/>
                <w:b/>
                <w:i/>
                <w:iCs/>
              </w:rPr>
            </w:pPr>
            <w:r w:rsidRPr="00CE651F">
              <w:rPr>
                <w:rFonts w:ascii="Times New Roman" w:hAnsi="Times New Roman" w:cs="Times New Roman"/>
                <w:b/>
              </w:rPr>
              <w:t>Nadrezortná úroveň</w:t>
            </w:r>
          </w:p>
          <w:p w14:paraId="1E99DA76" w14:textId="77777777" w:rsidR="00726B76" w:rsidRPr="00CE651F" w:rsidRDefault="00726B76" w:rsidP="009A347A">
            <w:pPr>
              <w:jc w:val="center"/>
              <w:rPr>
                <w:rFonts w:ascii="Times New Roman" w:hAnsi="Times New Roman" w:cs="Times New Roman"/>
                <w:b/>
              </w:rPr>
            </w:pPr>
          </w:p>
        </w:tc>
        <w:tc>
          <w:tcPr>
            <w:tcW w:w="1985" w:type="dxa"/>
            <w:gridSpan w:val="2"/>
            <w:shd w:val="clear" w:color="auto" w:fill="BFBFBF"/>
            <w:vAlign w:val="center"/>
          </w:tcPr>
          <w:p w14:paraId="0F5EB2FE"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A - z prostriedkov EÚ   B - z ďalších zdrojov financovania</w:t>
            </w:r>
          </w:p>
        </w:tc>
      </w:tr>
      <w:tr w:rsidR="00726B76" w:rsidRPr="005C4B9C" w14:paraId="7C84C62C" w14:textId="77777777" w:rsidTr="009A347A">
        <w:trPr>
          <w:trHeight w:val="20"/>
        </w:trPr>
        <w:tc>
          <w:tcPr>
            <w:tcW w:w="3956" w:type="dxa"/>
            <w:tcBorders>
              <w:bottom w:val="single" w:sz="4" w:space="0" w:color="auto"/>
            </w:tcBorders>
          </w:tcPr>
          <w:p w14:paraId="4EC32B40" w14:textId="77777777" w:rsidR="00726B76" w:rsidRPr="00CE651F" w:rsidRDefault="00726B76" w:rsidP="009A347A">
            <w:pPr>
              <w:jc w:val="both"/>
              <w:rPr>
                <w:rFonts w:ascii="Times New Roman" w:hAnsi="Times New Roman" w:cs="Times New Roman"/>
              </w:rPr>
            </w:pPr>
            <w:r w:rsidRPr="00CE651F">
              <w:rPr>
                <w:rFonts w:ascii="Times New Roman" w:hAnsi="Times New Roman" w:cs="Times New Roman"/>
                <w:b/>
              </w:rPr>
              <w:t>6.3.</w:t>
            </w:r>
            <w:r w:rsidRPr="00CE651F">
              <w:rPr>
                <w:rFonts w:ascii="Times New Roman" w:hAnsi="Times New Roman" w:cs="Times New Roman"/>
              </w:rPr>
              <w:t xml:space="preserve"> Vyžaduje si proces informatizácie  finančné investície?</w:t>
            </w:r>
          </w:p>
          <w:p w14:paraId="305F0440" w14:textId="77777777" w:rsidR="00726B76" w:rsidRPr="00CE651F" w:rsidRDefault="00726B76" w:rsidP="009A347A">
            <w:pPr>
              <w:spacing w:line="20" w:lineRule="atLeast"/>
              <w:jc w:val="both"/>
              <w:rPr>
                <w:rFonts w:ascii="Times New Roman" w:hAnsi="Times New Roman" w:cs="Times New Roman"/>
              </w:rPr>
            </w:pPr>
            <w:r w:rsidRPr="00CE651F">
              <w:rPr>
                <w:rFonts w:ascii="Times New Roman" w:hAnsi="Times New Roman" w:cs="Times New Roman"/>
                <w:i/>
                <w:iCs/>
              </w:rPr>
              <w:t>(Uveďte príslušnú úroveň financovania a kvantifikáciu finančných výdavkov uveďte  v analýze vplyvov na rozpočet verejnej správy.)</w:t>
            </w:r>
          </w:p>
        </w:tc>
        <w:tc>
          <w:tcPr>
            <w:tcW w:w="1446" w:type="dxa"/>
            <w:tcBorders>
              <w:bottom w:val="single" w:sz="4" w:space="0" w:color="auto"/>
            </w:tcBorders>
          </w:tcPr>
          <w:p w14:paraId="4832E876" w14:textId="77777777" w:rsidR="00726B76" w:rsidRPr="00CE651F" w:rsidRDefault="00726B76" w:rsidP="009A347A">
            <w:pPr>
              <w:rPr>
                <w:rFonts w:ascii="Times New Roman" w:hAnsi="Times New Roman" w:cs="Times New Roman"/>
                <w:i/>
                <w:iCs/>
              </w:rPr>
            </w:pPr>
            <w:r w:rsidRPr="00CE651F">
              <w:rPr>
                <w:rFonts w:ascii="Times New Roman" w:hAnsi="Times New Roman" w:cs="Times New Roman"/>
                <w:b/>
                <w:iCs/>
              </w:rPr>
              <w:t>X</w:t>
            </w:r>
          </w:p>
        </w:tc>
        <w:tc>
          <w:tcPr>
            <w:tcW w:w="1984" w:type="dxa"/>
            <w:gridSpan w:val="2"/>
            <w:tcBorders>
              <w:bottom w:val="single" w:sz="4" w:space="0" w:color="auto"/>
            </w:tcBorders>
          </w:tcPr>
          <w:p w14:paraId="640CCF35" w14:textId="77777777" w:rsidR="00726B76" w:rsidRPr="00CE651F" w:rsidRDefault="00726B76" w:rsidP="009A347A">
            <w:pPr>
              <w:rPr>
                <w:rFonts w:ascii="Times New Roman" w:hAnsi="Times New Roman" w:cs="Times New Roman"/>
                <w:i/>
                <w:iCs/>
              </w:rPr>
            </w:pPr>
          </w:p>
        </w:tc>
        <w:tc>
          <w:tcPr>
            <w:tcW w:w="1985" w:type="dxa"/>
            <w:gridSpan w:val="2"/>
            <w:tcBorders>
              <w:bottom w:val="single" w:sz="4" w:space="0" w:color="auto"/>
            </w:tcBorders>
          </w:tcPr>
          <w:p w14:paraId="5A760403" w14:textId="77777777" w:rsidR="00726B76" w:rsidRPr="00CE651F" w:rsidRDefault="00726B76" w:rsidP="009A347A">
            <w:pPr>
              <w:rPr>
                <w:rFonts w:ascii="Times New Roman" w:hAnsi="Times New Roman" w:cs="Times New Roman"/>
                <w:i/>
                <w:iCs/>
              </w:rPr>
            </w:pPr>
            <w:r w:rsidRPr="00CE651F">
              <w:rPr>
                <w:rFonts w:ascii="Times New Roman" w:hAnsi="Times New Roman" w:cs="Times New Roman"/>
                <w:b/>
                <w:iCs/>
              </w:rPr>
              <w:t>B</w:t>
            </w:r>
          </w:p>
        </w:tc>
      </w:tr>
      <w:tr w:rsidR="00726B76" w:rsidRPr="005C4B9C" w14:paraId="5B52B216" w14:textId="77777777" w:rsidTr="009A347A">
        <w:trPr>
          <w:trHeight w:val="20"/>
        </w:trPr>
        <w:tc>
          <w:tcPr>
            <w:tcW w:w="9371" w:type="dxa"/>
            <w:gridSpan w:val="6"/>
            <w:shd w:val="pct25" w:color="auto" w:fill="auto"/>
          </w:tcPr>
          <w:p w14:paraId="0CB37315" w14:textId="77777777" w:rsidR="00726B76" w:rsidRPr="00CE651F" w:rsidRDefault="00726B76" w:rsidP="009A347A">
            <w:pPr>
              <w:spacing w:line="20" w:lineRule="atLeast"/>
              <w:ind w:hanging="55"/>
              <w:jc w:val="center"/>
              <w:rPr>
                <w:rFonts w:ascii="Times New Roman" w:hAnsi="Times New Roman" w:cs="Times New Roman"/>
                <w:i/>
                <w:iCs/>
                <w:highlight w:val="darkGray"/>
              </w:rPr>
            </w:pPr>
            <w:r w:rsidRPr="00CE651F">
              <w:rPr>
                <w:rFonts w:ascii="Times New Roman" w:hAnsi="Times New Roman" w:cs="Times New Roman"/>
                <w:b/>
              </w:rPr>
              <w:t>Zjednodušenie prístupu ku konaniu a odstraňovanie byrokracie</w:t>
            </w:r>
          </w:p>
        </w:tc>
      </w:tr>
      <w:tr w:rsidR="00726B76" w:rsidRPr="005C4B9C" w14:paraId="671076D5" w14:textId="77777777" w:rsidTr="009A347A">
        <w:trPr>
          <w:trHeight w:val="20"/>
        </w:trPr>
        <w:tc>
          <w:tcPr>
            <w:tcW w:w="9371" w:type="dxa"/>
            <w:gridSpan w:val="6"/>
            <w:shd w:val="pct25" w:color="auto" w:fill="auto"/>
          </w:tcPr>
          <w:p w14:paraId="0E86DE72" w14:textId="77777777" w:rsidR="00726B76" w:rsidRPr="00CE651F" w:rsidRDefault="00726B76" w:rsidP="009A347A">
            <w:pPr>
              <w:spacing w:line="20" w:lineRule="atLeast"/>
              <w:ind w:hanging="55"/>
              <w:jc w:val="center"/>
              <w:rPr>
                <w:rFonts w:ascii="Times New Roman" w:hAnsi="Times New Roman" w:cs="Times New Roman"/>
                <w:b/>
              </w:rPr>
            </w:pPr>
            <w:r w:rsidRPr="00CE651F">
              <w:rPr>
                <w:rFonts w:ascii="Times New Roman" w:hAnsi="Times New Roman" w:cs="Times New Roman"/>
                <w:b/>
              </w:rPr>
              <w:t>Elektronické konanie</w:t>
            </w:r>
          </w:p>
        </w:tc>
      </w:tr>
      <w:tr w:rsidR="00726B76" w:rsidRPr="005C4B9C" w14:paraId="155B79AC" w14:textId="77777777" w:rsidTr="009A347A">
        <w:trPr>
          <w:trHeight w:val="20"/>
        </w:trPr>
        <w:tc>
          <w:tcPr>
            <w:tcW w:w="3956" w:type="dxa"/>
          </w:tcPr>
          <w:p w14:paraId="7DABA4CA"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6.4.1. </w:t>
            </w:r>
            <w:r w:rsidRPr="00CE651F">
              <w:rPr>
                <w:rFonts w:ascii="Times New Roman" w:hAnsi="Times New Roman" w:cs="Times New Roman"/>
              </w:rPr>
              <w:t>Predpokladá predložený návrh vedenie konania o právach, právom chránených záujmoch alebo povinnostiach fyzických osôb a právnických osôb?</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4E789FD2" w14:textId="77777777" w:rsidTr="009A347A">
              <w:sdt>
                <w:sdtPr>
                  <w:rPr>
                    <w:rFonts w:ascii="Times New Roman" w:hAnsi="Times New Roman" w:cs="Times New Roman"/>
                  </w:rPr>
                  <w:id w:val="1051428338"/>
                  <w14:checkbox>
                    <w14:checked w14:val="1"/>
                    <w14:checkedState w14:val="2612" w14:font="MS Gothic"/>
                    <w14:uncheckedState w14:val="2610" w14:font="MS Gothic"/>
                  </w14:checkbox>
                </w:sdtPr>
                <w:sdtEndPr/>
                <w:sdtContent>
                  <w:tc>
                    <w:tcPr>
                      <w:tcW w:w="436" w:type="dxa"/>
                    </w:tcPr>
                    <w:p w14:paraId="3CDDCA4D"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23A6BBA0"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71A01353" w14:textId="77777777" w:rsidTr="009A347A">
              <w:sdt>
                <w:sdtPr>
                  <w:rPr>
                    <w:rFonts w:ascii="Times New Roman" w:hAnsi="Times New Roman" w:cs="Times New Roman"/>
                  </w:rPr>
                  <w:id w:val="-200025544"/>
                  <w14:checkbox>
                    <w14:checked w14:val="0"/>
                    <w14:checkedState w14:val="2612" w14:font="MS Gothic"/>
                    <w14:uncheckedState w14:val="2610" w14:font="MS Gothic"/>
                  </w14:checkbox>
                </w:sdtPr>
                <w:sdtEndPr/>
                <w:sdtContent>
                  <w:tc>
                    <w:tcPr>
                      <w:tcW w:w="436" w:type="dxa"/>
                    </w:tcPr>
                    <w:p w14:paraId="04982C0F"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5CDEFD16"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25124B4B" w14:textId="77777777" w:rsidR="00726B76" w:rsidRPr="00CE651F" w:rsidRDefault="00726B76" w:rsidP="009A347A">
            <w:pPr>
              <w:rPr>
                <w:rFonts w:ascii="Times New Roman" w:hAnsi="Times New Roman" w:cs="Times New Roman"/>
                <w:sz w:val="24"/>
                <w:szCs w:val="24"/>
              </w:rPr>
            </w:pPr>
          </w:p>
        </w:tc>
        <w:tc>
          <w:tcPr>
            <w:tcW w:w="3969" w:type="dxa"/>
            <w:gridSpan w:val="4"/>
            <w:shd w:val="clear" w:color="auto" w:fill="auto"/>
          </w:tcPr>
          <w:p w14:paraId="49DF44B4"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o aké konanie ide.)</w:t>
            </w:r>
          </w:p>
        </w:tc>
      </w:tr>
      <w:tr w:rsidR="00726B76" w:rsidRPr="005C4B9C" w14:paraId="4144D4ED" w14:textId="77777777" w:rsidTr="009A347A">
        <w:trPr>
          <w:trHeight w:val="20"/>
        </w:trPr>
        <w:tc>
          <w:tcPr>
            <w:tcW w:w="3956" w:type="dxa"/>
          </w:tcPr>
          <w:p w14:paraId="71576B83"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6.4.2. </w:t>
            </w:r>
            <w:r w:rsidRPr="00CE651F">
              <w:rPr>
                <w:rFonts w:ascii="Times New Roman" w:hAnsi="Times New Roman" w:cs="Times New Roman"/>
              </w:rPr>
              <w:t>Je dané konanie možné v celku vykonať elektronicky?</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409E2D14" w14:textId="77777777" w:rsidTr="009A347A">
              <w:sdt>
                <w:sdtPr>
                  <w:rPr>
                    <w:rFonts w:ascii="Times New Roman" w:hAnsi="Times New Roman" w:cs="Times New Roman"/>
                  </w:rPr>
                  <w:id w:val="-945843635"/>
                  <w14:checkbox>
                    <w14:checked w14:val="1"/>
                    <w14:checkedState w14:val="2612" w14:font="MS Gothic"/>
                    <w14:uncheckedState w14:val="2610" w14:font="MS Gothic"/>
                  </w14:checkbox>
                </w:sdtPr>
                <w:sdtEndPr/>
                <w:sdtContent>
                  <w:tc>
                    <w:tcPr>
                      <w:tcW w:w="436" w:type="dxa"/>
                    </w:tcPr>
                    <w:p w14:paraId="41C46AFD"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2749430E"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5798372A" w14:textId="77777777" w:rsidTr="009A347A">
              <w:sdt>
                <w:sdtPr>
                  <w:rPr>
                    <w:rFonts w:ascii="Times New Roman" w:hAnsi="Times New Roman" w:cs="Times New Roman"/>
                  </w:rPr>
                  <w:id w:val="31386459"/>
                  <w14:checkbox>
                    <w14:checked w14:val="0"/>
                    <w14:checkedState w14:val="2612" w14:font="MS Gothic"/>
                    <w14:uncheckedState w14:val="2610" w14:font="MS Gothic"/>
                  </w14:checkbox>
                </w:sdtPr>
                <w:sdtEndPr/>
                <w:sdtContent>
                  <w:tc>
                    <w:tcPr>
                      <w:tcW w:w="436" w:type="dxa"/>
                    </w:tcPr>
                    <w:p w14:paraId="0F342C90"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5F9E510D"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05891F20" w14:textId="77777777" w:rsidR="00726B76" w:rsidRPr="00CE651F" w:rsidRDefault="00726B76" w:rsidP="009A347A">
            <w:pPr>
              <w:rPr>
                <w:rFonts w:ascii="Times New Roman" w:hAnsi="Times New Roman" w:cs="Times New Roman"/>
                <w:sz w:val="24"/>
                <w:szCs w:val="24"/>
              </w:rPr>
            </w:pPr>
          </w:p>
        </w:tc>
        <w:tc>
          <w:tcPr>
            <w:tcW w:w="3969" w:type="dxa"/>
            <w:gridSpan w:val="4"/>
            <w:shd w:val="clear" w:color="auto" w:fill="auto"/>
          </w:tcPr>
          <w:p w14:paraId="787BD26F"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(Ak sú niektoré úkony v konaní, alebo celé konanie viazané na listinnú podobu komunikácie, uveďte o aké ide a z akého dôvodu.)</w:t>
            </w:r>
          </w:p>
        </w:tc>
      </w:tr>
      <w:tr w:rsidR="00726B76" w:rsidRPr="005C4B9C" w14:paraId="3EBB2FD5" w14:textId="77777777" w:rsidTr="009A347A">
        <w:trPr>
          <w:trHeight w:val="20"/>
        </w:trPr>
        <w:tc>
          <w:tcPr>
            <w:tcW w:w="3956" w:type="dxa"/>
          </w:tcPr>
          <w:p w14:paraId="08A95175"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6.4.3. </w:t>
            </w:r>
            <w:r w:rsidRPr="00CE651F">
              <w:rPr>
                <w:rFonts w:ascii="Times New Roman" w:hAnsi="Times New Roman" w:cs="Times New Roman"/>
              </w:rPr>
              <w:t>Je úprava konania kompatibilná s inštitútmi zákona o e-Governmente a je na dané konanie zákon o e-Governmente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793AB8AD" w14:textId="77777777" w:rsidTr="009A347A">
              <w:sdt>
                <w:sdtPr>
                  <w:rPr>
                    <w:rFonts w:ascii="Times New Roman" w:hAnsi="Times New Roman" w:cs="Times New Roman"/>
                  </w:rPr>
                  <w:id w:val="-812871524"/>
                  <w14:checkbox>
                    <w14:checked w14:val="1"/>
                    <w14:checkedState w14:val="2612" w14:font="MS Gothic"/>
                    <w14:uncheckedState w14:val="2610" w14:font="MS Gothic"/>
                  </w14:checkbox>
                </w:sdtPr>
                <w:sdtEndPr/>
                <w:sdtContent>
                  <w:tc>
                    <w:tcPr>
                      <w:tcW w:w="436" w:type="dxa"/>
                    </w:tcPr>
                    <w:p w14:paraId="62A6A24F"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2DADA25E"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7FCE5692" w14:textId="77777777" w:rsidTr="009A347A">
              <w:sdt>
                <w:sdtPr>
                  <w:rPr>
                    <w:rFonts w:ascii="Times New Roman" w:hAnsi="Times New Roman" w:cs="Times New Roman"/>
                  </w:rPr>
                  <w:id w:val="441276830"/>
                  <w14:checkbox>
                    <w14:checked w14:val="0"/>
                    <w14:checkedState w14:val="2612" w14:font="MS Gothic"/>
                    <w14:uncheckedState w14:val="2610" w14:font="MS Gothic"/>
                  </w14:checkbox>
                </w:sdtPr>
                <w:sdtEndPr/>
                <w:sdtContent>
                  <w:tc>
                    <w:tcPr>
                      <w:tcW w:w="436" w:type="dxa"/>
                    </w:tcPr>
                    <w:p w14:paraId="5CCBBE74"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0F5660DA"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29DC14E7" w14:textId="77777777" w:rsidR="00726B76" w:rsidRDefault="00726B76" w:rsidP="009A347A">
            <w:pPr>
              <w:rPr>
                <w:rFonts w:ascii="Times New Roman" w:hAnsi="Times New Roman" w:cs="Times New Roman"/>
                <w:sz w:val="24"/>
                <w:szCs w:val="24"/>
              </w:rPr>
            </w:pPr>
          </w:p>
          <w:p w14:paraId="7B1AB11D" w14:textId="77777777" w:rsidR="00CE651F" w:rsidRDefault="00CE651F" w:rsidP="009A347A">
            <w:pPr>
              <w:rPr>
                <w:rFonts w:ascii="Times New Roman" w:hAnsi="Times New Roman" w:cs="Times New Roman"/>
                <w:sz w:val="24"/>
                <w:szCs w:val="24"/>
              </w:rPr>
            </w:pPr>
          </w:p>
          <w:p w14:paraId="4A09A583" w14:textId="77777777" w:rsidR="00CE651F" w:rsidRDefault="00CE651F" w:rsidP="009A347A">
            <w:pPr>
              <w:rPr>
                <w:rFonts w:ascii="Times New Roman" w:hAnsi="Times New Roman" w:cs="Times New Roman"/>
                <w:sz w:val="24"/>
                <w:szCs w:val="24"/>
              </w:rPr>
            </w:pPr>
          </w:p>
          <w:p w14:paraId="6F1F75B8" w14:textId="77777777" w:rsidR="00CE651F" w:rsidRPr="00CE651F" w:rsidRDefault="00CE651F" w:rsidP="009A347A">
            <w:pPr>
              <w:rPr>
                <w:rFonts w:ascii="Times New Roman" w:hAnsi="Times New Roman" w:cs="Times New Roman"/>
                <w:sz w:val="24"/>
                <w:szCs w:val="24"/>
              </w:rPr>
            </w:pPr>
          </w:p>
        </w:tc>
        <w:tc>
          <w:tcPr>
            <w:tcW w:w="3969" w:type="dxa"/>
            <w:gridSpan w:val="4"/>
            <w:shd w:val="clear" w:color="auto" w:fill="auto"/>
          </w:tcPr>
          <w:p w14:paraId="24F3F999"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(Ak úprava konania je odlišná od úpravy v zákone o e-Governmente alebo ak je použitie zákona o e-Governmente vylúčené, uveďte čoho sa to týka a z akého dôvodu.)</w:t>
            </w:r>
          </w:p>
        </w:tc>
      </w:tr>
      <w:tr w:rsidR="00726B76" w:rsidRPr="005C4B9C" w14:paraId="24D13C0B" w14:textId="77777777" w:rsidTr="009A347A">
        <w:trPr>
          <w:trHeight w:val="20"/>
        </w:trPr>
        <w:tc>
          <w:tcPr>
            <w:tcW w:w="9371" w:type="dxa"/>
            <w:gridSpan w:val="6"/>
            <w:shd w:val="clear" w:color="auto" w:fill="BFBFBF" w:themeFill="background1" w:themeFillShade="BF"/>
          </w:tcPr>
          <w:p w14:paraId="2E26E2A2" w14:textId="77777777" w:rsidR="00726B76" w:rsidRPr="00FA1CC0" w:rsidRDefault="00726B76" w:rsidP="009A347A">
            <w:pPr>
              <w:spacing w:line="20" w:lineRule="atLeast"/>
              <w:ind w:hanging="55"/>
              <w:jc w:val="center"/>
              <w:rPr>
                <w:rFonts w:ascii="Times New Roman" w:hAnsi="Times New Roman" w:cs="Times New Roman"/>
                <w:i/>
                <w:iCs/>
              </w:rPr>
            </w:pPr>
            <w:r w:rsidRPr="00FA1CC0">
              <w:rPr>
                <w:rFonts w:ascii="Times New Roman" w:hAnsi="Times New Roman" w:cs="Times New Roman"/>
                <w:b/>
              </w:rPr>
              <w:lastRenderedPageBreak/>
              <w:t>Zásada „jedenkrát a dosť“</w:t>
            </w:r>
          </w:p>
        </w:tc>
      </w:tr>
      <w:tr w:rsidR="00726B76" w:rsidRPr="005C4B9C" w14:paraId="698B4F57" w14:textId="77777777" w:rsidTr="009A347A">
        <w:trPr>
          <w:trHeight w:val="20"/>
        </w:trPr>
        <w:tc>
          <w:tcPr>
            <w:tcW w:w="3956" w:type="dxa"/>
          </w:tcPr>
          <w:p w14:paraId="09F927A6"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6.5.1. </w:t>
            </w:r>
            <w:r w:rsidRPr="00CE651F">
              <w:rPr>
                <w:rFonts w:ascii="Times New Roman" w:hAnsi="Times New Roman" w:cs="Times New Roman"/>
                <w:bCs/>
              </w:rPr>
              <w:t>Predpokladá predložený návrh predkladanie dokumentov, informácií alebo preukazovanie skutočností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1BB194D9" w14:textId="77777777" w:rsidTr="009A347A">
              <w:sdt>
                <w:sdtPr>
                  <w:rPr>
                    <w:rFonts w:ascii="Times New Roman" w:hAnsi="Times New Roman" w:cs="Times New Roman"/>
                  </w:rPr>
                  <w:id w:val="43339831"/>
                  <w14:checkbox>
                    <w14:checked w14:val="1"/>
                    <w14:checkedState w14:val="2612" w14:font="MS Gothic"/>
                    <w14:uncheckedState w14:val="2610" w14:font="MS Gothic"/>
                  </w14:checkbox>
                </w:sdtPr>
                <w:sdtEndPr/>
                <w:sdtContent>
                  <w:tc>
                    <w:tcPr>
                      <w:tcW w:w="436" w:type="dxa"/>
                    </w:tcPr>
                    <w:p w14:paraId="3672C0E1"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6B5E4CB4"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57172F6E" w14:textId="77777777" w:rsidTr="009A347A">
              <w:sdt>
                <w:sdtPr>
                  <w:rPr>
                    <w:rFonts w:ascii="Times New Roman" w:hAnsi="Times New Roman" w:cs="Times New Roman"/>
                  </w:rPr>
                  <w:id w:val="-79453833"/>
                  <w14:checkbox>
                    <w14:checked w14:val="0"/>
                    <w14:checkedState w14:val="2612" w14:font="MS Gothic"/>
                    <w14:uncheckedState w14:val="2610" w14:font="MS Gothic"/>
                  </w14:checkbox>
                </w:sdtPr>
                <w:sdtEndPr/>
                <w:sdtContent>
                  <w:tc>
                    <w:tcPr>
                      <w:tcW w:w="436" w:type="dxa"/>
                    </w:tcPr>
                    <w:p w14:paraId="06A7FB43"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755EF62E"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2F837E61" w14:textId="77777777" w:rsidR="00726B76" w:rsidRPr="00CE651F" w:rsidRDefault="00726B76" w:rsidP="009A347A">
            <w:pPr>
              <w:rPr>
                <w:rFonts w:ascii="Times New Roman" w:hAnsi="Times New Roman" w:cs="Times New Roman"/>
                <w:sz w:val="24"/>
                <w:szCs w:val="24"/>
              </w:rPr>
            </w:pPr>
          </w:p>
        </w:tc>
        <w:tc>
          <w:tcPr>
            <w:tcW w:w="3969" w:type="dxa"/>
            <w:gridSpan w:val="4"/>
          </w:tcPr>
          <w:p w14:paraId="62942CE6" w14:textId="77777777" w:rsidR="00726B76" w:rsidRPr="00CE651F" w:rsidRDefault="00726B76" w:rsidP="009A347A">
            <w:pPr>
              <w:spacing w:line="20" w:lineRule="atLeast"/>
              <w:jc w:val="both"/>
              <w:rPr>
                <w:rFonts w:ascii="Times New Roman" w:hAnsi="Times New Roman" w:cs="Times New Roman"/>
                <w:i/>
                <w:iCs/>
                <w:sz w:val="24"/>
                <w:szCs w:val="24"/>
              </w:rPr>
            </w:pPr>
            <w:r w:rsidRPr="00CE651F">
              <w:rPr>
                <w:rFonts w:ascii="Times New Roman" w:hAnsi="Times New Roman" w:cs="Times New Roman"/>
                <w:i/>
                <w:iCs/>
              </w:rPr>
              <w:t>(Uveďte, o aké údaje ide a v akom konaní.)</w:t>
            </w:r>
          </w:p>
        </w:tc>
      </w:tr>
      <w:tr w:rsidR="00726B76" w:rsidRPr="005C4B9C" w14:paraId="7CE1C2EF" w14:textId="77777777" w:rsidTr="009A347A">
        <w:trPr>
          <w:trHeight w:val="20"/>
        </w:trPr>
        <w:tc>
          <w:tcPr>
            <w:tcW w:w="3956" w:type="dxa"/>
          </w:tcPr>
          <w:p w14:paraId="206FAA01"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6.5.2. </w:t>
            </w:r>
            <w:r w:rsidRPr="00CE651F">
              <w:rPr>
                <w:rFonts w:ascii="Times New Roman" w:hAnsi="Times New Roman" w:cs="Times New Roman"/>
                <w:bCs/>
              </w:rPr>
              <w:t>Predpokladá predložený návrh, aby sa predkladali údaje, ktoré sa nachádzajú v zákonom ustanovenej evidencii vedenej orgánom, ktorý konanie vedie alebo iným orgánom?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5AA800E6" w14:textId="77777777" w:rsidTr="009A347A">
              <w:sdt>
                <w:sdtPr>
                  <w:rPr>
                    <w:rFonts w:ascii="Times New Roman" w:hAnsi="Times New Roman" w:cs="Times New Roman"/>
                  </w:rPr>
                  <w:id w:val="450372319"/>
                  <w14:checkbox>
                    <w14:checked w14:val="0"/>
                    <w14:checkedState w14:val="2612" w14:font="MS Gothic"/>
                    <w14:uncheckedState w14:val="2610" w14:font="MS Gothic"/>
                  </w14:checkbox>
                </w:sdtPr>
                <w:sdtEndPr/>
                <w:sdtContent>
                  <w:tc>
                    <w:tcPr>
                      <w:tcW w:w="436" w:type="dxa"/>
                    </w:tcPr>
                    <w:p w14:paraId="76D9A354"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165BCBD9"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04EFE22D" w14:textId="77777777" w:rsidTr="009A347A">
              <w:sdt>
                <w:sdtPr>
                  <w:rPr>
                    <w:rFonts w:ascii="Times New Roman" w:hAnsi="Times New Roman" w:cs="Times New Roman"/>
                  </w:rPr>
                  <w:id w:val="617261598"/>
                  <w14:checkbox>
                    <w14:checked w14:val="1"/>
                    <w14:checkedState w14:val="2612" w14:font="MS Gothic"/>
                    <w14:uncheckedState w14:val="2610" w14:font="MS Gothic"/>
                  </w14:checkbox>
                </w:sdtPr>
                <w:sdtEndPr/>
                <w:sdtContent>
                  <w:tc>
                    <w:tcPr>
                      <w:tcW w:w="436" w:type="dxa"/>
                    </w:tcPr>
                    <w:p w14:paraId="7A3752D0"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3770FEE8"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01C48E4D" w14:textId="77777777" w:rsidR="00726B76" w:rsidRPr="00CE651F" w:rsidRDefault="00726B76" w:rsidP="009A347A">
            <w:pPr>
              <w:rPr>
                <w:rFonts w:ascii="Times New Roman" w:hAnsi="Times New Roman" w:cs="Times New Roman"/>
                <w:sz w:val="24"/>
                <w:szCs w:val="24"/>
              </w:rPr>
            </w:pPr>
          </w:p>
        </w:tc>
        <w:tc>
          <w:tcPr>
            <w:tcW w:w="3969" w:type="dxa"/>
            <w:gridSpan w:val="4"/>
          </w:tcPr>
          <w:p w14:paraId="6C93CB0E"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o akú evidenciu ide.)</w:t>
            </w:r>
          </w:p>
        </w:tc>
      </w:tr>
      <w:tr w:rsidR="00726B76" w:rsidRPr="005C4B9C" w14:paraId="31D05DFE" w14:textId="77777777" w:rsidTr="009A347A">
        <w:trPr>
          <w:trHeight w:val="20"/>
        </w:trPr>
        <w:tc>
          <w:tcPr>
            <w:tcW w:w="3956" w:type="dxa"/>
          </w:tcPr>
          <w:p w14:paraId="7C003C7D"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6.5.3. </w:t>
            </w:r>
            <w:r w:rsidRPr="00CE651F">
              <w:rPr>
                <w:rFonts w:ascii="Times New Roman" w:hAnsi="Times New Roman" w:cs="Times New Roman"/>
              </w:rPr>
              <w:t>Budú údaje poskytované režimom podľa zákona č. 177/2018 Z.</w:t>
            </w:r>
            <w:r w:rsidR="00CE651F">
              <w:rPr>
                <w:rFonts w:ascii="Times New Roman" w:hAnsi="Times New Roman" w:cs="Times New Roman"/>
              </w:rPr>
              <w:t xml:space="preserve"> </w:t>
            </w:r>
            <w:r w:rsidRPr="00CE651F">
              <w:rPr>
                <w:rFonts w:ascii="Times New Roman" w:hAnsi="Times New Roman" w:cs="Times New Roman"/>
              </w:rPr>
              <w:t xml:space="preserve">z. v znení neskorších predpisov alebo iným obdobným spôsobom, ktorý zabezpečí, aby si údaje orgán, ktorý konanie vedie, získaval z úradnej moci a nemuseli mu byť predkladané </w:t>
            </w:r>
            <w:r w:rsidRPr="00CE651F">
              <w:rPr>
                <w:rFonts w:ascii="Times New Roman" w:hAnsi="Times New Roman" w:cs="Times New Roman"/>
                <w:bCs/>
              </w:rPr>
              <w:t>subjektom súkromného práva, navrhovateľom, žiadateľom, účastníkom konania (ďalej len „účastník konania“)</w:t>
            </w:r>
            <w:r w:rsidRPr="00CE651F">
              <w:rPr>
                <w:rFonts w:ascii="Times New Roman" w:hAnsi="Times New Roman" w:cs="Times New Roman"/>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1605AD2A" w14:textId="77777777" w:rsidTr="009A347A">
              <w:sdt>
                <w:sdtPr>
                  <w:rPr>
                    <w:rFonts w:ascii="Times New Roman" w:hAnsi="Times New Roman" w:cs="Times New Roman"/>
                  </w:rPr>
                  <w:id w:val="-2115887386"/>
                  <w14:checkbox>
                    <w14:checked w14:val="0"/>
                    <w14:checkedState w14:val="2612" w14:font="MS Gothic"/>
                    <w14:uncheckedState w14:val="2610" w14:font="MS Gothic"/>
                  </w14:checkbox>
                </w:sdtPr>
                <w:sdtEndPr/>
                <w:sdtContent>
                  <w:tc>
                    <w:tcPr>
                      <w:tcW w:w="436" w:type="dxa"/>
                    </w:tcPr>
                    <w:p w14:paraId="301D7661"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75534186"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1CC08864" w14:textId="77777777" w:rsidTr="009A347A">
              <w:sdt>
                <w:sdtPr>
                  <w:rPr>
                    <w:rFonts w:ascii="Times New Roman" w:hAnsi="Times New Roman" w:cs="Times New Roman"/>
                  </w:rPr>
                  <w:id w:val="-1730609562"/>
                  <w14:checkbox>
                    <w14:checked w14:val="1"/>
                    <w14:checkedState w14:val="2612" w14:font="MS Gothic"/>
                    <w14:uncheckedState w14:val="2610" w14:font="MS Gothic"/>
                  </w14:checkbox>
                </w:sdtPr>
                <w:sdtEndPr/>
                <w:sdtContent>
                  <w:tc>
                    <w:tcPr>
                      <w:tcW w:w="436" w:type="dxa"/>
                    </w:tcPr>
                    <w:p w14:paraId="72D0E4EB"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52EB0235"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213D35B4" w14:textId="77777777" w:rsidR="00726B76" w:rsidRPr="00CE651F" w:rsidRDefault="00726B76" w:rsidP="009A347A">
            <w:pPr>
              <w:rPr>
                <w:rFonts w:ascii="Times New Roman" w:hAnsi="Times New Roman" w:cs="Times New Roman"/>
                <w:sz w:val="24"/>
                <w:szCs w:val="24"/>
              </w:rPr>
            </w:pPr>
          </w:p>
        </w:tc>
        <w:tc>
          <w:tcPr>
            <w:tcW w:w="3969" w:type="dxa"/>
            <w:gridSpan w:val="4"/>
          </w:tcPr>
          <w:p w14:paraId="4441F7E8"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akým spôsobom budú údaje v konaní predkladané/preukazované. Ak sa vyžaduje predloženie účastníkom konania, uveďte dôvod.)</w:t>
            </w:r>
          </w:p>
        </w:tc>
      </w:tr>
      <w:tr w:rsidR="00726B76" w:rsidRPr="005C4B9C" w14:paraId="1721DF07" w14:textId="77777777" w:rsidTr="009A347A">
        <w:trPr>
          <w:trHeight w:val="20"/>
        </w:trPr>
        <w:tc>
          <w:tcPr>
            <w:tcW w:w="3956" w:type="dxa"/>
            <w:tcBorders>
              <w:bottom w:val="single" w:sz="4" w:space="0" w:color="auto"/>
            </w:tcBorders>
          </w:tcPr>
          <w:p w14:paraId="21B2A388"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6.5.4. </w:t>
            </w:r>
            <w:r w:rsidRPr="00CE651F">
              <w:rPr>
                <w:rFonts w:ascii="Times New Roman" w:hAnsi="Times New Roman" w:cs="Times New Roman"/>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697F38FD" w14:textId="77777777" w:rsidTr="009A347A">
              <w:sdt>
                <w:sdtPr>
                  <w:rPr>
                    <w:rFonts w:ascii="Times New Roman" w:hAnsi="Times New Roman" w:cs="Times New Roman"/>
                  </w:rPr>
                  <w:id w:val="2088412960"/>
                  <w14:checkbox>
                    <w14:checked w14:val="0"/>
                    <w14:checkedState w14:val="2612" w14:font="MS Gothic"/>
                    <w14:uncheckedState w14:val="2610" w14:font="MS Gothic"/>
                  </w14:checkbox>
                </w:sdtPr>
                <w:sdtEndPr/>
                <w:sdtContent>
                  <w:tc>
                    <w:tcPr>
                      <w:tcW w:w="436" w:type="dxa"/>
                    </w:tcPr>
                    <w:p w14:paraId="5D384C1B"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53CC8E62"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5102F5F3" w14:textId="77777777" w:rsidTr="009A347A">
              <w:sdt>
                <w:sdtPr>
                  <w:rPr>
                    <w:rFonts w:ascii="Times New Roman" w:hAnsi="Times New Roman" w:cs="Times New Roman"/>
                  </w:rPr>
                  <w:id w:val="-439767500"/>
                  <w14:checkbox>
                    <w14:checked w14:val="1"/>
                    <w14:checkedState w14:val="2612" w14:font="MS Gothic"/>
                    <w14:uncheckedState w14:val="2610" w14:font="MS Gothic"/>
                  </w14:checkbox>
                </w:sdtPr>
                <w:sdtEndPr/>
                <w:sdtContent>
                  <w:tc>
                    <w:tcPr>
                      <w:tcW w:w="436" w:type="dxa"/>
                    </w:tcPr>
                    <w:p w14:paraId="50BA379F"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12F4B651"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79A251C7" w14:textId="77777777" w:rsidR="00726B76" w:rsidRPr="00CE651F" w:rsidRDefault="00726B76" w:rsidP="009A347A">
            <w:pPr>
              <w:rPr>
                <w:rFonts w:ascii="Times New Roman" w:hAnsi="Times New Roman" w:cs="Times New Roman"/>
                <w:sz w:val="24"/>
                <w:szCs w:val="24"/>
              </w:rPr>
            </w:pPr>
          </w:p>
        </w:tc>
        <w:tc>
          <w:tcPr>
            <w:tcW w:w="3969" w:type="dxa"/>
            <w:gridSpan w:val="4"/>
            <w:tcBorders>
              <w:bottom w:val="single" w:sz="4" w:space="0" w:color="auto"/>
            </w:tcBorders>
          </w:tcPr>
          <w:p w14:paraId="63282BB6"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akým spôsobom budú údaje v konaní predkladané/preukazované v budúcnosti. Ak sa vyžaduje predloženie účastníkom konania, uveďte dôvod.)</w:t>
            </w:r>
          </w:p>
        </w:tc>
      </w:tr>
      <w:tr w:rsidR="00726B76" w:rsidRPr="005C4B9C" w14:paraId="08D26572" w14:textId="77777777" w:rsidTr="009A347A">
        <w:trPr>
          <w:trHeight w:val="20"/>
        </w:trPr>
        <w:tc>
          <w:tcPr>
            <w:tcW w:w="9371" w:type="dxa"/>
            <w:gridSpan w:val="6"/>
            <w:shd w:val="pct25" w:color="auto" w:fill="auto"/>
          </w:tcPr>
          <w:p w14:paraId="0975D754" w14:textId="77777777" w:rsidR="00726B76" w:rsidRPr="00FA1CC0" w:rsidRDefault="00726B76" w:rsidP="009A347A">
            <w:pPr>
              <w:spacing w:line="20" w:lineRule="atLeast"/>
              <w:ind w:hanging="55"/>
              <w:jc w:val="center"/>
              <w:rPr>
                <w:rFonts w:ascii="Times New Roman" w:hAnsi="Times New Roman" w:cs="Times New Roman"/>
                <w:i/>
                <w:iCs/>
              </w:rPr>
            </w:pPr>
            <w:r w:rsidRPr="00FA1CC0">
              <w:rPr>
                <w:rFonts w:ascii="Times New Roman" w:hAnsi="Times New Roman" w:cs="Times New Roman"/>
                <w:b/>
              </w:rPr>
              <w:t>Výmena údajov medzi orgánmi verejnej moci</w:t>
            </w:r>
          </w:p>
        </w:tc>
      </w:tr>
      <w:tr w:rsidR="00726B76" w:rsidRPr="005C4B9C" w14:paraId="1AFC474F" w14:textId="77777777" w:rsidTr="009A347A">
        <w:trPr>
          <w:trHeight w:val="20"/>
        </w:trPr>
        <w:tc>
          <w:tcPr>
            <w:tcW w:w="3956" w:type="dxa"/>
          </w:tcPr>
          <w:p w14:paraId="0A8A752C"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6.6.1. </w:t>
            </w:r>
            <w:r w:rsidRPr="00CE651F">
              <w:rPr>
                <w:rFonts w:ascii="Times New Roman" w:hAnsi="Times New Roman" w:cs="Times New Roman"/>
              </w:rPr>
              <w:t>Predpokladá predložený návrh zriadenie novej evidencie údajov alebo upravuje vedenie evidencie údajov?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1140006F" w14:textId="77777777" w:rsidTr="009A347A">
              <w:sdt>
                <w:sdtPr>
                  <w:rPr>
                    <w:rFonts w:ascii="Times New Roman" w:hAnsi="Times New Roman" w:cs="Times New Roman"/>
                  </w:rPr>
                  <w:id w:val="-581141114"/>
                  <w14:checkbox>
                    <w14:checked w14:val="0"/>
                    <w14:checkedState w14:val="2612" w14:font="MS Gothic"/>
                    <w14:uncheckedState w14:val="2610" w14:font="MS Gothic"/>
                  </w14:checkbox>
                </w:sdtPr>
                <w:sdtEndPr/>
                <w:sdtContent>
                  <w:tc>
                    <w:tcPr>
                      <w:tcW w:w="436" w:type="dxa"/>
                    </w:tcPr>
                    <w:p w14:paraId="7CBDD9A5"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1A5385C8"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7653862F" w14:textId="77777777" w:rsidTr="009A347A">
              <w:sdt>
                <w:sdtPr>
                  <w:rPr>
                    <w:rFonts w:ascii="Times New Roman" w:hAnsi="Times New Roman" w:cs="Times New Roman"/>
                  </w:rPr>
                  <w:id w:val="-561481988"/>
                  <w14:checkbox>
                    <w14:checked w14:val="1"/>
                    <w14:checkedState w14:val="2612" w14:font="MS Gothic"/>
                    <w14:uncheckedState w14:val="2610" w14:font="MS Gothic"/>
                  </w14:checkbox>
                </w:sdtPr>
                <w:sdtEndPr/>
                <w:sdtContent>
                  <w:tc>
                    <w:tcPr>
                      <w:tcW w:w="436" w:type="dxa"/>
                    </w:tcPr>
                    <w:p w14:paraId="5F5D4D55"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196C99C3"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7D4FA9B0" w14:textId="77777777" w:rsidR="00726B76" w:rsidRPr="00CE651F" w:rsidRDefault="00726B76" w:rsidP="009A347A">
            <w:pPr>
              <w:rPr>
                <w:rFonts w:ascii="Times New Roman" w:hAnsi="Times New Roman" w:cs="Times New Roman"/>
                <w:sz w:val="24"/>
                <w:szCs w:val="24"/>
              </w:rPr>
            </w:pPr>
          </w:p>
        </w:tc>
        <w:tc>
          <w:tcPr>
            <w:tcW w:w="3969" w:type="dxa"/>
            <w:gridSpan w:val="4"/>
          </w:tcPr>
          <w:p w14:paraId="742DC570"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aká nová evidencia údajov sa zriaďuje, resp. akú evidenciu údajov návrh upravuje.)</w:t>
            </w:r>
          </w:p>
        </w:tc>
      </w:tr>
      <w:tr w:rsidR="00726B76" w:rsidRPr="005C4B9C" w14:paraId="7CF5284D" w14:textId="77777777" w:rsidTr="009A347A">
        <w:trPr>
          <w:trHeight w:val="20"/>
        </w:trPr>
        <w:tc>
          <w:tcPr>
            <w:tcW w:w="3956" w:type="dxa"/>
          </w:tcPr>
          <w:p w14:paraId="5B4871A5"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6.6.2. </w:t>
            </w:r>
            <w:r w:rsidRPr="00CE651F">
              <w:rPr>
                <w:rFonts w:ascii="Times New Roman" w:hAnsi="Times New Roman" w:cs="Times New Roman"/>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56801A87" w14:textId="77777777" w:rsidTr="009A347A">
              <w:sdt>
                <w:sdtPr>
                  <w:rPr>
                    <w:rFonts w:ascii="Times New Roman" w:hAnsi="Times New Roman" w:cs="Times New Roman"/>
                  </w:rPr>
                  <w:id w:val="1434169894"/>
                  <w14:checkbox>
                    <w14:checked w14:val="0"/>
                    <w14:checkedState w14:val="2612" w14:font="MS Gothic"/>
                    <w14:uncheckedState w14:val="2610" w14:font="MS Gothic"/>
                  </w14:checkbox>
                </w:sdtPr>
                <w:sdtEndPr/>
                <w:sdtContent>
                  <w:tc>
                    <w:tcPr>
                      <w:tcW w:w="436" w:type="dxa"/>
                    </w:tcPr>
                    <w:p w14:paraId="053CBFE1"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0699D4A9"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2A462456" w14:textId="77777777" w:rsidTr="009A347A">
              <w:sdt>
                <w:sdtPr>
                  <w:rPr>
                    <w:rFonts w:ascii="Times New Roman" w:hAnsi="Times New Roman" w:cs="Times New Roman"/>
                  </w:rPr>
                  <w:id w:val="-1288507644"/>
                  <w14:checkbox>
                    <w14:checked w14:val="1"/>
                    <w14:checkedState w14:val="2612" w14:font="MS Gothic"/>
                    <w14:uncheckedState w14:val="2610" w14:font="MS Gothic"/>
                  </w14:checkbox>
                </w:sdtPr>
                <w:sdtEndPr/>
                <w:sdtContent>
                  <w:tc>
                    <w:tcPr>
                      <w:tcW w:w="436" w:type="dxa"/>
                    </w:tcPr>
                    <w:p w14:paraId="0B86A3A8"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47412C1D"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5FECBBE0" w14:textId="77777777" w:rsidR="00726B76" w:rsidRPr="00CE651F" w:rsidRDefault="00726B76" w:rsidP="009A347A">
            <w:pPr>
              <w:rPr>
                <w:rFonts w:ascii="Times New Roman" w:hAnsi="Times New Roman" w:cs="Times New Roman"/>
                <w:sz w:val="24"/>
                <w:szCs w:val="24"/>
              </w:rPr>
            </w:pPr>
          </w:p>
        </w:tc>
        <w:tc>
          <w:tcPr>
            <w:tcW w:w="3969" w:type="dxa"/>
            <w:gridSpan w:val="4"/>
          </w:tcPr>
          <w:p w14:paraId="17F068E7"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ktorým orgánom verejnej moci, resp. iným osobám nie je možné údaje z evidencie poskytnúť, aj ak ich na plnenie zákonných úloh potrebujú a z akého dôvodu.)</w:t>
            </w:r>
          </w:p>
        </w:tc>
      </w:tr>
      <w:tr w:rsidR="00726B76" w:rsidRPr="005C4B9C" w14:paraId="64EAED30" w14:textId="77777777" w:rsidTr="009A347A">
        <w:trPr>
          <w:trHeight w:val="20"/>
        </w:trPr>
        <w:tc>
          <w:tcPr>
            <w:tcW w:w="3956" w:type="dxa"/>
          </w:tcPr>
          <w:p w14:paraId="64180FA0"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6.6.3. </w:t>
            </w:r>
            <w:r w:rsidRPr="00CE651F">
              <w:rPr>
                <w:rFonts w:ascii="Times New Roman" w:hAnsi="Times New Roman" w:cs="Times New Roman"/>
              </w:rPr>
              <w:t>Je zabezpečené poskytovanie údajov z evidencie elektronicky a automatizovaným spôsobom?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2E13817A" w14:textId="77777777" w:rsidTr="009A347A">
              <w:sdt>
                <w:sdtPr>
                  <w:rPr>
                    <w:rFonts w:ascii="Times New Roman" w:hAnsi="Times New Roman" w:cs="Times New Roman"/>
                  </w:rPr>
                  <w:id w:val="-1355335144"/>
                  <w14:checkbox>
                    <w14:checked w14:val="0"/>
                    <w14:checkedState w14:val="2612" w14:font="MS Gothic"/>
                    <w14:uncheckedState w14:val="2610" w14:font="MS Gothic"/>
                  </w14:checkbox>
                </w:sdtPr>
                <w:sdtEndPr/>
                <w:sdtContent>
                  <w:tc>
                    <w:tcPr>
                      <w:tcW w:w="436" w:type="dxa"/>
                    </w:tcPr>
                    <w:p w14:paraId="0A1C5E7F"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7D61DACA"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2C3D8630" w14:textId="77777777" w:rsidTr="009A347A">
              <w:sdt>
                <w:sdtPr>
                  <w:rPr>
                    <w:rFonts w:ascii="Times New Roman" w:hAnsi="Times New Roman" w:cs="Times New Roman"/>
                  </w:rPr>
                  <w:id w:val="116884503"/>
                  <w14:checkbox>
                    <w14:checked w14:val="1"/>
                    <w14:checkedState w14:val="2612" w14:font="MS Gothic"/>
                    <w14:uncheckedState w14:val="2610" w14:font="MS Gothic"/>
                  </w14:checkbox>
                </w:sdtPr>
                <w:sdtEndPr/>
                <w:sdtContent>
                  <w:tc>
                    <w:tcPr>
                      <w:tcW w:w="436" w:type="dxa"/>
                    </w:tcPr>
                    <w:p w14:paraId="3D5AF62B"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65A2A915"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4F51A711" w14:textId="77777777" w:rsidR="00726B76" w:rsidRPr="00CE651F" w:rsidRDefault="00726B76" w:rsidP="009A347A">
            <w:pPr>
              <w:rPr>
                <w:rFonts w:ascii="Times New Roman" w:hAnsi="Times New Roman" w:cs="Times New Roman"/>
                <w:sz w:val="24"/>
                <w:szCs w:val="24"/>
              </w:rPr>
            </w:pPr>
          </w:p>
        </w:tc>
        <w:tc>
          <w:tcPr>
            <w:tcW w:w="3969" w:type="dxa"/>
            <w:gridSpan w:val="4"/>
          </w:tcPr>
          <w:p w14:paraId="0A8329E5"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 xml:space="preserve">(Uveďte, akým spôsobom je zabezpečené poskytovanie údajov z evidencie pre iné subjekty na plnenie ich zákonných úloh. Ak sa na poskytovanie údajov nepoužíva modul procesnej integrácie a integrácie údajov, uveďte dôvod. Ak je elektronické </w:t>
            </w:r>
            <w:r w:rsidRPr="00CE651F">
              <w:rPr>
                <w:rFonts w:ascii="Times New Roman" w:hAnsi="Times New Roman" w:cs="Times New Roman"/>
                <w:i/>
                <w:iCs/>
              </w:rPr>
              <w:lastRenderedPageBreak/>
              <w:t>alebo automatizované poskytovanie vylúčené, uveďte dôvod.)</w:t>
            </w:r>
            <w:r w:rsidRPr="00CE651F">
              <w:rPr>
                <w:rFonts w:ascii="Times New Roman" w:hAnsi="Times New Roman" w:cs="Times New Roman"/>
              </w:rPr>
              <w:t xml:space="preserve"> </w:t>
            </w:r>
          </w:p>
        </w:tc>
      </w:tr>
      <w:tr w:rsidR="00726B76" w:rsidRPr="005C4B9C" w14:paraId="64D48A6A" w14:textId="77777777" w:rsidTr="009A347A">
        <w:trPr>
          <w:trHeight w:val="20"/>
        </w:trPr>
        <w:tc>
          <w:tcPr>
            <w:tcW w:w="3956" w:type="dxa"/>
          </w:tcPr>
          <w:p w14:paraId="239A30B7"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lastRenderedPageBreak/>
              <w:t xml:space="preserve">6.6.4. </w:t>
            </w:r>
            <w:r w:rsidRPr="00CE651F">
              <w:rPr>
                <w:rFonts w:ascii="Times New Roman" w:hAnsi="Times New Roman" w:cs="Times New Roman"/>
              </w:rPr>
              <w:t>Je na poskytovanie údajov z evidencie využitý režim podľa zákona č. 177/2018 Z.z. v znení neskorších predpisov?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52886AB8" w14:textId="77777777" w:rsidTr="009A347A">
              <w:sdt>
                <w:sdtPr>
                  <w:rPr>
                    <w:rFonts w:ascii="Times New Roman" w:hAnsi="Times New Roman" w:cs="Times New Roman"/>
                  </w:rPr>
                  <w:id w:val="-295379826"/>
                  <w14:checkbox>
                    <w14:checked w14:val="0"/>
                    <w14:checkedState w14:val="2612" w14:font="MS Gothic"/>
                    <w14:uncheckedState w14:val="2610" w14:font="MS Gothic"/>
                  </w14:checkbox>
                </w:sdtPr>
                <w:sdtEndPr/>
                <w:sdtContent>
                  <w:tc>
                    <w:tcPr>
                      <w:tcW w:w="436" w:type="dxa"/>
                    </w:tcPr>
                    <w:p w14:paraId="6D4BB3FF"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0C451D79"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22FE2D06" w14:textId="77777777" w:rsidTr="009A347A">
              <w:sdt>
                <w:sdtPr>
                  <w:rPr>
                    <w:rFonts w:ascii="Times New Roman" w:hAnsi="Times New Roman" w:cs="Times New Roman"/>
                  </w:rPr>
                  <w:id w:val="-1689520971"/>
                  <w14:checkbox>
                    <w14:checked w14:val="1"/>
                    <w14:checkedState w14:val="2612" w14:font="MS Gothic"/>
                    <w14:uncheckedState w14:val="2610" w14:font="MS Gothic"/>
                  </w14:checkbox>
                </w:sdtPr>
                <w:sdtEndPr/>
                <w:sdtContent>
                  <w:tc>
                    <w:tcPr>
                      <w:tcW w:w="436" w:type="dxa"/>
                    </w:tcPr>
                    <w:p w14:paraId="567304C9"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158B7B19"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0C1208D6" w14:textId="77777777" w:rsidR="00726B76" w:rsidRPr="00CE651F" w:rsidRDefault="00726B76" w:rsidP="009A347A">
            <w:pPr>
              <w:rPr>
                <w:rFonts w:ascii="Times New Roman" w:hAnsi="Times New Roman" w:cs="Times New Roman"/>
                <w:sz w:val="24"/>
                <w:szCs w:val="24"/>
              </w:rPr>
            </w:pPr>
          </w:p>
        </w:tc>
        <w:tc>
          <w:tcPr>
            <w:tcW w:w="3969" w:type="dxa"/>
            <w:gridSpan w:val="4"/>
          </w:tcPr>
          <w:p w14:paraId="2AE9C26D"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726B76" w:rsidRPr="005C4B9C" w14:paraId="46960714" w14:textId="77777777" w:rsidTr="009A347A">
        <w:trPr>
          <w:trHeight w:val="20"/>
        </w:trPr>
        <w:tc>
          <w:tcPr>
            <w:tcW w:w="9371" w:type="dxa"/>
            <w:gridSpan w:val="6"/>
            <w:shd w:val="clear" w:color="auto" w:fill="A6A6A6" w:themeFill="background1" w:themeFillShade="A6"/>
          </w:tcPr>
          <w:p w14:paraId="48CEF4E6" w14:textId="77777777" w:rsidR="00726B76" w:rsidRPr="00FA1CC0" w:rsidRDefault="00726B76" w:rsidP="009A347A">
            <w:pPr>
              <w:spacing w:line="20" w:lineRule="atLeast"/>
              <w:ind w:hanging="55"/>
              <w:jc w:val="center"/>
              <w:rPr>
                <w:rFonts w:ascii="Times New Roman" w:hAnsi="Times New Roman" w:cs="Times New Roman"/>
                <w:i/>
                <w:iCs/>
              </w:rPr>
            </w:pPr>
            <w:r w:rsidRPr="00FA1CC0">
              <w:rPr>
                <w:rFonts w:ascii="Times New Roman" w:hAnsi="Times New Roman" w:cs="Times New Roman"/>
                <w:b/>
              </w:rPr>
              <w:t>Referenčné údaje</w:t>
            </w:r>
          </w:p>
        </w:tc>
      </w:tr>
      <w:tr w:rsidR="00726B76" w:rsidRPr="005C4B9C" w14:paraId="3264BD95" w14:textId="77777777" w:rsidTr="009A347A">
        <w:trPr>
          <w:trHeight w:val="20"/>
        </w:trPr>
        <w:tc>
          <w:tcPr>
            <w:tcW w:w="3956" w:type="dxa"/>
          </w:tcPr>
          <w:p w14:paraId="049A56D9" w14:textId="77777777" w:rsidR="00726B76" w:rsidRPr="00CE651F" w:rsidRDefault="00726B76" w:rsidP="009A347A">
            <w:pPr>
              <w:jc w:val="both"/>
              <w:rPr>
                <w:rFonts w:ascii="Times New Roman" w:hAnsi="Times New Roman" w:cs="Times New Roman"/>
              </w:rPr>
            </w:pPr>
            <w:r w:rsidRPr="00CE651F">
              <w:rPr>
                <w:rFonts w:ascii="Times New Roman" w:hAnsi="Times New Roman" w:cs="Times New Roman"/>
                <w:b/>
                <w:bCs/>
              </w:rPr>
              <w:t>6.7.1.</w:t>
            </w:r>
            <w:r w:rsidRPr="00CE651F">
              <w:rPr>
                <w:rFonts w:ascii="Times New Roman" w:hAnsi="Times New Roman" w:cs="Times New Roman"/>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899"/>
            </w:tblGrid>
            <w:tr w:rsidR="00726B76" w:rsidRPr="00CE651F" w14:paraId="09E3D43E" w14:textId="77777777" w:rsidTr="009A347A">
              <w:sdt>
                <w:sdtPr>
                  <w:rPr>
                    <w:rFonts w:ascii="Times New Roman" w:hAnsi="Times New Roman" w:cs="Times New Roman"/>
                  </w:rPr>
                  <w:id w:val="-677810283"/>
                  <w14:checkbox>
                    <w14:checked w14:val="0"/>
                    <w14:checkedState w14:val="2612" w14:font="MS Gothic"/>
                    <w14:uncheckedState w14:val="2610" w14:font="MS Gothic"/>
                  </w14:checkbox>
                </w:sdtPr>
                <w:sdtEndPr/>
                <w:sdtContent>
                  <w:tc>
                    <w:tcPr>
                      <w:tcW w:w="436" w:type="dxa"/>
                    </w:tcPr>
                    <w:p w14:paraId="3002685F"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676ADE6C"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7CEAE38A" w14:textId="77777777" w:rsidTr="009A347A">
              <w:sdt>
                <w:sdtPr>
                  <w:rPr>
                    <w:rFonts w:ascii="Times New Roman" w:hAnsi="Times New Roman" w:cs="Times New Roman"/>
                  </w:rPr>
                  <w:id w:val="-159857975"/>
                  <w14:checkbox>
                    <w14:checked w14:val="1"/>
                    <w14:checkedState w14:val="2612" w14:font="MS Gothic"/>
                    <w14:uncheckedState w14:val="2610" w14:font="MS Gothic"/>
                  </w14:checkbox>
                </w:sdtPr>
                <w:sdtEndPr/>
                <w:sdtContent>
                  <w:tc>
                    <w:tcPr>
                      <w:tcW w:w="436" w:type="dxa"/>
                    </w:tcPr>
                    <w:p w14:paraId="0451FD6F"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5874338F"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5A28293B" w14:textId="77777777" w:rsidR="00726B76" w:rsidRPr="00CE651F" w:rsidRDefault="00726B76" w:rsidP="009A347A">
            <w:pPr>
              <w:jc w:val="center"/>
              <w:rPr>
                <w:rFonts w:ascii="Times New Roman" w:hAnsi="Times New Roman" w:cs="Times New Roman"/>
              </w:rPr>
            </w:pPr>
          </w:p>
        </w:tc>
        <w:tc>
          <w:tcPr>
            <w:tcW w:w="3969" w:type="dxa"/>
            <w:gridSpan w:val="4"/>
          </w:tcPr>
          <w:p w14:paraId="51C29F43" w14:textId="77777777" w:rsidR="00726B76" w:rsidRPr="00CE651F" w:rsidRDefault="00726B76" w:rsidP="009A347A">
            <w:pPr>
              <w:rPr>
                <w:rFonts w:ascii="Times New Roman" w:hAnsi="Times New Roman" w:cs="Times New Roman"/>
                <w:i/>
                <w:iCs/>
              </w:rPr>
            </w:pPr>
            <w:r w:rsidRPr="00CE651F">
              <w:rPr>
                <w:rFonts w:ascii="Times New Roman" w:hAnsi="Times New Roman" w:cs="Times New Roman"/>
                <w:i/>
                <w:iCs/>
              </w:rPr>
              <w:t>(Uveďte, aká nová evidencia údajov sa zriaďuje, resp. akú evidenciu údajov návrh upravuje a ktoré údaje z nej budú navrhnuté na zaradenie do zoznamu referenčných údajov. Ak sa neplánuje zaradenie žiadnych údajov, uveďte dôvod)</w:t>
            </w:r>
          </w:p>
        </w:tc>
      </w:tr>
      <w:tr w:rsidR="00726B76" w:rsidRPr="005C4B9C" w14:paraId="00E57B8B" w14:textId="77777777" w:rsidTr="009A347A">
        <w:trPr>
          <w:trHeight w:val="20"/>
        </w:trPr>
        <w:tc>
          <w:tcPr>
            <w:tcW w:w="3956" w:type="dxa"/>
          </w:tcPr>
          <w:p w14:paraId="5DC9DAB6" w14:textId="77777777" w:rsidR="00726B76" w:rsidRPr="00CE651F" w:rsidRDefault="00726B76" w:rsidP="009A347A">
            <w:pPr>
              <w:jc w:val="both"/>
              <w:rPr>
                <w:rFonts w:ascii="Times New Roman" w:hAnsi="Times New Roman" w:cs="Times New Roman"/>
              </w:rPr>
            </w:pPr>
            <w:r w:rsidRPr="00CE651F">
              <w:rPr>
                <w:rFonts w:ascii="Times New Roman" w:hAnsi="Times New Roman" w:cs="Times New Roman"/>
                <w:b/>
                <w:bCs/>
              </w:rPr>
              <w:t>6.7.2.</w:t>
            </w:r>
            <w:r w:rsidRPr="00CE651F">
              <w:rPr>
                <w:rFonts w:ascii="Times New Roman" w:hAnsi="Times New Roman" w:cs="Times New Roman"/>
              </w:rPr>
              <w:t xml:space="preserve"> Kedy je plánované zaradenie údajov z evidencie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1062"/>
            </w:tblGrid>
            <w:tr w:rsidR="00726B76" w:rsidRPr="00CE651F" w14:paraId="4E5FD895" w14:textId="77777777" w:rsidTr="009A347A">
              <w:tc>
                <w:tcPr>
                  <w:tcW w:w="436" w:type="dxa"/>
                </w:tcPr>
                <w:p w14:paraId="23D8734D" w14:textId="77777777" w:rsidR="00726B76" w:rsidRPr="00CE651F" w:rsidRDefault="00726B76" w:rsidP="009A347A">
                  <w:pPr>
                    <w:jc w:val="center"/>
                    <w:rPr>
                      <w:rFonts w:ascii="Times New Roman" w:hAnsi="Times New Roman" w:cs="Times New Roman"/>
                    </w:rPr>
                  </w:pPr>
                </w:p>
              </w:tc>
              <w:tc>
                <w:tcPr>
                  <w:tcW w:w="8545" w:type="dxa"/>
                </w:tcPr>
                <w:p w14:paraId="41CC1C20" w14:textId="77777777" w:rsidR="00726B76" w:rsidRPr="00CE651F" w:rsidRDefault="00726B76" w:rsidP="009A347A">
                  <w:pPr>
                    <w:rPr>
                      <w:rFonts w:ascii="Times New Roman" w:hAnsi="Times New Roman" w:cs="Times New Roman"/>
                      <w:b/>
                    </w:rPr>
                  </w:pPr>
                </w:p>
              </w:tc>
            </w:tr>
            <w:tr w:rsidR="00726B76" w:rsidRPr="00CE651F" w14:paraId="2C180E30" w14:textId="77777777" w:rsidTr="009A347A">
              <w:tc>
                <w:tcPr>
                  <w:tcW w:w="436" w:type="dxa"/>
                </w:tcPr>
                <w:p w14:paraId="4E04A79E" w14:textId="77777777" w:rsidR="00726B76" w:rsidRPr="00CE651F" w:rsidRDefault="00726B76" w:rsidP="009A347A">
                  <w:pPr>
                    <w:jc w:val="center"/>
                    <w:rPr>
                      <w:rFonts w:ascii="Times New Roman" w:hAnsi="Times New Roman" w:cs="Times New Roman"/>
                    </w:rPr>
                  </w:pPr>
                </w:p>
              </w:tc>
              <w:tc>
                <w:tcPr>
                  <w:tcW w:w="8545" w:type="dxa"/>
                </w:tcPr>
                <w:p w14:paraId="239F29EC" w14:textId="77777777" w:rsidR="00726B76" w:rsidRPr="00CE651F" w:rsidRDefault="00726B76" w:rsidP="009A347A">
                  <w:pPr>
                    <w:rPr>
                      <w:rFonts w:ascii="Times New Roman" w:hAnsi="Times New Roman" w:cs="Times New Roman"/>
                      <w:b/>
                    </w:rPr>
                  </w:pPr>
                </w:p>
              </w:tc>
            </w:tr>
          </w:tbl>
          <w:p w14:paraId="31E51DE8" w14:textId="77777777" w:rsidR="00726B76" w:rsidRPr="00CE651F" w:rsidRDefault="00726B76" w:rsidP="009A347A">
            <w:pPr>
              <w:jc w:val="center"/>
              <w:rPr>
                <w:rFonts w:ascii="Times New Roman" w:hAnsi="Times New Roman" w:cs="Times New Roman"/>
              </w:rPr>
            </w:pPr>
          </w:p>
        </w:tc>
        <w:tc>
          <w:tcPr>
            <w:tcW w:w="3969" w:type="dxa"/>
            <w:gridSpan w:val="4"/>
          </w:tcPr>
          <w:p w14:paraId="3DB91849" w14:textId="77777777" w:rsidR="00726B76" w:rsidRPr="00CE651F" w:rsidRDefault="00726B76" w:rsidP="009A347A">
            <w:pPr>
              <w:rPr>
                <w:rFonts w:ascii="Times New Roman" w:hAnsi="Times New Roman" w:cs="Times New Roman"/>
                <w:i/>
                <w:iCs/>
              </w:rPr>
            </w:pPr>
            <w:r w:rsidRPr="00CE651F">
              <w:rPr>
                <w:rFonts w:ascii="Times New Roman" w:hAnsi="Times New Roman" w:cs="Times New Roman"/>
                <w:i/>
                <w:iCs/>
              </w:rPr>
              <w:t>(Uveďte, kedy sa plánuje zaradenie vyššie uvedených údajov do zoznamu referenčných údajov.)</w:t>
            </w:r>
          </w:p>
        </w:tc>
      </w:tr>
    </w:tbl>
    <w:p w14:paraId="7EC140DC" w14:textId="77777777" w:rsidR="00726B76" w:rsidRDefault="00726B76" w:rsidP="00CE651F">
      <w:pPr>
        <w:jc w:val="both"/>
        <w:rPr>
          <w:rFonts w:ascii="Times New Roman" w:eastAsia="Times New Roman" w:hAnsi="Times New Roman" w:cs="Times New Roman"/>
          <w:sz w:val="24"/>
          <w:szCs w:val="24"/>
          <w:lang w:eastAsia="sk-SK"/>
        </w:rPr>
      </w:pPr>
    </w:p>
    <w:p w14:paraId="64CEEB9C" w14:textId="77777777" w:rsidR="0001141A" w:rsidRDefault="0001141A" w:rsidP="00CE651F">
      <w:pPr>
        <w:jc w:val="both"/>
        <w:rPr>
          <w:rFonts w:ascii="Times New Roman" w:eastAsia="Times New Roman" w:hAnsi="Times New Roman" w:cs="Times New Roman"/>
          <w:sz w:val="24"/>
          <w:szCs w:val="24"/>
          <w:lang w:eastAsia="sk-SK"/>
        </w:rPr>
      </w:pPr>
    </w:p>
    <w:p w14:paraId="1C69E83F" w14:textId="77777777" w:rsidR="0001141A" w:rsidRDefault="0001141A" w:rsidP="00CE651F">
      <w:pPr>
        <w:jc w:val="both"/>
        <w:rPr>
          <w:rFonts w:ascii="Times New Roman" w:eastAsia="Times New Roman" w:hAnsi="Times New Roman" w:cs="Times New Roman"/>
          <w:sz w:val="24"/>
          <w:szCs w:val="24"/>
          <w:lang w:eastAsia="sk-SK"/>
        </w:rPr>
      </w:pPr>
    </w:p>
    <w:p w14:paraId="579E8766" w14:textId="77777777" w:rsidR="0001141A" w:rsidRDefault="0001141A" w:rsidP="00CE651F">
      <w:pPr>
        <w:jc w:val="both"/>
        <w:rPr>
          <w:rFonts w:ascii="Times New Roman" w:eastAsia="Times New Roman" w:hAnsi="Times New Roman" w:cs="Times New Roman"/>
          <w:sz w:val="24"/>
          <w:szCs w:val="24"/>
          <w:lang w:eastAsia="sk-SK"/>
        </w:rPr>
      </w:pPr>
    </w:p>
    <w:p w14:paraId="3014F62D" w14:textId="77777777" w:rsidR="0001141A" w:rsidRDefault="0001141A" w:rsidP="00CE651F">
      <w:pPr>
        <w:jc w:val="both"/>
        <w:rPr>
          <w:rFonts w:ascii="Times New Roman" w:eastAsia="Times New Roman" w:hAnsi="Times New Roman" w:cs="Times New Roman"/>
          <w:sz w:val="24"/>
          <w:szCs w:val="24"/>
          <w:lang w:eastAsia="sk-SK"/>
        </w:rPr>
      </w:pPr>
    </w:p>
    <w:p w14:paraId="199C91BD" w14:textId="77777777" w:rsidR="0001141A" w:rsidRDefault="0001141A" w:rsidP="00CE651F">
      <w:pPr>
        <w:jc w:val="both"/>
        <w:rPr>
          <w:rFonts w:ascii="Times New Roman" w:eastAsia="Times New Roman" w:hAnsi="Times New Roman" w:cs="Times New Roman"/>
          <w:sz w:val="24"/>
          <w:szCs w:val="24"/>
          <w:lang w:eastAsia="sk-SK"/>
        </w:rPr>
      </w:pPr>
    </w:p>
    <w:p w14:paraId="7405BE4B" w14:textId="77777777" w:rsidR="0001141A" w:rsidRDefault="0001141A" w:rsidP="00CE651F">
      <w:pPr>
        <w:jc w:val="both"/>
        <w:rPr>
          <w:rFonts w:ascii="Times New Roman" w:eastAsia="Times New Roman" w:hAnsi="Times New Roman" w:cs="Times New Roman"/>
          <w:sz w:val="24"/>
          <w:szCs w:val="24"/>
          <w:lang w:eastAsia="sk-SK"/>
        </w:rPr>
      </w:pPr>
    </w:p>
    <w:p w14:paraId="249CDAB3" w14:textId="77777777" w:rsidR="0001141A" w:rsidRDefault="0001141A" w:rsidP="00CE651F">
      <w:pPr>
        <w:jc w:val="both"/>
        <w:rPr>
          <w:rFonts w:ascii="Times New Roman" w:eastAsia="Times New Roman" w:hAnsi="Times New Roman" w:cs="Times New Roman"/>
          <w:sz w:val="24"/>
          <w:szCs w:val="24"/>
          <w:lang w:eastAsia="sk-SK"/>
        </w:rPr>
      </w:pPr>
    </w:p>
    <w:p w14:paraId="08819E27" w14:textId="77777777" w:rsidR="0001141A" w:rsidRDefault="0001141A" w:rsidP="00CE651F">
      <w:pPr>
        <w:jc w:val="both"/>
        <w:rPr>
          <w:rFonts w:ascii="Times New Roman" w:eastAsia="Times New Roman" w:hAnsi="Times New Roman" w:cs="Times New Roman"/>
          <w:sz w:val="24"/>
          <w:szCs w:val="24"/>
          <w:lang w:eastAsia="sk-SK"/>
        </w:rPr>
      </w:pPr>
    </w:p>
    <w:p w14:paraId="71038EBA" w14:textId="77777777" w:rsidR="0001141A" w:rsidRDefault="0001141A" w:rsidP="00CE651F">
      <w:pPr>
        <w:jc w:val="both"/>
        <w:rPr>
          <w:rFonts w:ascii="Times New Roman" w:eastAsia="Times New Roman" w:hAnsi="Times New Roman" w:cs="Times New Roman"/>
          <w:sz w:val="24"/>
          <w:szCs w:val="24"/>
          <w:lang w:eastAsia="sk-SK"/>
        </w:rPr>
      </w:pPr>
    </w:p>
    <w:p w14:paraId="540F2918" w14:textId="77777777" w:rsidR="0001141A" w:rsidRDefault="0001141A" w:rsidP="00CE651F">
      <w:pPr>
        <w:jc w:val="both"/>
        <w:rPr>
          <w:rFonts w:ascii="Times New Roman" w:eastAsia="Times New Roman" w:hAnsi="Times New Roman" w:cs="Times New Roman"/>
          <w:sz w:val="24"/>
          <w:szCs w:val="24"/>
          <w:lang w:eastAsia="sk-SK"/>
        </w:rPr>
      </w:pPr>
    </w:p>
    <w:p w14:paraId="2B86DFDA" w14:textId="77777777" w:rsidR="0001141A" w:rsidRDefault="0001141A" w:rsidP="00CE651F">
      <w:pPr>
        <w:jc w:val="both"/>
        <w:rPr>
          <w:rFonts w:ascii="Times New Roman" w:eastAsia="Times New Roman" w:hAnsi="Times New Roman" w:cs="Times New Roman"/>
          <w:sz w:val="24"/>
          <w:szCs w:val="24"/>
          <w:lang w:eastAsia="sk-SK"/>
        </w:rPr>
      </w:pPr>
    </w:p>
    <w:p w14:paraId="5B70835D" w14:textId="77777777" w:rsidR="0001141A" w:rsidRDefault="0001141A" w:rsidP="00CE651F">
      <w:pPr>
        <w:jc w:val="both"/>
        <w:rPr>
          <w:rFonts w:ascii="Times New Roman" w:eastAsia="Times New Roman" w:hAnsi="Times New Roman" w:cs="Times New Roman"/>
          <w:sz w:val="24"/>
          <w:szCs w:val="24"/>
          <w:lang w:eastAsia="sk-SK"/>
        </w:rPr>
      </w:pPr>
    </w:p>
    <w:p w14:paraId="0A6701E6" w14:textId="77777777" w:rsidR="0001141A" w:rsidRDefault="0001141A" w:rsidP="00CE651F">
      <w:pPr>
        <w:jc w:val="both"/>
        <w:rPr>
          <w:rFonts w:ascii="Times New Roman" w:eastAsia="Times New Roman" w:hAnsi="Times New Roman" w:cs="Times New Roman"/>
          <w:sz w:val="24"/>
          <w:szCs w:val="24"/>
          <w:lang w:eastAsia="sk-SK"/>
        </w:rPr>
      </w:pPr>
    </w:p>
    <w:p w14:paraId="723DA06B" w14:textId="77777777" w:rsidR="0001141A" w:rsidRDefault="0001141A" w:rsidP="00CE651F">
      <w:pPr>
        <w:jc w:val="both"/>
        <w:rPr>
          <w:rFonts w:ascii="Times New Roman" w:eastAsia="Times New Roman" w:hAnsi="Times New Roman" w:cs="Times New Roman"/>
          <w:sz w:val="24"/>
          <w:szCs w:val="24"/>
          <w:lang w:eastAsia="sk-SK"/>
        </w:rPr>
      </w:pPr>
    </w:p>
    <w:p w14:paraId="52182434" w14:textId="77777777" w:rsidR="0001141A" w:rsidRDefault="0001141A" w:rsidP="00CE651F">
      <w:pPr>
        <w:jc w:val="both"/>
        <w:rPr>
          <w:rFonts w:ascii="Times New Roman" w:eastAsia="Times New Roman" w:hAnsi="Times New Roman" w:cs="Times New Roman"/>
          <w:sz w:val="24"/>
          <w:szCs w:val="24"/>
          <w:lang w:eastAsia="sk-SK"/>
        </w:rPr>
      </w:pPr>
    </w:p>
    <w:p w14:paraId="29D161ED" w14:textId="77777777" w:rsidR="0001141A" w:rsidRPr="0001141A" w:rsidRDefault="0001141A" w:rsidP="0001141A">
      <w:pPr>
        <w:autoSpaceDE w:val="0"/>
        <w:autoSpaceDN w:val="0"/>
        <w:spacing w:after="0" w:line="240" w:lineRule="auto"/>
        <w:jc w:val="center"/>
        <w:rPr>
          <w:rFonts w:ascii="Times New Roman" w:eastAsia="Times New Roman" w:hAnsi="Times New Roman" w:cs="Times New Roman"/>
          <w:b/>
          <w:bCs/>
          <w:sz w:val="24"/>
          <w:szCs w:val="24"/>
          <w:lang w:eastAsia="sk-SK"/>
        </w:rPr>
      </w:pPr>
      <w:r w:rsidRPr="0001141A">
        <w:rPr>
          <w:rFonts w:ascii="Times New Roman" w:eastAsia="Times New Roman" w:hAnsi="Times New Roman" w:cs="Times New Roman"/>
          <w:b/>
          <w:bCs/>
          <w:sz w:val="24"/>
          <w:szCs w:val="24"/>
          <w:lang w:eastAsia="sk-SK"/>
        </w:rPr>
        <w:lastRenderedPageBreak/>
        <w:t>DOLOŽKA  ZLUČITEĽNOSTI</w:t>
      </w:r>
    </w:p>
    <w:p w14:paraId="60A67AA4" w14:textId="77777777" w:rsidR="0001141A" w:rsidRPr="0001141A" w:rsidRDefault="0001141A" w:rsidP="0001141A">
      <w:pPr>
        <w:widowControl w:val="0"/>
        <w:adjustRightInd w:val="0"/>
        <w:spacing w:after="0" w:line="240" w:lineRule="auto"/>
        <w:jc w:val="center"/>
        <w:rPr>
          <w:rFonts w:ascii="Times New Roman" w:eastAsia="Times New Roman" w:hAnsi="Times New Roman" w:cs="Times New Roman"/>
          <w:b/>
          <w:sz w:val="24"/>
          <w:szCs w:val="24"/>
          <w:lang w:eastAsia="sk-SK"/>
        </w:rPr>
      </w:pPr>
      <w:r w:rsidRPr="0001141A">
        <w:rPr>
          <w:rFonts w:ascii="Times New Roman" w:eastAsia="Times New Roman" w:hAnsi="Times New Roman" w:cs="Times New Roman"/>
          <w:b/>
          <w:sz w:val="24"/>
          <w:szCs w:val="24"/>
          <w:lang w:eastAsia="sk-SK"/>
        </w:rPr>
        <w:t>návrhu 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s právom Európskej únie</w:t>
      </w:r>
    </w:p>
    <w:p w14:paraId="6DBBD299" w14:textId="77777777" w:rsidR="0001141A" w:rsidRPr="0001141A" w:rsidRDefault="0001141A" w:rsidP="0001141A">
      <w:pPr>
        <w:widowControl w:val="0"/>
        <w:pBdr>
          <w:bottom w:val="single" w:sz="12" w:space="1" w:color="auto"/>
        </w:pBdr>
        <w:adjustRightInd w:val="0"/>
        <w:spacing w:after="0" w:line="240" w:lineRule="auto"/>
        <w:jc w:val="center"/>
        <w:rPr>
          <w:rFonts w:ascii="Times New Roman" w:eastAsia="Times New Roman" w:hAnsi="Times New Roman" w:cs="Times New Roman"/>
          <w:sz w:val="24"/>
          <w:szCs w:val="24"/>
          <w:lang w:eastAsia="sk-SK"/>
        </w:rPr>
      </w:pPr>
    </w:p>
    <w:p w14:paraId="598B1C6F" w14:textId="77777777" w:rsidR="0001141A" w:rsidRPr="0001141A" w:rsidRDefault="0001141A" w:rsidP="0001141A">
      <w:pPr>
        <w:widowControl w:val="0"/>
        <w:tabs>
          <w:tab w:val="left" w:pos="284"/>
        </w:tabs>
        <w:autoSpaceDE w:val="0"/>
        <w:autoSpaceDN w:val="0"/>
        <w:spacing w:before="120" w:after="0" w:line="240" w:lineRule="auto"/>
        <w:rPr>
          <w:rFonts w:ascii="Times New Roman" w:eastAsia="Times New Roman" w:hAnsi="Times New Roman" w:cs="Times New Roman"/>
          <w:b/>
          <w:bCs/>
          <w:color w:val="000000"/>
          <w:sz w:val="24"/>
          <w:szCs w:val="24"/>
          <w:lang w:eastAsia="sk-SK"/>
        </w:rPr>
      </w:pPr>
    </w:p>
    <w:p w14:paraId="48CEBB0C" w14:textId="77777777" w:rsidR="0001141A" w:rsidRPr="0001141A" w:rsidRDefault="0001141A" w:rsidP="0001141A">
      <w:pPr>
        <w:widowControl w:val="0"/>
        <w:tabs>
          <w:tab w:val="left" w:pos="284"/>
        </w:tabs>
        <w:autoSpaceDE w:val="0"/>
        <w:autoSpaceDN w:val="0"/>
        <w:spacing w:before="120" w:after="0" w:line="240" w:lineRule="auto"/>
        <w:rPr>
          <w:rFonts w:ascii="Times New Roman" w:eastAsia="Times New Roman" w:hAnsi="Times New Roman" w:cs="Times New Roman"/>
          <w:b/>
          <w:bCs/>
          <w:color w:val="000000"/>
          <w:sz w:val="24"/>
          <w:szCs w:val="24"/>
          <w:lang w:eastAsia="sk-SK"/>
        </w:rPr>
      </w:pPr>
      <w:r w:rsidRPr="0001141A">
        <w:rPr>
          <w:rFonts w:ascii="Times New Roman" w:eastAsia="Times New Roman" w:hAnsi="Times New Roman" w:cs="Times New Roman"/>
          <w:b/>
          <w:bCs/>
          <w:color w:val="000000"/>
          <w:sz w:val="24"/>
          <w:szCs w:val="24"/>
          <w:lang w:eastAsia="sk-SK"/>
        </w:rPr>
        <w:t>1.</w:t>
      </w:r>
      <w:r w:rsidRPr="0001141A">
        <w:rPr>
          <w:rFonts w:ascii="Times New Roman" w:eastAsia="Times New Roman" w:hAnsi="Times New Roman" w:cs="Times New Roman"/>
          <w:b/>
          <w:bCs/>
          <w:color w:val="000000"/>
          <w:sz w:val="24"/>
          <w:szCs w:val="24"/>
          <w:lang w:eastAsia="sk-SK"/>
        </w:rPr>
        <w:tab/>
        <w:t xml:space="preserve">Navrhovateľ zákona: </w:t>
      </w:r>
    </w:p>
    <w:p w14:paraId="3DEA8457" w14:textId="77777777" w:rsidR="0001141A" w:rsidRPr="0001141A" w:rsidRDefault="0001141A" w:rsidP="0001141A">
      <w:pPr>
        <w:widowControl w:val="0"/>
        <w:autoSpaceDE w:val="0"/>
        <w:autoSpaceDN w:val="0"/>
        <w:spacing w:before="120" w:after="0" w:line="240" w:lineRule="auto"/>
        <w:ind w:left="284"/>
        <w:jc w:val="both"/>
        <w:rPr>
          <w:rFonts w:ascii="Times New Roman" w:eastAsia="Times New Roman" w:hAnsi="Times New Roman" w:cs="Times New Roman"/>
          <w:color w:val="000000"/>
          <w:sz w:val="24"/>
          <w:szCs w:val="24"/>
          <w:lang w:eastAsia="sk-SK"/>
        </w:rPr>
      </w:pPr>
      <w:r w:rsidRPr="0001141A">
        <w:rPr>
          <w:rFonts w:ascii="Times New Roman" w:eastAsia="Times New Roman" w:hAnsi="Times New Roman" w:cs="Times New Roman"/>
          <w:color w:val="000000"/>
          <w:sz w:val="24"/>
          <w:szCs w:val="24"/>
          <w:lang w:eastAsia="sk-SK"/>
        </w:rPr>
        <w:t>Vláda Slovenskej republiky.</w:t>
      </w:r>
    </w:p>
    <w:p w14:paraId="68E3D44C" w14:textId="77777777" w:rsidR="0001141A" w:rsidRPr="0001141A" w:rsidRDefault="0001141A" w:rsidP="0001141A">
      <w:pPr>
        <w:widowControl w:val="0"/>
        <w:numPr>
          <w:ilvl w:val="0"/>
          <w:numId w:val="7"/>
        </w:numPr>
        <w:tabs>
          <w:tab w:val="left" w:pos="284"/>
        </w:tabs>
        <w:autoSpaceDE w:val="0"/>
        <w:autoSpaceDN w:val="0"/>
        <w:adjustRightInd w:val="0"/>
        <w:spacing w:before="120" w:after="120" w:line="240" w:lineRule="auto"/>
        <w:ind w:left="0" w:firstLine="0"/>
        <w:jc w:val="both"/>
        <w:rPr>
          <w:rFonts w:ascii="Times New Roman" w:eastAsia="Times New Roman" w:hAnsi="Times New Roman" w:cs="Times New Roman"/>
          <w:b/>
          <w:bCs/>
          <w:color w:val="000000"/>
          <w:sz w:val="24"/>
          <w:szCs w:val="24"/>
          <w:lang w:eastAsia="sk-SK"/>
        </w:rPr>
      </w:pPr>
      <w:r w:rsidRPr="0001141A">
        <w:rPr>
          <w:rFonts w:ascii="Times New Roman" w:eastAsia="Times New Roman" w:hAnsi="Times New Roman" w:cs="Times New Roman"/>
          <w:b/>
          <w:bCs/>
          <w:color w:val="000000"/>
          <w:sz w:val="24"/>
          <w:szCs w:val="24"/>
          <w:lang w:eastAsia="sk-SK"/>
        </w:rPr>
        <w:t xml:space="preserve">Názov návrhu zákona: </w:t>
      </w:r>
    </w:p>
    <w:p w14:paraId="07544785" w14:textId="77777777" w:rsidR="0001141A" w:rsidRPr="0001141A" w:rsidRDefault="0001141A" w:rsidP="0001141A">
      <w:pPr>
        <w:widowControl w:val="0"/>
        <w:adjustRightInd w:val="0"/>
        <w:spacing w:after="240" w:line="240" w:lineRule="auto"/>
        <w:ind w:left="284"/>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sz w:val="24"/>
          <w:szCs w:val="24"/>
          <w:lang w:eastAsia="sk-SK"/>
        </w:rPr>
        <w:t xml:space="preserve">Návrh zákona, ktorým sa mení a dopĺňa zákon č. 609/2007 Z. z. o spotrebnej dani z elektriny, uhlia a zemného plynu a o zmene a doplnení zákona č. 98/2004 Z. z. o spotrebnej dani </w:t>
      </w:r>
      <w:r w:rsidRPr="0001141A">
        <w:rPr>
          <w:rFonts w:ascii="Times New Roman" w:eastAsia="Times New Roman" w:hAnsi="Times New Roman" w:cs="Times New Roman"/>
          <w:sz w:val="24"/>
          <w:szCs w:val="24"/>
          <w:lang w:eastAsia="sk-SK"/>
        </w:rPr>
        <w:br/>
        <w:t>z minerálnych olejov v znení neskorších predpisov v znení neskorších predpisov a ktorým sa menia a dopĺňajú niektoré zákony.</w:t>
      </w:r>
    </w:p>
    <w:p w14:paraId="47487FF9" w14:textId="77777777" w:rsidR="0001141A" w:rsidRPr="0001141A" w:rsidRDefault="0001141A" w:rsidP="0001141A">
      <w:pPr>
        <w:widowControl w:val="0"/>
        <w:numPr>
          <w:ilvl w:val="0"/>
          <w:numId w:val="7"/>
        </w:numPr>
        <w:tabs>
          <w:tab w:val="left" w:pos="284"/>
        </w:tabs>
        <w:autoSpaceDE w:val="0"/>
        <w:autoSpaceDN w:val="0"/>
        <w:adjustRightInd w:val="0"/>
        <w:spacing w:before="120" w:after="120" w:line="240" w:lineRule="auto"/>
        <w:ind w:left="0" w:firstLine="0"/>
        <w:jc w:val="both"/>
        <w:rPr>
          <w:rFonts w:ascii="Times New Roman" w:eastAsia="Times New Roman" w:hAnsi="Times New Roman" w:cs="Times New Roman"/>
          <w:b/>
          <w:bCs/>
          <w:color w:val="000000"/>
          <w:sz w:val="24"/>
          <w:szCs w:val="24"/>
          <w:lang w:eastAsia="sk-SK"/>
        </w:rPr>
      </w:pPr>
      <w:r w:rsidRPr="0001141A">
        <w:rPr>
          <w:rFonts w:ascii="Times New Roman" w:eastAsia="Times New Roman" w:hAnsi="Times New Roman" w:cs="Times New Roman"/>
          <w:b/>
          <w:bCs/>
          <w:sz w:val="24"/>
          <w:szCs w:val="24"/>
          <w:lang w:eastAsia="sk-SK"/>
        </w:rPr>
        <w:t xml:space="preserve">Predmet návrhu zákona </w:t>
      </w:r>
      <w:r w:rsidRPr="0001141A">
        <w:rPr>
          <w:rFonts w:ascii="Times New Roman" w:eastAsia="Times New Roman" w:hAnsi="Times New Roman" w:cs="Times New Roman"/>
          <w:b/>
          <w:sz w:val="24"/>
          <w:szCs w:val="24"/>
          <w:lang w:eastAsia="sk-SK"/>
        </w:rPr>
        <w:t>je upravený v práve Európskej únie</w:t>
      </w:r>
      <w:r w:rsidRPr="0001141A">
        <w:rPr>
          <w:rFonts w:ascii="Times New Roman" w:eastAsia="Times New Roman" w:hAnsi="Times New Roman" w:cs="Times New Roman"/>
          <w:b/>
          <w:bCs/>
          <w:color w:val="000000"/>
          <w:sz w:val="24"/>
          <w:szCs w:val="24"/>
          <w:lang w:eastAsia="sk-SK"/>
        </w:rPr>
        <w:t>:</w:t>
      </w:r>
    </w:p>
    <w:p w14:paraId="43625850" w14:textId="77777777" w:rsidR="0001141A" w:rsidRPr="0001141A" w:rsidRDefault="0001141A" w:rsidP="0001141A">
      <w:pPr>
        <w:widowControl w:val="0"/>
        <w:numPr>
          <w:ilvl w:val="0"/>
          <w:numId w:val="8"/>
        </w:numPr>
        <w:autoSpaceDE w:val="0"/>
        <w:autoSpaceDN w:val="0"/>
        <w:adjustRightInd w:val="0"/>
        <w:spacing w:after="120" w:line="240" w:lineRule="auto"/>
        <w:ind w:left="641" w:hanging="357"/>
        <w:rPr>
          <w:rFonts w:ascii="Times New Roman" w:eastAsia="Times New Roman" w:hAnsi="Times New Roman" w:cs="Times New Roman"/>
          <w:color w:val="000000"/>
          <w:sz w:val="24"/>
          <w:szCs w:val="24"/>
          <w:lang w:eastAsia="sk-SK"/>
        </w:rPr>
      </w:pPr>
      <w:r w:rsidRPr="0001141A">
        <w:rPr>
          <w:rFonts w:ascii="Times New Roman" w:eastAsia="Times New Roman" w:hAnsi="Times New Roman" w:cs="Times New Roman"/>
          <w:b/>
          <w:color w:val="000000"/>
          <w:sz w:val="24"/>
          <w:szCs w:val="24"/>
          <w:lang w:eastAsia="sk-SK"/>
        </w:rPr>
        <w:t>Primárne právo:</w:t>
      </w:r>
    </w:p>
    <w:p w14:paraId="2EE2BB46" w14:textId="77777777" w:rsidR="0001141A" w:rsidRPr="0001141A" w:rsidRDefault="0001141A" w:rsidP="0001141A">
      <w:pPr>
        <w:widowControl w:val="0"/>
        <w:numPr>
          <w:ilvl w:val="0"/>
          <w:numId w:val="6"/>
        </w:numPr>
        <w:autoSpaceDE w:val="0"/>
        <w:autoSpaceDN w:val="0"/>
        <w:adjustRightInd w:val="0"/>
        <w:spacing w:after="120" w:line="240" w:lineRule="auto"/>
        <w:ind w:left="658" w:hanging="357"/>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color w:val="000000"/>
          <w:sz w:val="24"/>
          <w:szCs w:val="24"/>
          <w:lang w:eastAsia="sk-SK"/>
        </w:rPr>
        <w:t>čl. 110 až 113 a čl. 355 Zmluvy o fungovaní Európskej únie (</w:t>
      </w:r>
      <w:r w:rsidRPr="0001141A">
        <w:rPr>
          <w:rFonts w:ascii="Times New Roman" w:eastAsia="Times New Roman" w:hAnsi="Times New Roman" w:cs="Times New Roman"/>
          <w:sz w:val="24"/>
          <w:szCs w:val="24"/>
          <w:lang w:eastAsia="sk-SK"/>
        </w:rPr>
        <w:t>Ú. v. EÚ C 202, 7.6.2016),</w:t>
      </w:r>
    </w:p>
    <w:p w14:paraId="4B372779" w14:textId="77777777" w:rsidR="0001141A" w:rsidRPr="0001141A" w:rsidRDefault="0001141A" w:rsidP="0001141A">
      <w:pPr>
        <w:widowControl w:val="0"/>
        <w:numPr>
          <w:ilvl w:val="0"/>
          <w:numId w:val="6"/>
        </w:numPr>
        <w:autoSpaceDE w:val="0"/>
        <w:autoSpaceDN w:val="0"/>
        <w:adjustRightInd w:val="0"/>
        <w:spacing w:after="240" w:line="240" w:lineRule="auto"/>
        <w:ind w:left="658" w:hanging="357"/>
        <w:rPr>
          <w:rFonts w:ascii="Times New Roman" w:eastAsia="Times New Roman" w:hAnsi="Times New Roman" w:cs="Times New Roman"/>
          <w:color w:val="000000"/>
          <w:sz w:val="24"/>
          <w:szCs w:val="24"/>
          <w:lang w:eastAsia="sk-SK"/>
        </w:rPr>
      </w:pPr>
      <w:r w:rsidRPr="0001141A">
        <w:rPr>
          <w:rFonts w:ascii="Times New Roman" w:eastAsia="Times New Roman" w:hAnsi="Times New Roman" w:cs="Times New Roman"/>
          <w:sz w:val="24"/>
          <w:szCs w:val="24"/>
          <w:lang w:eastAsia="sk-SK"/>
        </w:rPr>
        <w:t>čl. 52 Zmluvy o Európskej únii (Ú. v. EÚ C 202, 7.6.2016).</w:t>
      </w:r>
    </w:p>
    <w:p w14:paraId="1DF22BE5" w14:textId="77777777" w:rsidR="0001141A" w:rsidRPr="0001141A" w:rsidRDefault="0001141A" w:rsidP="0001141A">
      <w:pPr>
        <w:widowControl w:val="0"/>
        <w:numPr>
          <w:ilvl w:val="0"/>
          <w:numId w:val="8"/>
        </w:numPr>
        <w:autoSpaceDE w:val="0"/>
        <w:autoSpaceDN w:val="0"/>
        <w:adjustRightInd w:val="0"/>
        <w:spacing w:after="0" w:line="240" w:lineRule="auto"/>
        <w:ind w:left="454" w:hanging="170"/>
        <w:contextualSpacing/>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b/>
          <w:sz w:val="24"/>
          <w:szCs w:val="24"/>
          <w:lang w:eastAsia="sk-SK"/>
        </w:rPr>
        <w:t>Sekundárne právo:</w:t>
      </w:r>
    </w:p>
    <w:p w14:paraId="6E8AA8FC" w14:textId="77777777" w:rsidR="0001141A" w:rsidRPr="0001141A" w:rsidRDefault="0001141A" w:rsidP="000114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881BF9C"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i/>
          <w:noProof/>
          <w:sz w:val="24"/>
          <w:szCs w:val="24"/>
          <w:lang w:eastAsia="sk-SK"/>
        </w:rPr>
      </w:pPr>
      <w:r w:rsidRPr="0001141A">
        <w:rPr>
          <w:rFonts w:ascii="Times New Roman" w:eastAsia="Times New Roman" w:hAnsi="Times New Roman" w:cs="Times New Roman"/>
          <w:bCs/>
          <w:sz w:val="24"/>
          <w:szCs w:val="24"/>
          <w:lang w:eastAsia="sk-SK"/>
        </w:rPr>
        <w:t>smernica Rady (EÚ) 2020/262 z 19. decembra 2019, ktorou sa ustanovuje všeobecný systém spotrebných daní (prepracované znenie)</w:t>
      </w:r>
      <w:r w:rsidRPr="0001141A">
        <w:rPr>
          <w:rFonts w:ascii="Times New Roman" w:eastAsia="Times New Roman" w:hAnsi="Times New Roman" w:cs="Times New Roman"/>
          <w:noProof/>
          <w:sz w:val="24"/>
          <w:szCs w:val="24"/>
          <w:lang w:eastAsia="sk-SK"/>
        </w:rPr>
        <w:t xml:space="preserve"> </w:t>
      </w:r>
      <w:r w:rsidRPr="0001141A">
        <w:rPr>
          <w:rFonts w:ascii="Times New Roman" w:eastAsia="Times New Roman" w:hAnsi="Times New Roman" w:cs="Times New Roman"/>
          <w:sz w:val="24"/>
          <w:szCs w:val="24"/>
          <w:lang w:eastAsia="sk-SK"/>
        </w:rPr>
        <w:t xml:space="preserve">(Ú. v. EÚ L 58, 27.2.2020), v platnom znení, gestor: </w:t>
      </w:r>
      <w:r w:rsidRPr="0001141A">
        <w:rPr>
          <w:rFonts w:ascii="Times New Roman" w:eastAsia="Times New Roman" w:hAnsi="Times New Roman" w:cs="Times New Roman"/>
          <w:noProof/>
          <w:sz w:val="24"/>
          <w:szCs w:val="24"/>
          <w:lang w:eastAsia="sk-SK"/>
        </w:rPr>
        <w:t>MF SR,</w:t>
      </w:r>
    </w:p>
    <w:p w14:paraId="04A0AB74"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i/>
          <w:sz w:val="24"/>
          <w:szCs w:val="24"/>
          <w:lang w:eastAsia="sk-SK"/>
        </w:rPr>
      </w:pPr>
      <w:r w:rsidRPr="0001141A">
        <w:rPr>
          <w:rFonts w:ascii="Times New Roman" w:eastAsia="Times New Roman" w:hAnsi="Times New Roman" w:cs="Times New Roman"/>
          <w:bCs/>
          <w:sz w:val="24"/>
          <w:szCs w:val="24"/>
          <w:lang w:eastAsia="sk-SK"/>
        </w:rPr>
        <w:t>smernica Rady 2003/96/ES z 27. októbra 2003 o reštrukturalizácii právneho rámca spoločenstva pre zdaňovanie energetických výrobkov a elektriny (</w:t>
      </w:r>
      <w:r w:rsidRPr="0001141A">
        <w:rPr>
          <w:rFonts w:ascii="Times New Roman" w:eastAsia="Times New Roman" w:hAnsi="Times New Roman" w:cs="Times New Roman"/>
          <w:bCs/>
          <w:iCs/>
          <w:sz w:val="24"/>
          <w:szCs w:val="24"/>
          <w:lang w:eastAsia="sk-SK"/>
        </w:rPr>
        <w:t xml:space="preserve">Mimoriadne vydanie Ú. v. EÚ kap. 9/zv. 1; </w:t>
      </w:r>
      <w:r w:rsidRPr="0001141A">
        <w:rPr>
          <w:rFonts w:ascii="Times New Roman" w:eastAsia="Times New Roman" w:hAnsi="Times New Roman" w:cs="Times New Roman"/>
          <w:bCs/>
          <w:sz w:val="24"/>
          <w:szCs w:val="24"/>
          <w:lang w:eastAsia="sk-SK"/>
        </w:rPr>
        <w:t>Ú. v. EÚ L 283, 31.10.2003</w:t>
      </w:r>
      <w:r w:rsidRPr="0001141A">
        <w:rPr>
          <w:rFonts w:ascii="Times New Roman" w:eastAsia="Times New Roman" w:hAnsi="Times New Roman" w:cs="Times New Roman"/>
          <w:bCs/>
          <w:iCs/>
          <w:sz w:val="24"/>
          <w:szCs w:val="24"/>
          <w:lang w:eastAsia="sk-SK"/>
        </w:rPr>
        <w:t xml:space="preserve">), </w:t>
      </w:r>
      <w:r w:rsidRPr="0001141A">
        <w:rPr>
          <w:rFonts w:ascii="Times New Roman" w:eastAsia="Times New Roman" w:hAnsi="Times New Roman" w:cs="Times New Roman"/>
          <w:bCs/>
          <w:sz w:val="24"/>
          <w:szCs w:val="24"/>
          <w:lang w:eastAsia="sk-SK"/>
        </w:rPr>
        <w:t xml:space="preserve">v platnom znení, </w:t>
      </w:r>
      <w:r w:rsidRPr="0001141A">
        <w:rPr>
          <w:rFonts w:ascii="Times New Roman" w:eastAsia="Times New Roman" w:hAnsi="Times New Roman" w:cs="Times New Roman"/>
          <w:bCs/>
          <w:iCs/>
          <w:sz w:val="24"/>
          <w:szCs w:val="24"/>
          <w:lang w:eastAsia="sk-SK"/>
        </w:rPr>
        <w:t xml:space="preserve">gestor: </w:t>
      </w:r>
      <w:r w:rsidRPr="0001141A">
        <w:rPr>
          <w:rFonts w:ascii="Times New Roman" w:eastAsia="Times New Roman" w:hAnsi="Times New Roman" w:cs="Times New Roman"/>
          <w:bCs/>
          <w:sz w:val="24"/>
          <w:szCs w:val="24"/>
          <w:lang w:eastAsia="sk-SK"/>
        </w:rPr>
        <w:t>MF SR, spolugestor: MH SR</w:t>
      </w:r>
      <w:r w:rsidRPr="0001141A">
        <w:rPr>
          <w:rFonts w:ascii="Times New Roman" w:eastAsia="Times New Roman" w:hAnsi="Times New Roman" w:cs="Times New Roman"/>
          <w:bCs/>
          <w:iCs/>
          <w:sz w:val="24"/>
          <w:szCs w:val="24"/>
          <w:lang w:eastAsia="sk-SK"/>
        </w:rPr>
        <w:t>,</w:t>
      </w:r>
    </w:p>
    <w:p w14:paraId="22DE2436"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bCs/>
          <w:sz w:val="24"/>
          <w:szCs w:val="24"/>
          <w:lang w:eastAsia="sk-SK"/>
        </w:rPr>
        <w:t>smernica Európskeho parlamentu a Rady (EÚ) 2023/959 z 10. mája 2023, ktorou sa mení smernica 2003/87/ES o vytvorení systému obchodovania s emisnými kvótami skleníkových plynov v Únii a rozhodnutie (EÚ) 2015/1814 o zriadení a prevádzke trhovej stabilizačnej rezervy systému obchodovania s emisnými kvótami skleníkových plynov v Únii (Ú. v. EÚ L 130, 16.5.2023) v platnom znení, gestor: MŽP SR,</w:t>
      </w:r>
    </w:p>
    <w:p w14:paraId="3F1FDF65"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nariadenie Európskeho parlamentu a Rady (EÚ) č. 952/2013 z  9. októbra 2013, ktorým sa ustanovuje Colný kódex Únie (prepracované znenie) (</w:t>
      </w:r>
      <w:r w:rsidRPr="0001141A">
        <w:rPr>
          <w:rFonts w:ascii="Times New Roman" w:eastAsia="Times New Roman" w:hAnsi="Times New Roman" w:cs="Times New Roman"/>
          <w:bCs/>
          <w:iCs/>
          <w:sz w:val="24"/>
          <w:szCs w:val="24"/>
          <w:lang w:eastAsia="sk-SK"/>
        </w:rPr>
        <w:t>Ú. v. EÚ L 269, 10.10.2013),</w:t>
      </w:r>
      <w:r w:rsidRPr="0001141A">
        <w:rPr>
          <w:rFonts w:ascii="Times New Roman" w:eastAsia="Times New Roman" w:hAnsi="Times New Roman" w:cs="Times New Roman"/>
          <w:bCs/>
          <w:sz w:val="24"/>
          <w:szCs w:val="24"/>
          <w:lang w:eastAsia="sk-SK"/>
        </w:rPr>
        <w:t xml:space="preserve"> v platnom znení, </w:t>
      </w:r>
      <w:r w:rsidRPr="0001141A">
        <w:rPr>
          <w:rFonts w:ascii="Times New Roman" w:eastAsia="Times New Roman" w:hAnsi="Times New Roman" w:cs="Times New Roman"/>
          <w:bCs/>
          <w:iCs/>
          <w:sz w:val="24"/>
          <w:szCs w:val="24"/>
          <w:lang w:eastAsia="sk-SK"/>
        </w:rPr>
        <w:t xml:space="preserve">gestor: </w:t>
      </w:r>
      <w:r w:rsidRPr="0001141A">
        <w:rPr>
          <w:rFonts w:ascii="Times New Roman" w:eastAsia="Times New Roman" w:hAnsi="Times New Roman" w:cs="Times New Roman"/>
          <w:bCs/>
          <w:sz w:val="24"/>
          <w:szCs w:val="24"/>
          <w:lang w:eastAsia="sk-SK"/>
        </w:rPr>
        <w:t>MF SR</w:t>
      </w:r>
      <w:r w:rsidRPr="0001141A">
        <w:rPr>
          <w:rFonts w:ascii="Times New Roman" w:eastAsia="Times New Roman" w:hAnsi="Times New Roman" w:cs="Times New Roman"/>
          <w:bCs/>
          <w:iCs/>
          <w:sz w:val="24"/>
          <w:szCs w:val="24"/>
          <w:lang w:eastAsia="sk-SK"/>
        </w:rPr>
        <w:t>,</w:t>
      </w:r>
    </w:p>
    <w:p w14:paraId="44C9ECE0"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nariadenie Rady (EÚ) č. 389/2012 z 2. mája 2012 o administratívnej spolupráci v oblasti spotrebných daní a zrušení nariadenia ES č. 2073/2004 (</w:t>
      </w:r>
      <w:r w:rsidRPr="0001141A">
        <w:rPr>
          <w:rFonts w:ascii="Times New Roman" w:eastAsia="Times New Roman" w:hAnsi="Times New Roman" w:cs="Times New Roman"/>
          <w:bCs/>
          <w:iCs/>
          <w:sz w:val="24"/>
          <w:szCs w:val="24"/>
          <w:lang w:eastAsia="sk-SK"/>
        </w:rPr>
        <w:t xml:space="preserve">Ú. v. EÚ L 121, 8.5. 2012) v platnom znení, gestor: </w:t>
      </w:r>
      <w:r w:rsidRPr="0001141A">
        <w:rPr>
          <w:rFonts w:ascii="Times New Roman" w:eastAsia="Times New Roman" w:hAnsi="Times New Roman" w:cs="Times New Roman"/>
          <w:bCs/>
          <w:sz w:val="24"/>
          <w:szCs w:val="24"/>
          <w:lang w:eastAsia="sk-SK"/>
        </w:rPr>
        <w:t>MF SR</w:t>
      </w:r>
      <w:r w:rsidRPr="0001141A">
        <w:rPr>
          <w:rFonts w:ascii="Times New Roman" w:eastAsia="Times New Roman" w:hAnsi="Times New Roman" w:cs="Times New Roman"/>
          <w:bCs/>
          <w:iCs/>
          <w:sz w:val="24"/>
          <w:szCs w:val="24"/>
          <w:lang w:eastAsia="sk-SK"/>
        </w:rPr>
        <w:t>,</w:t>
      </w:r>
    </w:p>
    <w:p w14:paraId="11911649"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bCs/>
          <w:sz w:val="24"/>
          <w:szCs w:val="24"/>
          <w:lang w:eastAsia="sk-SK"/>
        </w:rPr>
        <w:t>nariadenie Rady (EHS) č. 2658/87 z 23. júla 1987 o colnej a štatistickej nomenklatúre a o Spoločnom colnom sadzobníku (Mimoriadne vydanie Ú.v. EÚ kap. 2/zv. 2;</w:t>
      </w:r>
      <w:r w:rsidRPr="0001141A">
        <w:rPr>
          <w:rFonts w:ascii="Times New Roman" w:eastAsia="Times New Roman" w:hAnsi="Times New Roman" w:cs="Times New Roman"/>
          <w:noProof/>
          <w:sz w:val="24"/>
          <w:szCs w:val="24"/>
          <w:lang w:eastAsia="sk-SK"/>
        </w:rPr>
        <w:t xml:space="preserve"> Ú. v. ES L 256, 7.9.1987</w:t>
      </w:r>
      <w:r w:rsidRPr="0001141A">
        <w:rPr>
          <w:rFonts w:ascii="Times New Roman" w:eastAsia="Times New Roman" w:hAnsi="Times New Roman" w:cs="Times New Roman"/>
          <w:iCs/>
          <w:sz w:val="24"/>
          <w:szCs w:val="24"/>
          <w:shd w:val="clear" w:color="auto" w:fill="FFFFFF"/>
          <w:lang w:eastAsia="sk-SK"/>
        </w:rPr>
        <w:t xml:space="preserve">) v platnom znení, </w:t>
      </w:r>
      <w:r w:rsidRPr="0001141A">
        <w:rPr>
          <w:rFonts w:ascii="Times New Roman" w:eastAsia="Times New Roman" w:hAnsi="Times New Roman" w:cs="Times New Roman"/>
          <w:iCs/>
          <w:sz w:val="24"/>
          <w:szCs w:val="24"/>
          <w:lang w:eastAsia="sk-SK"/>
        </w:rPr>
        <w:t>gestor: nebol určený,</w:t>
      </w:r>
    </w:p>
    <w:p w14:paraId="061097E2"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 xml:space="preserve">vykonávacie nariadenie Komisie (EÚ) 2024/2522 z 23. septembra 2024, ktorým sa mení </w:t>
      </w:r>
      <w:r w:rsidRPr="0001141A">
        <w:rPr>
          <w:rFonts w:ascii="Times New Roman" w:eastAsia="Times New Roman" w:hAnsi="Times New Roman" w:cs="Times New Roman"/>
          <w:bCs/>
          <w:sz w:val="24"/>
          <w:szCs w:val="24"/>
          <w:lang w:eastAsia="sk-SK"/>
        </w:rPr>
        <w:lastRenderedPageBreak/>
        <w:t xml:space="preserve">príloha I k nariadeniu Rady (EHS) č. 2658/87 o colnej a štatistickej nomenklatúre </w:t>
      </w:r>
      <w:r w:rsidRPr="0001141A">
        <w:rPr>
          <w:rFonts w:ascii="Times New Roman" w:eastAsia="Times New Roman" w:hAnsi="Times New Roman" w:cs="Times New Roman"/>
          <w:bCs/>
          <w:sz w:val="24"/>
          <w:szCs w:val="24"/>
          <w:lang w:eastAsia="sk-SK"/>
        </w:rPr>
        <w:br/>
        <w:t xml:space="preserve">a o Spoločnom colnom sadzobníku (Ú. v. EÚ L, 2024/2522, 31.10.2024) v platnom znení, </w:t>
      </w:r>
      <w:r w:rsidRPr="0001141A">
        <w:rPr>
          <w:rFonts w:ascii="Times New Roman" w:eastAsia="Times New Roman" w:hAnsi="Times New Roman" w:cs="Times New Roman"/>
          <w:bCs/>
          <w:iCs/>
          <w:sz w:val="24"/>
          <w:szCs w:val="24"/>
          <w:lang w:eastAsia="sk-SK"/>
        </w:rPr>
        <w:t>gestor: nebol určený,</w:t>
      </w:r>
    </w:p>
    <w:p w14:paraId="459F76C4"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delegované nariadenie Komisie (EÚ) 2019/331 z 19. decembra 2018, ktorým sa ustanovujú prechodné pravidlá harmonizácie bezodplatného prideľovania emisných kvót podľa článku 10a smernice Európskeho parlamentu a Rady 2003/87/ES, platné v celej Únii (Ú. v. EÚ L 59, 27.2.2019), gestor: MŽP SR,</w:t>
      </w:r>
    </w:p>
    <w:p w14:paraId="119C29DA"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delegované nariadenie Komisie (EÚ) 2022/1636 z 5. júla 2022, ktorým sa dopĺňa smernica Rady (EÚ) 2020/262 stanovením štruktúry a obsahu dokumentov, ktoré sa vymieňajú v súvislosti s prepravou tovaru podliehajúceho spotrebnej dani, a stanovením prahu pre straty z dôvodu povahy tovaru (Ú. v. EÚ L 247, 23.9.2022), gestor: MF SR.</w:t>
      </w:r>
    </w:p>
    <w:p w14:paraId="2EFE5235" w14:textId="77777777" w:rsidR="0001141A" w:rsidRPr="0001141A" w:rsidRDefault="0001141A" w:rsidP="0001141A">
      <w:pPr>
        <w:widowControl w:val="0"/>
        <w:adjustRightInd w:val="0"/>
        <w:spacing w:after="120" w:line="240" w:lineRule="auto"/>
        <w:jc w:val="both"/>
        <w:rPr>
          <w:rFonts w:ascii="Times New Roman" w:eastAsia="Times New Roman" w:hAnsi="Times New Roman" w:cs="Times New Roman"/>
          <w:sz w:val="24"/>
          <w:szCs w:val="24"/>
          <w:lang w:eastAsia="sk-SK"/>
        </w:rPr>
      </w:pPr>
    </w:p>
    <w:p w14:paraId="6DA49611" w14:textId="77777777" w:rsidR="0001141A" w:rsidRPr="0001141A" w:rsidRDefault="0001141A" w:rsidP="0001141A">
      <w:pPr>
        <w:spacing w:after="240" w:line="240" w:lineRule="auto"/>
        <w:ind w:left="681" w:hanging="397"/>
        <w:rPr>
          <w:rFonts w:ascii="Times New Roman" w:eastAsia="Times New Roman" w:hAnsi="Times New Roman" w:cs="Times New Roman"/>
          <w:sz w:val="24"/>
          <w:szCs w:val="24"/>
          <w:lang w:eastAsia="cs-CZ"/>
        </w:rPr>
      </w:pPr>
      <w:r w:rsidRPr="0001141A">
        <w:rPr>
          <w:rFonts w:ascii="Times New Roman" w:eastAsia="Times New Roman" w:hAnsi="Times New Roman" w:cs="Times New Roman"/>
          <w:sz w:val="24"/>
          <w:szCs w:val="24"/>
          <w:lang w:eastAsia="cs-CZ"/>
        </w:rPr>
        <w:t>c)</w:t>
      </w:r>
      <w:r w:rsidRPr="0001141A">
        <w:rPr>
          <w:rFonts w:ascii="Times New Roman" w:eastAsia="Times New Roman" w:hAnsi="Times New Roman" w:cs="Times New Roman"/>
          <w:sz w:val="24"/>
          <w:szCs w:val="24"/>
          <w:lang w:eastAsia="cs-CZ"/>
        </w:rPr>
        <w:tab/>
      </w:r>
      <w:r w:rsidRPr="0001141A">
        <w:rPr>
          <w:rFonts w:ascii="Times New Roman" w:eastAsia="Times New Roman" w:hAnsi="Times New Roman" w:cs="Times New Roman"/>
          <w:b/>
          <w:sz w:val="24"/>
          <w:szCs w:val="24"/>
          <w:lang w:eastAsia="cs-CZ"/>
        </w:rPr>
        <w:t>Judikatúra Súdneho dvora Európskej únie</w:t>
      </w:r>
      <w:r w:rsidRPr="0001141A">
        <w:rPr>
          <w:rFonts w:ascii="Times New Roman" w:eastAsia="Times New Roman" w:hAnsi="Times New Roman" w:cs="Times New Roman"/>
          <w:sz w:val="24"/>
          <w:szCs w:val="24"/>
          <w:lang w:eastAsia="cs-CZ"/>
        </w:rPr>
        <w:t>:</w:t>
      </w:r>
    </w:p>
    <w:p w14:paraId="5E1DE9B5" w14:textId="77777777" w:rsidR="0001141A" w:rsidRPr="0001141A" w:rsidRDefault="0001141A" w:rsidP="0001141A">
      <w:pPr>
        <w:widowControl w:val="0"/>
        <w:numPr>
          <w:ilvl w:val="0"/>
          <w:numId w:val="6"/>
        </w:numPr>
        <w:autoSpaceDE w:val="0"/>
        <w:autoSpaceDN w:val="0"/>
        <w:adjustRightInd w:val="0"/>
        <w:spacing w:after="240" w:line="240" w:lineRule="auto"/>
        <w:ind w:hanging="376"/>
        <w:jc w:val="both"/>
        <w:rPr>
          <w:rFonts w:ascii="Times New Roman" w:eastAsia="Times New Roman" w:hAnsi="Times New Roman" w:cs="Times New Roman"/>
          <w:sz w:val="24"/>
          <w:szCs w:val="24"/>
          <w:lang w:eastAsia="cs-CZ"/>
        </w:rPr>
      </w:pPr>
      <w:r w:rsidRPr="0001141A">
        <w:rPr>
          <w:rFonts w:ascii="Times New Roman" w:eastAsia="Times New Roman" w:hAnsi="Times New Roman" w:cs="Times New Roman"/>
          <w:bCs/>
          <w:sz w:val="24"/>
          <w:szCs w:val="24"/>
          <w:lang w:eastAsia="cs-CZ"/>
        </w:rPr>
        <w:t xml:space="preserve">rozhodnutie Súdneho dvora (prvá komora) vo veci C - 606/13, </w:t>
      </w:r>
      <w:r w:rsidRPr="0001141A">
        <w:rPr>
          <w:rFonts w:ascii="Times New Roman" w:eastAsia="Times New Roman" w:hAnsi="Times New Roman" w:cs="Times New Roman"/>
          <w:bCs/>
          <w:color w:val="000000"/>
          <w:sz w:val="24"/>
          <w:szCs w:val="24"/>
          <w:lang w:val="cs-CZ" w:eastAsia="cs-CZ"/>
        </w:rPr>
        <w:t xml:space="preserve">OKG AB </w:t>
      </w:r>
      <w:r w:rsidRPr="0001141A">
        <w:rPr>
          <w:rFonts w:ascii="Times New Roman" w:eastAsia="Times New Roman" w:hAnsi="Times New Roman" w:cs="Times New Roman"/>
          <w:bCs/>
          <w:sz w:val="24"/>
          <w:szCs w:val="24"/>
          <w:lang w:eastAsia="cs-CZ"/>
        </w:rPr>
        <w:t xml:space="preserve">proti </w:t>
      </w:r>
      <w:r w:rsidRPr="0001141A">
        <w:rPr>
          <w:rFonts w:ascii="Times New Roman" w:eastAsia="Times New Roman" w:hAnsi="Times New Roman" w:cs="Times New Roman"/>
          <w:bCs/>
          <w:color w:val="000000"/>
          <w:sz w:val="24"/>
          <w:szCs w:val="24"/>
          <w:lang w:val="cs-CZ" w:eastAsia="cs-CZ"/>
        </w:rPr>
        <w:t>Skatteverket,</w:t>
      </w:r>
      <w:r w:rsidRPr="0001141A">
        <w:rPr>
          <w:rFonts w:ascii="Times New Roman" w:eastAsia="Times New Roman" w:hAnsi="Times New Roman" w:cs="Times New Roman"/>
          <w:bCs/>
          <w:sz w:val="24"/>
          <w:szCs w:val="24"/>
          <w:lang w:eastAsia="cs-CZ"/>
        </w:rPr>
        <w:t xml:space="preserve"> [</w:t>
      </w:r>
      <w:r w:rsidRPr="0001141A">
        <w:rPr>
          <w:rFonts w:ascii="Times New Roman" w:eastAsia="Times New Roman" w:hAnsi="Times New Roman" w:cs="Times New Roman"/>
          <w:iCs/>
          <w:sz w:val="24"/>
          <w:szCs w:val="24"/>
          <w:lang w:eastAsia="cs-CZ"/>
        </w:rPr>
        <w:t>2015].</w:t>
      </w:r>
    </w:p>
    <w:p w14:paraId="3C9BB55F" w14:textId="77777777" w:rsidR="0001141A" w:rsidRPr="0001141A" w:rsidRDefault="0001141A" w:rsidP="0001141A">
      <w:pPr>
        <w:widowControl w:val="0"/>
        <w:numPr>
          <w:ilvl w:val="0"/>
          <w:numId w:val="6"/>
        </w:numPr>
        <w:autoSpaceDE w:val="0"/>
        <w:autoSpaceDN w:val="0"/>
        <w:adjustRightInd w:val="0"/>
        <w:spacing w:after="240" w:line="240" w:lineRule="auto"/>
        <w:jc w:val="both"/>
        <w:rPr>
          <w:rFonts w:ascii="Times New Roman" w:eastAsia="Times New Roman" w:hAnsi="Times New Roman" w:cs="Times New Roman"/>
          <w:sz w:val="24"/>
          <w:szCs w:val="24"/>
          <w:lang w:eastAsia="cs-CZ"/>
        </w:rPr>
      </w:pPr>
      <w:r w:rsidRPr="0001141A">
        <w:rPr>
          <w:rFonts w:ascii="Times New Roman" w:eastAsia="Times New Roman" w:hAnsi="Times New Roman" w:cs="Times New Roman"/>
          <w:sz w:val="24"/>
          <w:szCs w:val="24"/>
          <w:lang w:eastAsia="cs-CZ"/>
        </w:rPr>
        <w:t xml:space="preserve">rozhodnutie Súdneho dvora </w:t>
      </w:r>
      <w:r w:rsidRPr="0001141A">
        <w:rPr>
          <w:rFonts w:ascii="Times New Roman" w:eastAsia="Times New Roman" w:hAnsi="Times New Roman" w:cs="Times New Roman"/>
          <w:bCs/>
          <w:sz w:val="24"/>
          <w:szCs w:val="24"/>
          <w:lang w:eastAsia="cs-CZ"/>
        </w:rPr>
        <w:t xml:space="preserve">(desiata komora) </w:t>
      </w:r>
      <w:r w:rsidRPr="0001141A">
        <w:rPr>
          <w:rFonts w:ascii="Times New Roman" w:eastAsia="Times New Roman" w:hAnsi="Times New Roman" w:cs="Times New Roman"/>
          <w:sz w:val="24"/>
          <w:szCs w:val="24"/>
          <w:lang w:eastAsia="cs-CZ"/>
        </w:rPr>
        <w:t xml:space="preserve">vo veci C - 349/13, Minister Finansów proti Oil Trading Poland sp. z o.o, </w:t>
      </w:r>
      <w:r w:rsidRPr="0001141A">
        <w:rPr>
          <w:rFonts w:ascii="Times New Roman" w:eastAsia="Times New Roman" w:hAnsi="Times New Roman" w:cs="Times New Roman"/>
          <w:bCs/>
          <w:sz w:val="24"/>
          <w:szCs w:val="24"/>
          <w:lang w:eastAsia="cs-CZ"/>
        </w:rPr>
        <w:t>[</w:t>
      </w:r>
      <w:r w:rsidRPr="0001141A">
        <w:rPr>
          <w:rFonts w:ascii="Times New Roman" w:eastAsia="Times New Roman" w:hAnsi="Times New Roman" w:cs="Times New Roman"/>
          <w:iCs/>
          <w:sz w:val="24"/>
          <w:szCs w:val="24"/>
          <w:lang w:eastAsia="cs-CZ"/>
        </w:rPr>
        <w:t>2015].</w:t>
      </w:r>
    </w:p>
    <w:p w14:paraId="3C89D793" w14:textId="77777777" w:rsidR="0001141A" w:rsidRPr="0001141A" w:rsidRDefault="0001141A" w:rsidP="0001141A">
      <w:pPr>
        <w:widowControl w:val="0"/>
        <w:numPr>
          <w:ilvl w:val="0"/>
          <w:numId w:val="6"/>
        </w:numPr>
        <w:autoSpaceDE w:val="0"/>
        <w:autoSpaceDN w:val="0"/>
        <w:adjustRightInd w:val="0"/>
        <w:spacing w:after="240" w:line="240" w:lineRule="auto"/>
        <w:jc w:val="both"/>
        <w:rPr>
          <w:rFonts w:ascii="Times New Roman" w:eastAsia="Times New Roman" w:hAnsi="Times New Roman" w:cs="Times New Roman"/>
          <w:sz w:val="24"/>
          <w:szCs w:val="24"/>
          <w:lang w:eastAsia="cs-CZ"/>
        </w:rPr>
      </w:pPr>
      <w:r w:rsidRPr="0001141A">
        <w:rPr>
          <w:rFonts w:ascii="Times New Roman" w:eastAsia="Times New Roman" w:hAnsi="Times New Roman" w:cs="Times New Roman"/>
          <w:sz w:val="24"/>
          <w:szCs w:val="24"/>
          <w:lang w:val="cs-CZ" w:eastAsia="cs-CZ"/>
        </w:rPr>
        <w:t>rozhodnutie Súdneho dvora (</w:t>
      </w:r>
      <w:r w:rsidRPr="0001141A">
        <w:rPr>
          <w:rFonts w:ascii="Times New Roman" w:eastAsia="Times New Roman" w:hAnsi="Times New Roman" w:cs="Times New Roman"/>
          <w:bCs/>
          <w:sz w:val="24"/>
          <w:szCs w:val="24"/>
          <w:lang w:eastAsia="cs-CZ"/>
        </w:rPr>
        <w:t xml:space="preserve">tretia komora) </w:t>
      </w:r>
      <w:r w:rsidRPr="0001141A">
        <w:rPr>
          <w:rFonts w:ascii="Times New Roman" w:eastAsia="Times New Roman" w:hAnsi="Times New Roman" w:cs="Times New Roman"/>
          <w:sz w:val="24"/>
          <w:szCs w:val="24"/>
          <w:lang w:val="cs-CZ" w:eastAsia="cs-CZ"/>
        </w:rPr>
        <w:t xml:space="preserve">vo veci C - 82/12, Transportes Jordi Besora SL proti Generalitat de Catalunya, </w:t>
      </w:r>
      <w:r w:rsidRPr="0001141A">
        <w:rPr>
          <w:rFonts w:ascii="Times New Roman" w:eastAsia="Times New Roman" w:hAnsi="Times New Roman" w:cs="Times New Roman"/>
          <w:bCs/>
          <w:sz w:val="24"/>
          <w:szCs w:val="24"/>
          <w:lang w:eastAsia="cs-CZ"/>
        </w:rPr>
        <w:t>[</w:t>
      </w:r>
      <w:r w:rsidRPr="0001141A">
        <w:rPr>
          <w:rFonts w:ascii="Times New Roman" w:eastAsia="Times New Roman" w:hAnsi="Times New Roman" w:cs="Times New Roman"/>
          <w:iCs/>
          <w:sz w:val="24"/>
          <w:szCs w:val="24"/>
          <w:lang w:eastAsia="cs-CZ"/>
        </w:rPr>
        <w:t>2014].</w:t>
      </w:r>
    </w:p>
    <w:p w14:paraId="0F2008FC" w14:textId="77777777" w:rsidR="0001141A" w:rsidRPr="0001141A" w:rsidRDefault="0001141A" w:rsidP="0001141A">
      <w:pPr>
        <w:widowControl w:val="0"/>
        <w:adjustRightInd w:val="0"/>
        <w:spacing w:after="0" w:line="240" w:lineRule="auto"/>
        <w:rPr>
          <w:rFonts w:ascii="Times New Roman" w:eastAsia="Times New Roman" w:hAnsi="Times New Roman" w:cs="Times New Roman"/>
          <w:sz w:val="24"/>
          <w:szCs w:val="24"/>
          <w:lang w:eastAsia="cs-CZ"/>
        </w:rPr>
      </w:pPr>
    </w:p>
    <w:p w14:paraId="5B055235" w14:textId="77777777" w:rsidR="0001141A" w:rsidRPr="0001141A" w:rsidRDefault="0001141A" w:rsidP="0001141A">
      <w:pPr>
        <w:autoSpaceDE w:val="0"/>
        <w:autoSpaceDN w:val="0"/>
        <w:spacing w:after="120" w:line="240" w:lineRule="auto"/>
        <w:ind w:left="660"/>
        <w:jc w:val="both"/>
        <w:rPr>
          <w:rFonts w:ascii="Times New Roman" w:eastAsia="Times New Roman" w:hAnsi="Times New Roman" w:cs="Times New Roman"/>
          <w:b/>
          <w:sz w:val="24"/>
          <w:szCs w:val="24"/>
          <w:lang w:eastAsia="cs-CZ"/>
        </w:rPr>
      </w:pPr>
      <w:r w:rsidRPr="0001141A">
        <w:rPr>
          <w:rFonts w:ascii="Times New Roman" w:eastAsia="Times New Roman" w:hAnsi="Times New Roman" w:cs="Times New Roman"/>
          <w:b/>
          <w:bCs/>
          <w:sz w:val="24"/>
          <w:szCs w:val="24"/>
          <w:lang w:eastAsia="cs-CZ"/>
        </w:rPr>
        <w:t>Výrok rozhodnutia:</w:t>
      </w:r>
    </w:p>
    <w:p w14:paraId="762FB0F7" w14:textId="77777777" w:rsidR="0001141A" w:rsidRPr="0001141A" w:rsidRDefault="0001141A" w:rsidP="0001141A">
      <w:pPr>
        <w:widowControl w:val="0"/>
        <w:numPr>
          <w:ilvl w:val="0"/>
          <w:numId w:val="10"/>
        </w:numPr>
        <w:adjustRightInd w:val="0"/>
        <w:spacing w:before="100" w:beforeAutospacing="1" w:after="240" w:line="240" w:lineRule="auto"/>
        <w:ind w:left="993" w:hanging="284"/>
        <w:contextualSpacing/>
        <w:jc w:val="both"/>
        <w:rPr>
          <w:rFonts w:ascii="Times New Roman" w:eastAsia="Times New Roman" w:hAnsi="Times New Roman" w:cs="Times New Roman"/>
          <w:bCs/>
          <w:color w:val="000000"/>
          <w:sz w:val="24"/>
          <w:szCs w:val="24"/>
          <w:lang w:eastAsia="sk-SK"/>
        </w:rPr>
      </w:pPr>
      <w:r w:rsidRPr="0001141A">
        <w:rPr>
          <w:rFonts w:ascii="Times New Roman" w:eastAsia="Times New Roman" w:hAnsi="Times New Roman" w:cs="Times New Roman"/>
          <w:bCs/>
          <w:color w:val="000000"/>
          <w:sz w:val="24"/>
          <w:szCs w:val="24"/>
          <w:lang w:eastAsia="sk-SK"/>
        </w:rPr>
        <w:t>Článok 4 ods. 2 a článok 21 ods. 5 smernice Rady 2003/96/ES z 27. októbra 2003 o reštrukturalizácii právneho rámca spoločenstva pre zdaňovanie energetických výrobkov a elektriny sa majú vykladať v tom zmysle, že nebránia vnútroštátnej právnej úprave, akou je úprava dotknutá vo veci samej, ktorá stanovuje výber dane z tepelného výkonu jadrových reaktorov, keďže táto daň nepatrí do rámca pôsobnosti uvedenej smernice.</w:t>
      </w:r>
    </w:p>
    <w:p w14:paraId="1EA4DB49" w14:textId="77777777" w:rsidR="0001141A" w:rsidRPr="0001141A" w:rsidRDefault="0001141A" w:rsidP="0001141A">
      <w:pPr>
        <w:spacing w:before="100" w:beforeAutospacing="1" w:after="240" w:line="240" w:lineRule="auto"/>
        <w:ind w:left="993" w:hanging="993"/>
        <w:contextualSpacing/>
        <w:jc w:val="both"/>
        <w:rPr>
          <w:rFonts w:ascii="Times New Roman" w:eastAsia="Times New Roman" w:hAnsi="Times New Roman" w:cs="Times New Roman"/>
          <w:bCs/>
          <w:color w:val="000000"/>
          <w:sz w:val="24"/>
          <w:szCs w:val="24"/>
          <w:lang w:eastAsia="sk-SK"/>
        </w:rPr>
      </w:pPr>
    </w:p>
    <w:p w14:paraId="357D3432" w14:textId="43D9B527" w:rsidR="0001141A" w:rsidRDefault="0001141A" w:rsidP="0001141A">
      <w:pPr>
        <w:widowControl w:val="0"/>
        <w:numPr>
          <w:ilvl w:val="0"/>
          <w:numId w:val="10"/>
        </w:numPr>
        <w:adjustRightInd w:val="0"/>
        <w:spacing w:before="100" w:beforeAutospacing="1" w:after="240" w:line="240" w:lineRule="auto"/>
        <w:ind w:left="993" w:hanging="284"/>
        <w:contextualSpacing/>
        <w:jc w:val="both"/>
        <w:rPr>
          <w:rFonts w:ascii="Times New Roman" w:eastAsia="Times New Roman" w:hAnsi="Times New Roman" w:cs="Times New Roman"/>
          <w:bCs/>
          <w:color w:val="000000"/>
          <w:sz w:val="24"/>
          <w:szCs w:val="24"/>
          <w:lang w:eastAsia="sk-SK"/>
        </w:rPr>
      </w:pPr>
      <w:r w:rsidRPr="0001141A">
        <w:rPr>
          <w:rFonts w:ascii="Times New Roman" w:eastAsia="Times New Roman" w:hAnsi="Times New Roman" w:cs="Times New Roman"/>
          <w:bCs/>
          <w:color w:val="000000"/>
          <w:sz w:val="24"/>
          <w:szCs w:val="24"/>
          <w:lang w:eastAsia="sk-SK"/>
        </w:rPr>
        <w:t>Smernica Rady 92/12/EHS z 25. februára 1992 o všeobecných systémoch pre výrobky podliehajúce spotrebnej dani a o vlastníctve, pohybe a monitorovaní takýchto výrobkov sa má vykladať v tom zmysle, že daň z tepelného výkonu jadrového reaktora nepredstavuje spotrebnú daň v zmysle tejto smernice.</w:t>
      </w:r>
    </w:p>
    <w:p w14:paraId="12077A0E" w14:textId="77777777" w:rsidR="006D18F1" w:rsidRPr="0001141A" w:rsidRDefault="006D18F1" w:rsidP="006D18F1">
      <w:pPr>
        <w:widowControl w:val="0"/>
        <w:adjustRightInd w:val="0"/>
        <w:spacing w:before="100" w:beforeAutospacing="1" w:after="240" w:line="240" w:lineRule="auto"/>
        <w:contextualSpacing/>
        <w:jc w:val="both"/>
        <w:rPr>
          <w:rFonts w:ascii="Times New Roman" w:eastAsia="Times New Roman" w:hAnsi="Times New Roman" w:cs="Times New Roman"/>
          <w:bCs/>
          <w:color w:val="000000"/>
          <w:sz w:val="24"/>
          <w:szCs w:val="24"/>
          <w:lang w:eastAsia="sk-SK"/>
        </w:rPr>
      </w:pPr>
    </w:p>
    <w:p w14:paraId="1F48303E" w14:textId="77777777" w:rsidR="0001141A" w:rsidRPr="0001141A" w:rsidRDefault="0001141A" w:rsidP="0001141A">
      <w:pPr>
        <w:widowControl w:val="0"/>
        <w:numPr>
          <w:ilvl w:val="0"/>
          <w:numId w:val="6"/>
        </w:numPr>
        <w:adjustRightInd w:val="0"/>
        <w:spacing w:after="0" w:line="240" w:lineRule="auto"/>
        <w:ind w:left="644" w:hanging="357"/>
        <w:jc w:val="both"/>
        <w:rPr>
          <w:rFonts w:ascii="Times New Roman" w:eastAsia="Times New Roman" w:hAnsi="Times New Roman" w:cs="Times New Roman"/>
          <w:noProof/>
          <w:sz w:val="24"/>
          <w:szCs w:val="24"/>
          <w:lang w:eastAsia="sk-SK"/>
        </w:rPr>
      </w:pPr>
      <w:r w:rsidRPr="0001141A">
        <w:rPr>
          <w:rFonts w:ascii="Times New Roman" w:eastAsia="Times New Roman" w:hAnsi="Times New Roman" w:cs="Times New Roman"/>
          <w:noProof/>
          <w:sz w:val="24"/>
          <w:szCs w:val="24"/>
          <w:lang w:eastAsia="sk-SK"/>
        </w:rPr>
        <w:t xml:space="preserve">rozhodnutie Súdneho dvora vo veci C - 103/17, </w:t>
      </w:r>
      <w:r w:rsidRPr="0001141A">
        <w:rPr>
          <w:rFonts w:ascii="Times New Roman" w:eastAsia="Times New Roman" w:hAnsi="Times New Roman" w:cs="Times New Roman"/>
          <w:bCs/>
          <w:sz w:val="24"/>
          <w:szCs w:val="24"/>
          <w:lang w:eastAsia="sk-SK"/>
        </w:rPr>
        <w:t>Messer France SAS</w:t>
      </w:r>
      <w:r w:rsidRPr="0001141A">
        <w:rPr>
          <w:rFonts w:ascii="Times New Roman" w:eastAsia="Times New Roman" w:hAnsi="Times New Roman" w:cs="Times New Roman"/>
          <w:sz w:val="24"/>
          <w:szCs w:val="24"/>
          <w:lang w:eastAsia="sk-SK"/>
        </w:rPr>
        <w:t xml:space="preserve"> </w:t>
      </w:r>
      <w:r w:rsidRPr="0001141A">
        <w:rPr>
          <w:rFonts w:ascii="Times New Roman" w:eastAsia="Times New Roman" w:hAnsi="Times New Roman" w:cs="Times New Roman"/>
          <w:noProof/>
          <w:sz w:val="24"/>
          <w:szCs w:val="24"/>
          <w:lang w:eastAsia="sk-SK"/>
        </w:rPr>
        <w:t xml:space="preserve">proti </w:t>
      </w:r>
      <w:r w:rsidRPr="0001141A">
        <w:rPr>
          <w:rFonts w:ascii="Times New Roman" w:eastAsia="Times New Roman" w:hAnsi="Times New Roman" w:cs="Times New Roman"/>
          <w:sz w:val="24"/>
          <w:szCs w:val="24"/>
          <w:lang w:eastAsia="sk-SK"/>
        </w:rPr>
        <w:t>Premier ministre a i.</w:t>
      </w:r>
      <w:r w:rsidRPr="0001141A">
        <w:rPr>
          <w:rFonts w:ascii="Times New Roman" w:eastAsia="Times New Roman" w:hAnsi="Times New Roman" w:cs="Times New Roman"/>
          <w:noProof/>
          <w:sz w:val="24"/>
          <w:szCs w:val="24"/>
          <w:lang w:eastAsia="sk-SK"/>
        </w:rPr>
        <w:t>, [2018].</w:t>
      </w:r>
    </w:p>
    <w:p w14:paraId="2F6F7857" w14:textId="77777777" w:rsidR="0001141A" w:rsidRPr="0001141A" w:rsidRDefault="0001141A" w:rsidP="0001141A">
      <w:pPr>
        <w:spacing w:after="120" w:line="240" w:lineRule="auto"/>
        <w:ind w:right="-108"/>
        <w:rPr>
          <w:rFonts w:ascii="Times New Roman" w:eastAsia="Times New Roman" w:hAnsi="Times New Roman" w:cs="Times New Roman"/>
          <w:noProof/>
          <w:sz w:val="24"/>
          <w:szCs w:val="24"/>
          <w:lang w:eastAsia="cs-CZ"/>
        </w:rPr>
      </w:pPr>
    </w:p>
    <w:p w14:paraId="626875D3" w14:textId="77777777" w:rsidR="0001141A" w:rsidRPr="0001141A" w:rsidRDefault="0001141A" w:rsidP="0001141A">
      <w:pPr>
        <w:spacing w:after="120" w:line="240" w:lineRule="auto"/>
        <w:ind w:left="301" w:right="-108" w:firstLine="266"/>
        <w:rPr>
          <w:rFonts w:ascii="Times New Roman" w:eastAsia="Times New Roman" w:hAnsi="Times New Roman" w:cs="Times New Roman"/>
          <w:b/>
          <w:noProof/>
          <w:sz w:val="24"/>
          <w:szCs w:val="24"/>
          <w:lang w:eastAsia="cs-CZ"/>
        </w:rPr>
      </w:pPr>
      <w:r w:rsidRPr="0001141A">
        <w:rPr>
          <w:rFonts w:ascii="Times New Roman" w:eastAsia="Times New Roman" w:hAnsi="Times New Roman" w:cs="Times New Roman"/>
          <w:b/>
          <w:noProof/>
          <w:sz w:val="24"/>
          <w:szCs w:val="24"/>
          <w:lang w:eastAsia="cs-CZ"/>
        </w:rPr>
        <w:t>Výrok rozhodnutia:</w:t>
      </w:r>
    </w:p>
    <w:p w14:paraId="5C7CFFC9" w14:textId="77777777" w:rsidR="0001141A" w:rsidRPr="0001141A" w:rsidRDefault="0001141A" w:rsidP="0001141A">
      <w:pPr>
        <w:widowControl w:val="0"/>
        <w:numPr>
          <w:ilvl w:val="0"/>
          <w:numId w:val="11"/>
        </w:numPr>
        <w:adjustRightInd w:val="0"/>
        <w:spacing w:before="100" w:beforeAutospacing="1" w:after="240" w:line="240" w:lineRule="auto"/>
        <w:ind w:left="993" w:hanging="426"/>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Článok 18 ods. 10 druhý pododsek smernice Rady 2003/96/ES z 27. októbra 2003 o reštrukturalizácii právneho rámca spoločenstva pre zdaňovanie energetických výrobkov a elektriny sa má vykladať v tom zmysle, že až do 1. januára 2009 predstavovalo dodržiavanie minimálnych úrovní zdanenia stanovených touto smernicou spomedzi pravidiel zdanenia elektriny stanovených právom Únie jedinú povinnosť, ktorá prináležala Francúzskej republike.</w:t>
      </w:r>
    </w:p>
    <w:p w14:paraId="426D9D95" w14:textId="77777777" w:rsidR="0001141A" w:rsidRPr="0001141A" w:rsidRDefault="0001141A" w:rsidP="0001141A">
      <w:pPr>
        <w:widowControl w:val="0"/>
        <w:numPr>
          <w:ilvl w:val="0"/>
          <w:numId w:val="11"/>
        </w:numPr>
        <w:adjustRightInd w:val="0"/>
        <w:spacing w:before="100" w:beforeAutospacing="1" w:after="240" w:line="240" w:lineRule="auto"/>
        <w:ind w:left="993" w:hanging="426"/>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lastRenderedPageBreak/>
        <w:t>Článok 3 ods. 2 smernice Rady 92/12/EHS z 25. februára 1992 o všeobecných systémoch pre výrobky podliehajúce spotrebnej dani a o vlastníctve, pohybe a monitorovaní takýchto výrobkov sa má vykladať v tom zmysle, že zavedenie inej nepriamej dane z elektriny nie je podmienené zavedením harmonizovanej spotrebnej dane a keďže taká daň, o akú ide vo veci samej, nepredstavuje takúto spotrebnú daň, jej zlučiteľnosť so smernicami 92/12 a 2003/96 sa musí posúdiť vzhľadom na podmienky stanovené v článku 3 ods. 2 smernice 92/12 pre existenciu iných nepriamych daní sledujúcich osobitné účely.</w:t>
      </w:r>
    </w:p>
    <w:p w14:paraId="024335A0" w14:textId="77777777" w:rsidR="0001141A" w:rsidRPr="0001141A" w:rsidRDefault="0001141A" w:rsidP="0001141A">
      <w:pPr>
        <w:widowControl w:val="0"/>
        <w:numPr>
          <w:ilvl w:val="0"/>
          <w:numId w:val="11"/>
        </w:numPr>
        <w:adjustRightInd w:val="0"/>
        <w:spacing w:before="100" w:beforeAutospacing="1" w:after="240" w:line="240" w:lineRule="auto"/>
        <w:ind w:left="993" w:hanging="426"/>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Článok 3 ods. 2 smernice 92/12 sa má vykladať v tom zmysle, že taká daň, o akú ide vo veci samej, môže byť považovaná za „inú nepriamu daň“ vzhľadom na jej environmentálny účel, ktorého cieľom je financovať dodatočné náklady spojené s povinnosťou nákupu zelenej energie, vylúčiac však účely tejto dane týkajúce sa územnej a sociálnej kohézie, ako je realizácia geografického vyrovnania sadzieb a zníženie ceny elektriny pre domácnosti postihnuté chudobou, a čisto administratívne účely, ako je najmä financovanie nákladov na administratívne fungovanie verejných orgánov a inštitúcií, ako je Médiateur national de l’énergie (Národný energetický mediátor) a Caisse de dépôts et consignations (Štátna depozitná pokladnica), pod podmienkou, že vnútroštátny súd overí dodržiavanie pravidiel zdanenia uplatniteľných na účely spotrebných daní.</w:t>
      </w:r>
    </w:p>
    <w:p w14:paraId="676CDC17" w14:textId="77777777" w:rsidR="0001141A" w:rsidRPr="0001141A" w:rsidRDefault="0001141A" w:rsidP="0001141A">
      <w:pPr>
        <w:widowControl w:val="0"/>
        <w:numPr>
          <w:ilvl w:val="0"/>
          <w:numId w:val="11"/>
        </w:numPr>
        <w:adjustRightInd w:val="0"/>
        <w:spacing w:before="100" w:beforeAutospacing="1" w:after="240" w:line="240" w:lineRule="auto"/>
        <w:ind w:left="993" w:hanging="426"/>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Právo Únie sa má vykladať v tom zmysle, že daňovníci môžu žiadať o vrátenie časti takej dane, o akú ide vo veci samej, v závislosti od toho, aká časť z príjmov z tejto dane je určená na financovanie účelov, ktoré nie sú osobitné, pod podmienkou, že túto daň nepreniesli títo daňovníci na svojich vlastných zákazníkov, čo prináleží overiť vnútroštátnemu súdu.</w:t>
      </w:r>
    </w:p>
    <w:p w14:paraId="56445B90" w14:textId="77777777" w:rsidR="0001141A" w:rsidRPr="0001141A" w:rsidRDefault="0001141A" w:rsidP="0001141A">
      <w:pPr>
        <w:widowControl w:val="0"/>
        <w:numPr>
          <w:ilvl w:val="0"/>
          <w:numId w:val="6"/>
        </w:numPr>
        <w:tabs>
          <w:tab w:val="num" w:pos="567"/>
        </w:tabs>
        <w:adjustRightInd w:val="0"/>
        <w:spacing w:after="240" w:line="240" w:lineRule="auto"/>
        <w:ind w:left="567" w:right="-108" w:hanging="283"/>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noProof/>
          <w:sz w:val="24"/>
          <w:szCs w:val="24"/>
          <w:lang w:eastAsia="cs-CZ"/>
        </w:rPr>
        <w:t xml:space="preserve">rozhodnutie Súdneho dvora vo veci </w:t>
      </w:r>
      <w:r w:rsidRPr="0001141A">
        <w:rPr>
          <w:rFonts w:ascii="Times New Roman" w:eastAsia="Times New Roman" w:hAnsi="Times New Roman" w:cs="Times New Roman"/>
          <w:sz w:val="24"/>
          <w:szCs w:val="24"/>
          <w:lang w:eastAsia="cs-CZ"/>
        </w:rPr>
        <w:t xml:space="preserve">C </w:t>
      </w:r>
      <w:r w:rsidRPr="0001141A">
        <w:rPr>
          <w:rFonts w:ascii="Times New Roman" w:eastAsia="Times New Roman" w:hAnsi="Times New Roman" w:cs="Times New Roman"/>
          <w:sz w:val="24"/>
          <w:szCs w:val="24"/>
          <w:lang w:eastAsia="cs-CZ"/>
        </w:rPr>
        <w:noBreakHyphen/>
        <w:t xml:space="preserve"> 355/14 </w:t>
      </w:r>
      <w:r w:rsidRPr="0001141A">
        <w:rPr>
          <w:rFonts w:ascii="Times New Roman" w:eastAsia="Times New Roman" w:hAnsi="Times New Roman" w:cs="Times New Roman"/>
          <w:bCs/>
          <w:sz w:val="24"/>
          <w:szCs w:val="24"/>
          <w:lang w:eastAsia="cs-CZ"/>
        </w:rPr>
        <w:t>„Polichim</w:t>
      </w:r>
      <w:r w:rsidRPr="0001141A">
        <w:rPr>
          <w:rFonts w:ascii="Times New Roman" w:eastAsia="Times New Roman" w:hAnsi="Times New Roman" w:cs="Times New Roman"/>
          <w:bCs/>
          <w:sz w:val="24"/>
          <w:szCs w:val="24"/>
          <w:lang w:eastAsia="cs-CZ"/>
        </w:rPr>
        <w:noBreakHyphen/>
        <w:t xml:space="preserve">SS“ EOOD proti Načalnik na Mitnica Svištov, </w:t>
      </w:r>
      <w:r w:rsidRPr="0001141A">
        <w:rPr>
          <w:rFonts w:ascii="Times New Roman" w:eastAsia="Times New Roman" w:hAnsi="Times New Roman" w:cs="Times New Roman"/>
          <w:noProof/>
          <w:sz w:val="24"/>
          <w:szCs w:val="24"/>
          <w:lang w:eastAsia="cs-CZ"/>
        </w:rPr>
        <w:t>[2016].</w:t>
      </w:r>
    </w:p>
    <w:p w14:paraId="177981CD" w14:textId="77777777" w:rsidR="0001141A" w:rsidRPr="0001141A" w:rsidRDefault="0001141A" w:rsidP="0001141A">
      <w:pPr>
        <w:spacing w:after="120" w:line="240" w:lineRule="auto"/>
        <w:ind w:left="567" w:right="-108"/>
        <w:rPr>
          <w:rFonts w:ascii="Times New Roman" w:eastAsia="Times New Roman" w:hAnsi="Times New Roman" w:cs="Times New Roman"/>
          <w:b/>
          <w:noProof/>
          <w:sz w:val="24"/>
          <w:szCs w:val="24"/>
          <w:lang w:eastAsia="cs-CZ"/>
        </w:rPr>
      </w:pPr>
      <w:r w:rsidRPr="0001141A">
        <w:rPr>
          <w:rFonts w:ascii="Times New Roman" w:eastAsia="Times New Roman" w:hAnsi="Times New Roman" w:cs="Times New Roman"/>
          <w:b/>
          <w:noProof/>
          <w:sz w:val="24"/>
          <w:szCs w:val="24"/>
          <w:lang w:eastAsia="cs-CZ"/>
        </w:rPr>
        <w:t>Výrok rozhodnutia:</w:t>
      </w:r>
    </w:p>
    <w:p w14:paraId="2B754AD3" w14:textId="77777777" w:rsidR="0001141A" w:rsidRPr="0001141A" w:rsidRDefault="0001141A" w:rsidP="0001141A">
      <w:pPr>
        <w:widowControl w:val="0"/>
        <w:numPr>
          <w:ilvl w:val="0"/>
          <w:numId w:val="12"/>
        </w:numPr>
        <w:adjustRightInd w:val="0"/>
        <w:spacing w:before="100" w:beforeAutospacing="1" w:after="240" w:line="240" w:lineRule="auto"/>
        <w:ind w:left="993" w:hanging="426"/>
        <w:contextualSpacing/>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 xml:space="preserve">Článok 7 ods. 2 smernice Rady </w:t>
      </w:r>
      <w:bookmarkStart w:id="2" w:name="ctx27"/>
      <w:r w:rsidRPr="0001141A">
        <w:rPr>
          <w:rFonts w:ascii="Times New Roman" w:eastAsia="Times New Roman" w:hAnsi="Times New Roman" w:cs="Times New Roman"/>
          <w:bCs/>
          <w:sz w:val="24"/>
          <w:szCs w:val="24"/>
          <w:lang w:eastAsia="sk-SK"/>
        </w:rPr>
        <w:t>2008/118</w:t>
      </w:r>
      <w:bookmarkEnd w:id="2"/>
      <w:r w:rsidRPr="0001141A">
        <w:rPr>
          <w:rFonts w:ascii="Times New Roman" w:eastAsia="Times New Roman" w:hAnsi="Times New Roman" w:cs="Times New Roman"/>
          <w:bCs/>
          <w:sz w:val="24"/>
          <w:szCs w:val="24"/>
          <w:lang w:eastAsia="sk-SK"/>
        </w:rPr>
        <w:t>/ES zo 16. decembra 2008 o všeobecnom systéme spotrebných daní a o zrušení smernice 92/12/EHS sa má vykladať v tom zmysle, že predaj výrobku podliehajúceho spotrebnej dani držaného oprávneným prevádzkovateľom daňového skladu v daňovom sklade vedie k prepusteniu do daňového voľného obehu až v momente, keď tento výrobok fyzicky opustí daňový sklad.</w:t>
      </w:r>
    </w:p>
    <w:p w14:paraId="4DC440B7" w14:textId="77777777" w:rsidR="0001141A" w:rsidRPr="0001141A" w:rsidRDefault="0001141A" w:rsidP="0001141A">
      <w:pPr>
        <w:spacing w:before="100" w:beforeAutospacing="1" w:after="240" w:line="240" w:lineRule="auto"/>
        <w:ind w:left="993" w:hanging="993"/>
        <w:contextualSpacing/>
        <w:jc w:val="both"/>
        <w:rPr>
          <w:rFonts w:ascii="Times New Roman" w:eastAsia="Times New Roman" w:hAnsi="Times New Roman" w:cs="Times New Roman"/>
          <w:bCs/>
          <w:sz w:val="24"/>
          <w:szCs w:val="24"/>
          <w:lang w:eastAsia="sk-SK"/>
        </w:rPr>
      </w:pPr>
    </w:p>
    <w:p w14:paraId="7CF391EE" w14:textId="3241D7AF" w:rsidR="0001141A" w:rsidRDefault="0001141A" w:rsidP="0001141A">
      <w:pPr>
        <w:widowControl w:val="0"/>
        <w:numPr>
          <w:ilvl w:val="0"/>
          <w:numId w:val="12"/>
        </w:numPr>
        <w:adjustRightInd w:val="0"/>
        <w:spacing w:before="100" w:beforeAutospacing="1" w:after="240" w:line="240" w:lineRule="auto"/>
        <w:ind w:left="993" w:hanging="426"/>
        <w:contextualSpacing/>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 xml:space="preserve">Článok 14 ods. 1 písm. a) smernice Rady 2003/96/ES z 27. októbra 2003 o reštrukturalizácii právneho rámca spoločenstva pre zdaňovanie energetických výrobkov a elektriny v spojení s článkom 7 smernice </w:t>
      </w:r>
      <w:bookmarkStart w:id="3" w:name="ctx28"/>
      <w:r w:rsidRPr="0001141A">
        <w:rPr>
          <w:rFonts w:ascii="Times New Roman" w:eastAsia="Times New Roman" w:hAnsi="Times New Roman" w:cs="Times New Roman"/>
          <w:bCs/>
          <w:sz w:val="24"/>
          <w:szCs w:val="24"/>
          <w:lang w:eastAsia="sk-SK"/>
        </w:rPr>
        <w:t>2008/118</w:t>
      </w:r>
      <w:bookmarkEnd w:id="3"/>
      <w:r w:rsidRPr="0001141A">
        <w:rPr>
          <w:rFonts w:ascii="Times New Roman" w:eastAsia="Times New Roman" w:hAnsi="Times New Roman" w:cs="Times New Roman"/>
          <w:bCs/>
          <w:sz w:val="24"/>
          <w:szCs w:val="24"/>
          <w:lang w:eastAsia="sk-SK"/>
        </w:rPr>
        <w:t xml:space="preserve"> sa má vykladať v tom zmysle, že bráni tomu, aby vnútroštátne orgány odmietli oslobodiť od spotrebnej dane energetické výrobky, ktoré potom, ako boli oprávneným prevádzkovateľom daňového skladu predané sprostredkujúcemu kupujúcemu, ich tento kupujúci predal konečnému spotrebiteľovi, ktorý spĺňa všetky požiadavky vnútroštátneho práva na oslobodenie týchto výrobkov od spotrebnej dane a ktorému boli tieto výrobky dodané priamo týmto oprávneným prevádzkovateľom daňového skladu z daňového skladu, len z toho dôvodu, že sprostredkujúci kupujúci označený týmto oprávneným prevádzkovateľom daňového skladu ako príjemca uvedených výrobkov nie je konečným spotrebiteľom oprávneným podľa vnútroštátneho práva prijímať </w:t>
      </w:r>
      <w:r w:rsidRPr="0001141A">
        <w:rPr>
          <w:rFonts w:ascii="Times New Roman" w:eastAsia="Times New Roman" w:hAnsi="Times New Roman" w:cs="Times New Roman"/>
          <w:bCs/>
          <w:sz w:val="24"/>
          <w:szCs w:val="24"/>
          <w:lang w:eastAsia="sk-SK"/>
        </w:rPr>
        <w:lastRenderedPageBreak/>
        <w:t>energetické výrobky oslobodené od spotrebnej dane.</w:t>
      </w:r>
    </w:p>
    <w:p w14:paraId="22FC2A5F" w14:textId="77777777" w:rsidR="006D18F1" w:rsidRPr="0001141A" w:rsidRDefault="006D18F1" w:rsidP="006D18F1">
      <w:pPr>
        <w:widowControl w:val="0"/>
        <w:adjustRightInd w:val="0"/>
        <w:spacing w:before="100" w:beforeAutospacing="1" w:after="240" w:line="240" w:lineRule="auto"/>
        <w:contextualSpacing/>
        <w:jc w:val="both"/>
        <w:rPr>
          <w:rFonts w:ascii="Times New Roman" w:eastAsia="Times New Roman" w:hAnsi="Times New Roman" w:cs="Times New Roman"/>
          <w:bCs/>
          <w:sz w:val="24"/>
          <w:szCs w:val="24"/>
          <w:lang w:eastAsia="sk-SK"/>
        </w:rPr>
      </w:pPr>
    </w:p>
    <w:p w14:paraId="2732556B" w14:textId="77777777" w:rsidR="0001141A" w:rsidRPr="0001141A" w:rsidRDefault="0001141A" w:rsidP="0001141A">
      <w:pPr>
        <w:widowControl w:val="0"/>
        <w:tabs>
          <w:tab w:val="left" w:pos="360"/>
        </w:tabs>
        <w:autoSpaceDE w:val="0"/>
        <w:autoSpaceDN w:val="0"/>
        <w:spacing w:before="120" w:after="120" w:line="240" w:lineRule="auto"/>
        <w:ind w:left="3"/>
        <w:jc w:val="both"/>
        <w:rPr>
          <w:rFonts w:ascii="Times New Roman" w:eastAsia="Times New Roman" w:hAnsi="Times New Roman" w:cs="Times New Roman"/>
          <w:b/>
          <w:bCs/>
          <w:color w:val="000000"/>
          <w:sz w:val="24"/>
          <w:szCs w:val="24"/>
          <w:lang w:eastAsia="sk-SK"/>
        </w:rPr>
      </w:pPr>
      <w:r w:rsidRPr="0001141A">
        <w:rPr>
          <w:rFonts w:ascii="Times New Roman" w:eastAsia="Times New Roman" w:hAnsi="Times New Roman" w:cs="Times New Roman"/>
          <w:b/>
          <w:bCs/>
          <w:color w:val="000000"/>
          <w:sz w:val="24"/>
          <w:szCs w:val="24"/>
          <w:lang w:eastAsia="sk-SK"/>
        </w:rPr>
        <w:t>4.</w:t>
      </w:r>
      <w:r w:rsidRPr="0001141A">
        <w:rPr>
          <w:rFonts w:ascii="Times New Roman" w:eastAsia="Times New Roman" w:hAnsi="Times New Roman" w:cs="Times New Roman"/>
          <w:b/>
          <w:bCs/>
          <w:color w:val="000000"/>
          <w:sz w:val="24"/>
          <w:szCs w:val="24"/>
          <w:lang w:eastAsia="sk-SK"/>
        </w:rPr>
        <w:tab/>
        <w:t>Záväzky Slovenskej republiky vo vzťahu Európskej únii:</w:t>
      </w:r>
    </w:p>
    <w:p w14:paraId="5103AA62" w14:textId="77777777" w:rsidR="0001141A" w:rsidRPr="0001141A" w:rsidRDefault="0001141A" w:rsidP="0001141A">
      <w:pPr>
        <w:widowControl w:val="0"/>
        <w:numPr>
          <w:ilvl w:val="0"/>
          <w:numId w:val="9"/>
        </w:numPr>
        <w:tabs>
          <w:tab w:val="clear" w:pos="720"/>
          <w:tab w:val="left" w:pos="709"/>
        </w:tabs>
        <w:adjustRightInd w:val="0"/>
        <w:spacing w:after="120" w:line="240" w:lineRule="auto"/>
        <w:ind w:left="709" w:hanging="425"/>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noProof/>
          <w:sz w:val="24"/>
          <w:szCs w:val="24"/>
          <w:lang w:eastAsia="cs-CZ"/>
        </w:rPr>
        <w:t>Lehota na prebratie smernice 2003/96/ES: do dňa pristúpenia Slovenskej republiky k Európskej únii, t.j. do 1.5. 2004.</w:t>
      </w:r>
    </w:p>
    <w:p w14:paraId="14AC5A81" w14:textId="77777777" w:rsidR="0001141A" w:rsidRPr="0001141A" w:rsidRDefault="0001141A" w:rsidP="0001141A">
      <w:pPr>
        <w:spacing w:after="120" w:line="240" w:lineRule="auto"/>
        <w:ind w:left="369" w:firstLine="339"/>
        <w:jc w:val="both"/>
        <w:rPr>
          <w:rFonts w:ascii="Times New Roman" w:eastAsia="Times New Roman" w:hAnsi="Times New Roman" w:cs="Times New Roman"/>
          <w:sz w:val="24"/>
          <w:szCs w:val="24"/>
          <w:lang w:eastAsia="cs-CZ"/>
        </w:rPr>
      </w:pPr>
      <w:r w:rsidRPr="0001141A">
        <w:rPr>
          <w:rFonts w:ascii="Times New Roman" w:eastAsia="Times New Roman" w:hAnsi="Times New Roman" w:cs="Times New Roman"/>
          <w:noProof/>
          <w:sz w:val="24"/>
          <w:szCs w:val="24"/>
          <w:lang w:eastAsia="cs-CZ"/>
        </w:rPr>
        <w:t xml:space="preserve">Lehota na prebratie smernice </w:t>
      </w:r>
      <w:r w:rsidRPr="0001141A">
        <w:rPr>
          <w:rFonts w:ascii="Times New Roman" w:eastAsia="Times New Roman" w:hAnsi="Times New Roman" w:cs="Times New Roman"/>
          <w:sz w:val="24"/>
          <w:szCs w:val="24"/>
          <w:lang w:eastAsia="cs-CZ"/>
        </w:rPr>
        <w:t xml:space="preserve">2020/262 je </w:t>
      </w:r>
      <w:r w:rsidRPr="0001141A">
        <w:rPr>
          <w:rFonts w:ascii="Times New Roman" w:eastAsia="Times New Roman" w:hAnsi="Times New Roman" w:cs="Times New Roman"/>
          <w:bCs/>
          <w:sz w:val="24"/>
          <w:szCs w:val="24"/>
          <w:lang w:eastAsia="cs-CZ"/>
        </w:rPr>
        <w:t>stanovená</w:t>
      </w:r>
      <w:r w:rsidRPr="0001141A">
        <w:rPr>
          <w:rFonts w:ascii="Times New Roman" w:eastAsia="Times New Roman" w:hAnsi="Times New Roman" w:cs="Times New Roman"/>
          <w:sz w:val="24"/>
          <w:szCs w:val="24"/>
          <w:lang w:eastAsia="cs-CZ"/>
        </w:rPr>
        <w:t xml:space="preserve"> do 31. decembra 2021.</w:t>
      </w:r>
    </w:p>
    <w:p w14:paraId="3318C5BB" w14:textId="77777777" w:rsidR="0001141A" w:rsidRPr="0001141A" w:rsidRDefault="0001141A" w:rsidP="0001141A">
      <w:pPr>
        <w:widowControl w:val="0"/>
        <w:numPr>
          <w:ilvl w:val="0"/>
          <w:numId w:val="9"/>
        </w:numPr>
        <w:adjustRightInd w:val="0"/>
        <w:spacing w:after="120" w:line="240" w:lineRule="auto"/>
        <w:ind w:hanging="425"/>
        <w:jc w:val="both"/>
        <w:rPr>
          <w:rFonts w:ascii="Times New Roman" w:eastAsia="Times New Roman" w:hAnsi="Times New Roman" w:cs="Times New Roman"/>
          <w:bCs/>
          <w:sz w:val="24"/>
          <w:szCs w:val="24"/>
          <w:lang w:eastAsia="cs-CZ"/>
        </w:rPr>
      </w:pPr>
      <w:r w:rsidRPr="0001141A">
        <w:rPr>
          <w:rFonts w:ascii="Times New Roman" w:eastAsia="Times New Roman" w:hAnsi="Times New Roman" w:cs="Times New Roman"/>
          <w:sz w:val="24"/>
          <w:szCs w:val="24"/>
          <w:lang w:eastAsia="cs-CZ"/>
        </w:rPr>
        <w:t>Proti SR nebolo začaté konanie v rámci „EÚ Pilot“, Súdneho dvora EÚ proti SR podľa čl. 258 až 260 Zmluvy o fungovaní Európskej únie.</w:t>
      </w:r>
    </w:p>
    <w:p w14:paraId="6988F590" w14:textId="1BE5932A" w:rsidR="0001141A" w:rsidRPr="0001141A" w:rsidRDefault="0001141A" w:rsidP="006D18F1">
      <w:pPr>
        <w:spacing w:after="120" w:line="240" w:lineRule="auto"/>
        <w:ind w:left="720"/>
        <w:jc w:val="both"/>
        <w:rPr>
          <w:rFonts w:ascii="Times New Roman" w:eastAsia="Times New Roman" w:hAnsi="Times New Roman" w:cs="Times New Roman"/>
          <w:bCs/>
          <w:sz w:val="24"/>
          <w:szCs w:val="24"/>
          <w:lang w:eastAsia="cs-CZ"/>
        </w:rPr>
      </w:pPr>
      <w:r w:rsidRPr="0001141A">
        <w:rPr>
          <w:rFonts w:ascii="Times New Roman" w:eastAsia="Times New Roman" w:hAnsi="Times New Roman" w:cs="Times New Roman"/>
          <w:bCs/>
          <w:sz w:val="24"/>
          <w:szCs w:val="24"/>
          <w:lang w:eastAsia="cs-CZ"/>
        </w:rPr>
        <w:t xml:space="preserve">Voči Slovenskej republike bolo začaté konanie zo strana Európskej komisie o porušení povinnosti vedené podľa čl. 258 Zmluvy o fungovaní Európskej únie, registrované pod číslom INFR(2024)0140. Dôvodom pre uvedené konanie je neoznámenie transpozičných opatrení k smernici (EÚ) 2023/959. </w:t>
      </w:r>
    </w:p>
    <w:p w14:paraId="4641761F" w14:textId="77777777" w:rsidR="0001141A" w:rsidRPr="0001141A" w:rsidRDefault="0001141A" w:rsidP="0001141A">
      <w:pPr>
        <w:widowControl w:val="0"/>
        <w:numPr>
          <w:ilvl w:val="0"/>
          <w:numId w:val="9"/>
        </w:numPr>
        <w:tabs>
          <w:tab w:val="clear" w:pos="720"/>
          <w:tab w:val="left" w:pos="709"/>
        </w:tabs>
        <w:adjustRightInd w:val="0"/>
        <w:spacing w:after="120" w:line="240" w:lineRule="auto"/>
        <w:ind w:left="709" w:hanging="425"/>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noProof/>
          <w:sz w:val="24"/>
          <w:szCs w:val="24"/>
          <w:lang w:eastAsia="sk-SK"/>
        </w:rPr>
        <w:t>Smernica 2003/96/ES bola prebratá do zákona č. 609/2007 Z. z. o spotrebnej dani z elektriny, uhlia a zemného plynu a o zmene a doplnení zákona č. 98/2004 Z. z. o spotrebnej dani z minerálneho oleja v znení neskorších predpisov a do zákona č. 98/2004 Z.z. o spotrebnej dani z minerálneho oleja v znení neskorších predpisov.</w:t>
      </w:r>
    </w:p>
    <w:p w14:paraId="585D50D0" w14:textId="77777777" w:rsidR="0001141A" w:rsidRPr="0001141A" w:rsidRDefault="0001141A" w:rsidP="0001141A">
      <w:pPr>
        <w:spacing w:after="120" w:line="240" w:lineRule="auto"/>
        <w:ind w:left="709"/>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sz w:val="24"/>
          <w:szCs w:val="24"/>
          <w:lang w:eastAsia="sk-SK"/>
        </w:rPr>
        <w:t>Smernica 2020/262 bolo prebratá do zákona č. 106/2004 Z. z. o spotrebnej dani z tabakových výrobkov v znení neskorších predpisov, zákona č. 98/2004 Z. z. o spotrebnej dani z minerálneho oleja v znení neskorších predpisov, zákona č. 530/2011 Z. z. o spotrebnej dani z alkoholických nápojov v znení neskorších prepisov a zákona č. 609/2007 Z. z. o spotrebnej dani z elektriny, uhlia a zemného plynu a o zmene a doplnení zákona č. 98/2004 Z. z. o spotrebnej dani z minerálneho oleja v znení neskorších predpisov v znení neskorších predpisov.</w:t>
      </w:r>
    </w:p>
    <w:p w14:paraId="0EF21554" w14:textId="77777777" w:rsidR="0001141A" w:rsidRPr="0001141A" w:rsidRDefault="0001141A" w:rsidP="0001141A">
      <w:pPr>
        <w:spacing w:after="120" w:line="240" w:lineRule="auto"/>
        <w:ind w:left="709"/>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sz w:val="24"/>
          <w:szCs w:val="24"/>
          <w:lang w:eastAsia="sk-SK"/>
        </w:rPr>
        <w:t>Smernica (EÚ) 2023/959 bola čiastočne transponovaná do zákona č. 236/2024 Z. z., ktorým sa mení a dopĺňa zákon č. 414/2012 Z. z. o obchodovaní s emisnými kvótami a o zmene a doplnení niektorých zákonov v znení neskorších predpisov a ktorým sa menia a dopĺňajú niektoré zákony.</w:t>
      </w:r>
    </w:p>
    <w:p w14:paraId="78290237" w14:textId="77777777" w:rsidR="0001141A" w:rsidRPr="0001141A" w:rsidRDefault="0001141A" w:rsidP="0001141A">
      <w:pPr>
        <w:widowControl w:val="0"/>
        <w:spacing w:after="120" w:line="240" w:lineRule="auto"/>
        <w:jc w:val="both"/>
        <w:rPr>
          <w:rFonts w:ascii="Times New Roman" w:eastAsia="Times New Roman" w:hAnsi="Times New Roman" w:cs="Times New Roman"/>
          <w:color w:val="000000"/>
          <w:sz w:val="24"/>
          <w:szCs w:val="24"/>
          <w:lang w:eastAsia="sk-SK"/>
        </w:rPr>
      </w:pPr>
    </w:p>
    <w:p w14:paraId="5846FBDA" w14:textId="77777777" w:rsidR="0001141A" w:rsidRPr="0001141A" w:rsidRDefault="0001141A" w:rsidP="0001141A">
      <w:pPr>
        <w:widowControl w:val="0"/>
        <w:tabs>
          <w:tab w:val="left" w:pos="284"/>
        </w:tabs>
        <w:autoSpaceDE w:val="0"/>
        <w:autoSpaceDN w:val="0"/>
        <w:spacing w:before="120" w:after="0" w:line="240" w:lineRule="auto"/>
        <w:ind w:firstLine="11"/>
        <w:jc w:val="both"/>
        <w:rPr>
          <w:rFonts w:ascii="Times New Roman" w:eastAsia="Times New Roman" w:hAnsi="Times New Roman" w:cs="Times New Roman"/>
          <w:b/>
          <w:color w:val="000000"/>
          <w:sz w:val="24"/>
          <w:szCs w:val="24"/>
          <w:lang w:eastAsia="sk-SK"/>
        </w:rPr>
      </w:pPr>
      <w:r w:rsidRPr="0001141A">
        <w:rPr>
          <w:rFonts w:ascii="Times New Roman" w:eastAsia="Times New Roman" w:hAnsi="Times New Roman" w:cs="Times New Roman"/>
          <w:b/>
          <w:color w:val="000000"/>
          <w:sz w:val="24"/>
          <w:szCs w:val="24"/>
          <w:lang w:eastAsia="sk-SK"/>
        </w:rPr>
        <w:t>5.</w:t>
      </w:r>
      <w:r w:rsidRPr="0001141A">
        <w:rPr>
          <w:rFonts w:ascii="Times New Roman" w:eastAsia="Times New Roman" w:hAnsi="Times New Roman" w:cs="Times New Roman"/>
          <w:b/>
          <w:color w:val="000000"/>
          <w:sz w:val="24"/>
          <w:szCs w:val="24"/>
          <w:lang w:eastAsia="sk-SK"/>
        </w:rPr>
        <w:tab/>
      </w:r>
      <w:r w:rsidRPr="0001141A">
        <w:rPr>
          <w:rFonts w:ascii="Times New Roman" w:eastAsia="Times New Roman" w:hAnsi="Times New Roman" w:cs="Times New Roman"/>
          <w:b/>
          <w:bCs/>
          <w:sz w:val="24"/>
          <w:szCs w:val="24"/>
          <w:lang w:eastAsia="sk-SK"/>
        </w:rPr>
        <w:t xml:space="preserve">Návrh zákona je zlučiteľný </w:t>
      </w:r>
      <w:r w:rsidRPr="0001141A">
        <w:rPr>
          <w:rFonts w:ascii="Times New Roman" w:eastAsia="Times New Roman" w:hAnsi="Times New Roman" w:cs="Times New Roman"/>
          <w:b/>
          <w:color w:val="000000"/>
          <w:sz w:val="24"/>
          <w:szCs w:val="24"/>
          <w:lang w:eastAsia="sk-SK"/>
        </w:rPr>
        <w:t>s právom Európskej únie:</w:t>
      </w:r>
    </w:p>
    <w:p w14:paraId="3638CE69" w14:textId="77777777" w:rsidR="0001141A" w:rsidRPr="0001141A" w:rsidRDefault="0001141A" w:rsidP="0001141A">
      <w:pPr>
        <w:widowControl w:val="0"/>
        <w:autoSpaceDE w:val="0"/>
        <w:autoSpaceDN w:val="0"/>
        <w:spacing w:before="120" w:after="0" w:line="240" w:lineRule="auto"/>
        <w:ind w:left="284"/>
        <w:jc w:val="both"/>
        <w:rPr>
          <w:rFonts w:ascii="Times New Roman" w:eastAsia="Times New Roman" w:hAnsi="Times New Roman" w:cs="Times New Roman"/>
          <w:color w:val="000000"/>
          <w:sz w:val="24"/>
          <w:szCs w:val="24"/>
          <w:lang w:eastAsia="sk-SK"/>
        </w:rPr>
      </w:pPr>
      <w:r w:rsidRPr="0001141A">
        <w:rPr>
          <w:rFonts w:ascii="Times New Roman" w:eastAsia="Times New Roman" w:hAnsi="Times New Roman" w:cs="Times New Roman"/>
          <w:color w:val="000000"/>
          <w:sz w:val="24"/>
          <w:szCs w:val="24"/>
          <w:lang w:eastAsia="sk-SK"/>
        </w:rPr>
        <w:t>Úplne.</w:t>
      </w:r>
    </w:p>
    <w:p w14:paraId="2507556D" w14:textId="77777777" w:rsidR="0001141A" w:rsidRDefault="0001141A" w:rsidP="00CE651F">
      <w:pPr>
        <w:jc w:val="both"/>
        <w:rPr>
          <w:rFonts w:ascii="Times New Roman" w:eastAsia="Times New Roman" w:hAnsi="Times New Roman" w:cs="Times New Roman"/>
          <w:sz w:val="24"/>
          <w:szCs w:val="24"/>
          <w:lang w:eastAsia="sk-SK"/>
        </w:rPr>
      </w:pPr>
    </w:p>
    <w:p w14:paraId="0281106B" w14:textId="77777777" w:rsidR="0001141A" w:rsidRDefault="0001141A" w:rsidP="00CE651F">
      <w:pPr>
        <w:jc w:val="both"/>
        <w:rPr>
          <w:rFonts w:ascii="Times New Roman" w:eastAsia="Times New Roman" w:hAnsi="Times New Roman" w:cs="Times New Roman"/>
          <w:sz w:val="24"/>
          <w:szCs w:val="24"/>
          <w:lang w:eastAsia="sk-SK"/>
        </w:rPr>
      </w:pPr>
    </w:p>
    <w:p w14:paraId="6A21D249" w14:textId="77777777" w:rsidR="0001141A" w:rsidRDefault="0001141A" w:rsidP="00CE651F">
      <w:pPr>
        <w:jc w:val="both"/>
        <w:rPr>
          <w:rFonts w:ascii="Times New Roman" w:eastAsia="Times New Roman" w:hAnsi="Times New Roman" w:cs="Times New Roman"/>
          <w:sz w:val="24"/>
          <w:szCs w:val="24"/>
          <w:lang w:eastAsia="sk-SK"/>
        </w:rPr>
      </w:pPr>
    </w:p>
    <w:p w14:paraId="7A54E569" w14:textId="77777777" w:rsidR="0001141A" w:rsidRDefault="0001141A" w:rsidP="00CE651F">
      <w:pPr>
        <w:jc w:val="both"/>
        <w:rPr>
          <w:rFonts w:ascii="Times New Roman" w:eastAsia="Times New Roman" w:hAnsi="Times New Roman" w:cs="Times New Roman"/>
          <w:sz w:val="24"/>
          <w:szCs w:val="24"/>
          <w:lang w:eastAsia="sk-SK"/>
        </w:rPr>
      </w:pPr>
    </w:p>
    <w:p w14:paraId="4D9E3BE8" w14:textId="77777777" w:rsidR="0001141A" w:rsidRDefault="0001141A" w:rsidP="00CE651F">
      <w:pPr>
        <w:jc w:val="both"/>
        <w:rPr>
          <w:rFonts w:ascii="Times New Roman" w:eastAsia="Times New Roman" w:hAnsi="Times New Roman" w:cs="Times New Roman"/>
          <w:sz w:val="24"/>
          <w:szCs w:val="24"/>
          <w:lang w:eastAsia="sk-SK"/>
        </w:rPr>
      </w:pPr>
    </w:p>
    <w:p w14:paraId="53E25857" w14:textId="77777777" w:rsidR="0001141A" w:rsidRDefault="0001141A" w:rsidP="00CE651F">
      <w:pPr>
        <w:jc w:val="both"/>
        <w:rPr>
          <w:rFonts w:ascii="Times New Roman" w:eastAsia="Times New Roman" w:hAnsi="Times New Roman" w:cs="Times New Roman"/>
          <w:sz w:val="24"/>
          <w:szCs w:val="24"/>
          <w:lang w:eastAsia="sk-SK"/>
        </w:rPr>
      </w:pPr>
    </w:p>
    <w:p w14:paraId="6ABB5806" w14:textId="77777777" w:rsidR="0001141A" w:rsidRDefault="0001141A" w:rsidP="00CE651F">
      <w:pPr>
        <w:jc w:val="both"/>
        <w:rPr>
          <w:rFonts w:ascii="Times New Roman" w:eastAsia="Times New Roman" w:hAnsi="Times New Roman" w:cs="Times New Roman"/>
          <w:sz w:val="24"/>
          <w:szCs w:val="24"/>
          <w:lang w:eastAsia="sk-SK"/>
        </w:rPr>
      </w:pPr>
    </w:p>
    <w:p w14:paraId="420EE1C9" w14:textId="77777777" w:rsidR="0001141A" w:rsidRDefault="0001141A" w:rsidP="00CE651F">
      <w:pPr>
        <w:jc w:val="both"/>
        <w:rPr>
          <w:rFonts w:ascii="Times New Roman" w:eastAsia="Times New Roman" w:hAnsi="Times New Roman" w:cs="Times New Roman"/>
          <w:sz w:val="24"/>
          <w:szCs w:val="24"/>
          <w:lang w:eastAsia="sk-SK"/>
        </w:rPr>
      </w:pPr>
    </w:p>
    <w:p w14:paraId="1373E9F3" w14:textId="77777777" w:rsidR="0001141A" w:rsidRDefault="0001141A" w:rsidP="00CE651F">
      <w:pPr>
        <w:jc w:val="both"/>
        <w:rPr>
          <w:rFonts w:ascii="Times New Roman" w:eastAsia="Times New Roman" w:hAnsi="Times New Roman" w:cs="Times New Roman"/>
          <w:sz w:val="24"/>
          <w:szCs w:val="24"/>
          <w:lang w:eastAsia="sk-SK"/>
        </w:rPr>
      </w:pPr>
    </w:p>
    <w:p w14:paraId="78EE39E8" w14:textId="77777777" w:rsidR="0001141A" w:rsidRDefault="0001141A" w:rsidP="00CE651F">
      <w:pPr>
        <w:jc w:val="both"/>
        <w:rPr>
          <w:rFonts w:ascii="Times New Roman" w:eastAsia="Times New Roman" w:hAnsi="Times New Roman" w:cs="Times New Roman"/>
          <w:sz w:val="24"/>
          <w:szCs w:val="24"/>
          <w:lang w:eastAsia="sk-SK"/>
        </w:rPr>
      </w:pPr>
    </w:p>
    <w:p w14:paraId="42284AF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lastRenderedPageBreak/>
        <w:t>B. Osobitná časť</w:t>
      </w:r>
    </w:p>
    <w:p w14:paraId="1ED13E80" w14:textId="77777777" w:rsidR="00C72389" w:rsidRPr="00C72389" w:rsidRDefault="00C72389" w:rsidP="00C72389">
      <w:pPr>
        <w:spacing w:after="0" w:line="240" w:lineRule="auto"/>
        <w:jc w:val="both"/>
        <w:rPr>
          <w:rFonts w:ascii="Times New Roman" w:eastAsia="Times New Roman" w:hAnsi="Times New Roman" w:cs="Times New Roman"/>
          <w:bCs/>
          <w:sz w:val="24"/>
          <w:szCs w:val="24"/>
          <w:lang w:eastAsia="sk-SK"/>
        </w:rPr>
      </w:pPr>
    </w:p>
    <w:p w14:paraId="5C577AA2" w14:textId="77777777" w:rsidR="00C72389" w:rsidRPr="00C72389" w:rsidRDefault="00C72389" w:rsidP="00C72389">
      <w:pPr>
        <w:spacing w:after="0" w:line="240" w:lineRule="auto"/>
        <w:jc w:val="both"/>
        <w:rPr>
          <w:rFonts w:ascii="Times New Roman" w:eastAsia="Times New Roman" w:hAnsi="Times New Roman" w:cs="Times New Roman"/>
          <w:b/>
          <w:bCs/>
          <w:sz w:val="24"/>
          <w:szCs w:val="24"/>
          <w:lang w:eastAsia="sk-SK"/>
        </w:rPr>
      </w:pPr>
      <w:r w:rsidRPr="00C72389">
        <w:rPr>
          <w:rFonts w:ascii="Times New Roman" w:eastAsia="Times New Roman" w:hAnsi="Times New Roman" w:cs="Times New Roman"/>
          <w:b/>
          <w:bCs/>
          <w:sz w:val="24"/>
          <w:szCs w:val="24"/>
          <w:lang w:eastAsia="sk-SK"/>
        </w:rPr>
        <w:t>K článku I</w:t>
      </w:r>
    </w:p>
    <w:p w14:paraId="2308734B" w14:textId="77777777" w:rsidR="00C72389" w:rsidRPr="00C72389" w:rsidRDefault="00C72389" w:rsidP="00C72389">
      <w:pPr>
        <w:spacing w:after="0" w:line="240" w:lineRule="auto"/>
        <w:jc w:val="both"/>
        <w:rPr>
          <w:rFonts w:ascii="Times New Roman" w:eastAsia="Times New Roman" w:hAnsi="Times New Roman" w:cs="Times New Roman"/>
          <w:bCs/>
          <w:sz w:val="24"/>
          <w:szCs w:val="24"/>
          <w:lang w:eastAsia="sk-SK"/>
        </w:rPr>
      </w:pPr>
    </w:p>
    <w:p w14:paraId="163BC0F1"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1</w:t>
      </w:r>
    </w:p>
    <w:p w14:paraId="0D6595F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v základných pojmoch spresňuje definícia:</w:t>
      </w:r>
    </w:p>
    <w:p w14:paraId="0D3742AF" w14:textId="77777777" w:rsidR="00C72389" w:rsidRPr="00C72389" w:rsidRDefault="00C72389" w:rsidP="00C72389">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elektroenergetického podniku, z ktorej vyplýva, že malí výrobcovia elektriny, napr. nemocnice, ktoré vyrábajú elektrinu v zariadení s celkovým inštalovaným výkonom do 5 MW vrátane, z preukázateľne zdaneného uhlia, zemného plynu alebo minerálneho oleja nie sú elektroenergetickým podnikom a nie sú povinní registrovať sa ako platiteľ dane z elektriny,</w:t>
      </w:r>
    </w:p>
    <w:p w14:paraId="1C05E328" w14:textId="77777777" w:rsidR="00C72389" w:rsidRPr="00C72389" w:rsidRDefault="00C72389" w:rsidP="00C72389">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dodávateľa elektriny, ktorým sa na účely tohto zákona rozumie osoba, ktorá má povolenie podnikať v energetike alebo potvrdenie o splnení oznamovacej povinnosti, a ktorá dodáva elektrinu konečnému spotrebiteľovi,</w:t>
      </w:r>
    </w:p>
    <w:p w14:paraId="28E8361F" w14:textId="77777777" w:rsidR="00C72389" w:rsidRPr="00C72389" w:rsidRDefault="00C72389" w:rsidP="00C72389">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plynárenského podniku,</w:t>
      </w:r>
    </w:p>
    <w:p w14:paraId="6F710CC4" w14:textId="77777777" w:rsidR="00C72389" w:rsidRPr="00C72389" w:rsidRDefault="00C72389" w:rsidP="00C72389">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dodávateľa zemného plynu, ktorým sa na účely tohto zákona rozumie osoba, ktorá má povolenie podnikať v energetike alebo potvrdenie o splnení oznamovacej povinnosti, a ktorá dodáva zemný plyn konečnému spotrebiteľovi.</w:t>
      </w:r>
    </w:p>
    <w:p w14:paraId="5F039C4F"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28906C20"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b/>
          <w:bCs/>
          <w:color w:val="000000"/>
          <w:sz w:val="24"/>
          <w:szCs w:val="24"/>
          <w:lang w:eastAsia="sk-SK"/>
        </w:rPr>
        <w:t>K bodu 2</w:t>
      </w:r>
    </w:p>
    <w:p w14:paraId="4790D0E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v základných pojmoch spresňuje definícia výroby zemného plynu, ktorá vyplýva z aplikačnej praxe, kedy bolo potrebné detailnejšie popísať, čo všetko možno chápať pod pojmom výroba zemného plynu, pričom vyňatie tejto definície spod definície plynárenského podniku má za cieľ jednoznačnejšie opísať túto činnosť, aby sa predišlo nedorozumeniam v aplikačnej praxe. Zároveň sa na základe požiadaviek z aplikačnej praxe ustanovuje definícia pohonnej látky.</w:t>
      </w:r>
    </w:p>
    <w:p w14:paraId="19AB207C"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550A0478"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3</w:t>
      </w:r>
    </w:p>
    <w:p w14:paraId="7C5A5E1C"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Touto úpravou sa na základe požiadaviek z aplikačnej praxe ustanovuje definícia paliva. Zároveň sa v súvislosti so zdieľaním elektriny a dodaním elektriny na nabíjaciu stanicu bude zdieľanie elektriny alebo dodanie elektriny na nabíjaciu stanicu na účely tohto zákona považovať za dodanie elektriny konečnému spotrebiteľovi.</w:t>
      </w:r>
    </w:p>
    <w:p w14:paraId="31D9554E"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79AA51FF" w14:textId="77777777" w:rsidR="00C72389" w:rsidRPr="00C72389" w:rsidRDefault="00C72389" w:rsidP="00C7238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w:t>
      </w:r>
      <w:r w:rsidRPr="00C72389">
        <w:rPr>
          <w:rFonts w:ascii="Times New Roman" w:eastAsia="Times New Roman" w:hAnsi="Times New Roman" w:cs="Times New Roman"/>
          <w:b/>
          <w:bCs/>
          <w:sz w:val="24"/>
          <w:szCs w:val="24"/>
          <w:lang w:eastAsia="sk-SK"/>
        </w:rPr>
        <w:t>bodom 4, 25, 30, 31, 34, 36, 37, 42 a 43</w:t>
      </w:r>
    </w:p>
    <w:p w14:paraId="16189A7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 vypustením osobitného ustanovenia pre stlačený zemný plyn § 39a.</w:t>
      </w:r>
    </w:p>
    <w:p w14:paraId="48EAF118"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782FF716"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5</w:t>
      </w:r>
    </w:p>
    <w:p w14:paraId="6327113C"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so sprecizovaním textu tak, aby bolo zrejmé, že oslobodenie sa uplatňuje len na zariadenia s výkonom do 5 MW vrátane a oslobodenie sa týka len tohto ustanovenia.</w:t>
      </w:r>
    </w:p>
    <w:p w14:paraId="6CCD0994"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10F56A5B"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6</w:t>
      </w:r>
    </w:p>
    <w:p w14:paraId="31FDD4A4"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Navrhovaným novým znením o registrácii oprávneného spotrebiteľa elektriny sa zjednodušuje systém registrácie oprávnených spotrebiteľov elektriny. Podmienky pre registráciu oprávneného spotrebiteľa elektriny ako také zostávajú rovnaké, k zmene však dochádza v prípade, ak by osoba – oprávnený spotrebiteľ elektriny bola registrovaná aj ako platiteľ dane z elektriny. Cieľom legislatívneho návrhu pritom je, aby došlo k zjednodušeniu systému registrácie a aby každá osoba mala len jedno registračné číslo, prioritne, aby bola registrovaná ako platiteľ dane z elektriny. </w:t>
      </w:r>
    </w:p>
    <w:p w14:paraId="71D3582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lastRenderedPageBreak/>
        <w:t xml:space="preserve">V praxi môžu nastať 2 scenáre, a to keď registrovaný platiteľ dane z elektriny chce vykonávať aj činnosti oslobodené od dane z elektriny, pričom v tom prípade nie je povinný požiadať o registráciu oprávneného spotrebiteľa elektriny a o vydanie povolenia na oslobodenú elektrinu. Je však, a to najmä z dôvodov kontroly (napr. samostatného odberného miesta), povinný požiadať o vydanie povolenia na používanie elektriny oslobodenej od dane. Zákon ustanovuje, aké náležitosti obsahuje žiadosť o vydanie povolenia na používanie elektriny oslobodenej od dane. </w:t>
      </w:r>
    </w:p>
    <w:p w14:paraId="53EA3320"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záujme právnej istoty a zníženia administratívnej náročnosti sú subjekty, ktoré sú, alebo chcú byť s účinnosťou od 1. júla 2025 platiteľmi dane z elektriny, a ktoré zároveň chcú vykonávať činnosti oslobodené od dane z elektriny, povinné požiadať o vydanie povolenia na používanie elektriny oslobodenej od dane, resp. o registráciu platiteľa dane z elektriny a vydanie povolenia na používanie elektriny oslobodenej od dane.</w:t>
      </w:r>
    </w:p>
    <w:p w14:paraId="5AB833CE"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Druhým scenárom je situácia, kedy sa osoba, ktorá je registrovaná ako oprávnený spotrebiteľ elektriny zaregistruje (má zámer sa zaregistrovať) ako platiteľ dane z elektriny. V tom prípade jej registrácia oprávneného spotrebiteľa elektriny a vydané povolenie na oslobodenú elektrinu zaniká registráciou za platiteľa dane z elektriny. Colný úrad v tomto prípade osobe – platiteľovi dane z elektriny vydá povolenie na používanie elektriny oslobodenej od dane. V prípade potreby overenia údajov alebo napr. pre prípad schválenia samostatného odberného miesta, či naopak, ak samostatným odberným miestom osoba nedisponuje, je ponechaná možnosť postupu podľa § 11.</w:t>
      </w:r>
    </w:p>
    <w:p w14:paraId="67A8563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návrhu je naďalej zachovaný princíp, aby nebolo možné dodať elektrinu oslobodenú od dane oprávnenému spotrebiteľovi elektriny bez vydaného povolenia na oslobodenú elektrinu. To, či je osoba registrovaná ako oprávnený spotrebiteľ elektriny, príp. či má vydané povolenie na oslobodenú elektrinu si dodávateľ môže overiť na stránke finančnej správy.</w:t>
      </w:r>
    </w:p>
    <w:p w14:paraId="4000DA9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Upúšťa sa tak od papierovej verzie dokumentov a  preukazovania sa/predkladania dokumentov dodávateľovi elektriny. Návrh zákona novelizuje ustanovenia, ktoré stanovujú v akých prípadoch a za akých podmienok dochádza alebo môže dôjsť k zrušeniu registrácie a v akých prípadoch dochádza k zániku registrácie oprávneného spotrebiteľa elektriny, príp. k odňatiu alebo zániku vydaného povolenia na oslobodenú elektrinu.</w:t>
      </w:r>
    </w:p>
    <w:p w14:paraId="7BCEC5CB"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4686EF03"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bCs/>
          <w:color w:val="000000"/>
          <w:sz w:val="24"/>
          <w:szCs w:val="24"/>
          <w:lang w:eastAsia="sk-SK"/>
        </w:rPr>
        <w:t>K bodom 7, 8 a</w:t>
      </w:r>
      <w:r w:rsidRPr="00C72389">
        <w:rPr>
          <w:rFonts w:ascii="Times New Roman" w:eastAsia="Times New Roman" w:hAnsi="Times New Roman" w:cs="Times New Roman"/>
          <w:b/>
          <w:color w:val="000000"/>
          <w:sz w:val="24"/>
          <w:szCs w:val="24"/>
          <w:lang w:eastAsia="sk-SK"/>
        </w:rPr>
        <w:t xml:space="preserve"> 13</w:t>
      </w:r>
    </w:p>
    <w:p w14:paraId="418C2014"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Navrhovaným ustanovením sa platiteľovi dane umožňuje, aby mu jeho dodávateľ elektriny dodával elektrinu s daňou. Daňová povinnosť nevzniká platiteľovi dane z elektriny, ktorý nadobudol preukázateľné zdanenú elektrinu.</w:t>
      </w:r>
    </w:p>
    <w:p w14:paraId="37B77EE0" w14:textId="77777777" w:rsidR="00C72389" w:rsidRPr="00C72389" w:rsidRDefault="00C72389" w:rsidP="00C72389">
      <w:pPr>
        <w:spacing w:after="0" w:line="240" w:lineRule="auto"/>
        <w:ind w:firstLine="567"/>
        <w:jc w:val="both"/>
        <w:rPr>
          <w:rFonts w:ascii="Times New Roman" w:eastAsia="Times New Roman" w:hAnsi="Times New Roman" w:cs="Times New Roman"/>
          <w:strike/>
          <w:sz w:val="24"/>
          <w:szCs w:val="24"/>
          <w:lang w:eastAsia="sk-SK"/>
        </w:rPr>
      </w:pPr>
      <w:r w:rsidRPr="00C72389">
        <w:rPr>
          <w:rFonts w:ascii="Times New Roman" w:eastAsia="Times New Roman" w:hAnsi="Times New Roman" w:cs="Times New Roman"/>
          <w:sz w:val="24"/>
          <w:szCs w:val="24"/>
          <w:lang w:eastAsia="sk-SK"/>
        </w:rPr>
        <w:t>V záujme právnej istoty a zníženia administratívnej náročnosti môžu subjekty, ktoré napríklad vyrábajú elektrinu z obnoviteľného zdroja a túto elektrinu spotrebúvajú a sú preto registrované ako platiteľ dane podľa § 11, dohodnúť so svojim dodávateľom dodávky elektriny s daňou. Ich daňová povinnosť potom bude vznikať iba z elektriny vyrobenej a spotrebovanej v mieste výroby tejto elektriny alebo zo spotrebovanej elektriny, ktorá bola odobratá bez dane.</w:t>
      </w:r>
    </w:p>
    <w:p w14:paraId="158B2886"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Ak elektroenergetický podnik, ktorý spotreboval inú ako ním vyrobenú elektrinu a túto elektrinu nadobudol preukázateľne zdanenú, nie je na účely tohto zákona osobou povinnou platiť daň z elektriny.</w:t>
      </w:r>
    </w:p>
    <w:p w14:paraId="169E6BA8" w14:textId="77777777" w:rsidR="00C72389" w:rsidRPr="00C72389" w:rsidRDefault="00C72389" w:rsidP="00C72389">
      <w:pPr>
        <w:spacing w:after="0" w:line="240" w:lineRule="auto"/>
        <w:ind w:firstLine="567"/>
        <w:jc w:val="both"/>
        <w:rPr>
          <w:rFonts w:ascii="Times New Roman" w:eastAsia="Times New Roman" w:hAnsi="Times New Roman" w:cs="Times New Roman"/>
          <w:bCs/>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Zároveň sa </w:t>
      </w:r>
      <w:r w:rsidRPr="00C72389">
        <w:rPr>
          <w:rFonts w:ascii="Times New Roman" w:eastAsia="Times New Roman" w:hAnsi="Times New Roman" w:cs="Times New Roman"/>
          <w:bCs/>
          <w:color w:val="000000"/>
          <w:sz w:val="24"/>
          <w:szCs w:val="24"/>
          <w:lang w:eastAsia="sk-SK"/>
        </w:rPr>
        <w:t xml:space="preserve">vypúšťa ustanovenie o vrátení dane tomuto platiteľovi dane, ktorý nadobudol preukázateľne zdanenú elektrinu. </w:t>
      </w:r>
    </w:p>
    <w:p w14:paraId="5694D0BD"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2618D228"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b/>
          <w:bCs/>
          <w:color w:val="000000"/>
          <w:sz w:val="24"/>
          <w:szCs w:val="24"/>
          <w:lang w:eastAsia="sk-SK"/>
        </w:rPr>
        <w:t>K bodu 9</w:t>
      </w:r>
    </w:p>
    <w:p w14:paraId="214306CD"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so zúžením okruhu osôb (platiteľov dane z elektriny) povinných platiť daň z elektriny.</w:t>
      </w:r>
    </w:p>
    <w:p w14:paraId="236897C7"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7E9374B2"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p>
    <w:p w14:paraId="79F0D4D6"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lastRenderedPageBreak/>
        <w:t>K bodu 10</w:t>
      </w:r>
    </w:p>
    <w:p w14:paraId="2721FF7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Navrhovaným novým znením o registrácii platiteľa dane z elektriny sa zjednodušuje systém registrácie platiteľov dane z elektriny. Podmienky pre registráciu platiteľa dane z elektriny ako také zostávajú rovnaké. </w:t>
      </w:r>
    </w:p>
    <w:p w14:paraId="5E525D75"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Cieľom legislatívneho návrhu je, zjednodušenie systému registrácie tak aby každá osoba mala len jedno registračné číslo (prioritne, aby bola registrovaná ako platiteľ dane z elektriny.)</w:t>
      </w:r>
    </w:p>
    <w:p w14:paraId="18D83A8E"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Podmienky sa menia pre osobu, ktorá je alebo chce byť platiteľom dane z elektriny a zároveň chce vykonávať činnosti oslobodené od dane z elektriny. Takáto osoba je pri registrácii povinná okrem údajov stanovených zákonom a nevyhnutných pre registráciu platiteľa dane z elektriny predložiť aj údaje súvisiace s jej zámerom vykonávať činnosti oslobodené od dane. Zákon pritom jednoznačne stanovuje podmienky (údaje a skutočnosti), ktoré musí osoba uviesť pri registrácii. Osoba, ktorá je alebo chce byť platiteľom dane z elektriny a ktorá chce zároveň vykonávať činnosti oslobodené od dane z elektriny je povinná požiadať colný úrad o registráciu platiteľa dane z elektriny a o vydanie povolenia na používanie elektriny oslobodenej od dane. Zákon explicitne stanovuje aké údaje má obsahovať žiadosť o vydanie takéhoto povolenia a aké sú prílohy k nej. Zároveň stanovuje postup v prípade, že takáto osoba nedisponuje samostatným odberným miestom výlučne na odber elektriny oslobodenej od dane, keďže bude vykonávať činnosti oslobodené od dane.</w:t>
      </w:r>
    </w:p>
    <w:p w14:paraId="3A4B2663"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Návrh zachováva princíp, aby bolo možné dodať elektrinu bez dane iba osobe, ktorá je registrovaná ako platiteľ dane z elektriny. To, či je osoba registrovaná ako platiteľ dane z elektriny si dodávateľ môže overiť na stránke finančnej správy. Upúšťa sa tak od papierovej verzie dokumentov a  preukazovania sa/predkladania dokumentov dodávateľovi elektriny. Platiteľ dane z elektriny, ktorý bude mať vydané povolenie na používanie elektriny oslobodenej od dane, si bude môcť vysporiadať oslobodenie od dane sám v daňovom priznaní, kde môže spotrebu elektriny na oslobodené účely priamo vykázať – oslobodiť.</w:t>
      </w:r>
    </w:p>
    <w:p w14:paraId="700C84C5"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Návrh zákona novelizuje ustanovenia, ktoré stanovujú v akých prípadoch a za akých podmienok dochádza alebo môže dôjsť k zrušeniu registrácie platiteľa dane z elektriny a v akých prípadoch dochádza k zániku registrácie platiteľa dane z elektriny, príp. k odňatiu alebo zániku vydaného povolenia na používanie elektriny oslobodenej od dane.</w:t>
      </w:r>
    </w:p>
    <w:p w14:paraId="2B4E6D7B"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7ACAE185"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11</w:t>
      </w:r>
    </w:p>
    <w:p w14:paraId="543AA35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 vrátením dane oprávnenému spotrebiteľovi elektriny, aby bolo možné vrátiť daň z preukázateľne zdanenej elektriny preukázateľne spotrebovanej na účely oslobodené od dane oprávnenému spotrebiteľovi bez ohľadu na to, či má, alebo nemá vydané povolenie na oslobodenú elektrinu.</w:t>
      </w:r>
    </w:p>
    <w:p w14:paraId="68998D3C"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65CC12F5"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bodom 12 a 15</w:t>
      </w:r>
    </w:p>
    <w:p w14:paraId="61002AE0"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Legislatívno-technická úprava </w:t>
      </w:r>
      <w:r w:rsidRPr="00C72389">
        <w:rPr>
          <w:rFonts w:ascii="Times New Roman" w:eastAsia="Times New Roman" w:hAnsi="Times New Roman" w:cs="Times New Roman"/>
          <w:bCs/>
          <w:color w:val="000000"/>
          <w:sz w:val="24"/>
          <w:szCs w:val="24"/>
          <w:lang w:eastAsia="sk-SK"/>
        </w:rPr>
        <w:t>spresňujúca osoby, ktoré môžu požiadať o vrátenie dane a prílohy, ktoré tieto osoby musia priložiť k daňovému priznaniu</w:t>
      </w:r>
      <w:r w:rsidRPr="00C72389">
        <w:rPr>
          <w:rFonts w:ascii="Times New Roman" w:eastAsia="Times New Roman" w:hAnsi="Times New Roman" w:cs="Times New Roman"/>
          <w:color w:val="000000"/>
          <w:sz w:val="24"/>
          <w:szCs w:val="24"/>
          <w:lang w:eastAsia="sk-SK"/>
        </w:rPr>
        <w:t>.</w:t>
      </w:r>
    </w:p>
    <w:p w14:paraId="5E79C677"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00BF9D13"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bodu 14</w:t>
      </w:r>
    </w:p>
    <w:p w14:paraId="51F98D36"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spresňuje definícia preukázateľne zdanenej elektriny na účely vrátenia dane.</w:t>
      </w:r>
    </w:p>
    <w:p w14:paraId="6DAB2A01"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5A77686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bodom 16 a 17</w:t>
      </w:r>
    </w:p>
    <w:p w14:paraId="31ED94AF"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Navrhovanou úpravou sa ustanovuje povinnosť vedenia evidencie množstva elektriny použitej na oslobodené účely platiteľom dane z elektriny, ktorý zároveň vykonáva aj činnosti oslobodené od dane a platiteľom dane, ktorý nakupuje elektrinu na účely ďalšieho predaja. </w:t>
      </w:r>
    </w:p>
    <w:p w14:paraId="026DBFD1"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476457EB"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p>
    <w:p w14:paraId="6F8DA58B"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lastRenderedPageBreak/>
        <w:t>K bodu 18</w:t>
      </w:r>
    </w:p>
    <w:p w14:paraId="2814A7CE" w14:textId="77777777" w:rsidR="00C72389" w:rsidRPr="00C72389" w:rsidRDefault="00C72389" w:rsidP="00C72389">
      <w:pPr>
        <w:spacing w:after="0" w:line="240" w:lineRule="auto"/>
        <w:ind w:firstLine="567"/>
        <w:jc w:val="both"/>
        <w:rPr>
          <w:rFonts w:ascii="Times New Roman" w:eastAsia="Times New Roman" w:hAnsi="Times New Roman" w:cs="Times New Roman"/>
          <w:bCs/>
          <w:sz w:val="24"/>
          <w:szCs w:val="24"/>
          <w:lang w:eastAsia="sk-SK"/>
        </w:rPr>
      </w:pPr>
      <w:r w:rsidRPr="00C72389">
        <w:rPr>
          <w:rFonts w:ascii="Times New Roman" w:eastAsia="Times New Roman" w:hAnsi="Times New Roman" w:cs="Times New Roman"/>
          <w:bCs/>
          <w:color w:val="000000"/>
          <w:sz w:val="24"/>
          <w:szCs w:val="24"/>
          <w:lang w:eastAsia="sk-SK"/>
        </w:rPr>
        <w:t xml:space="preserve">Legislatívno-technická úprava súvisiaca s novelizačným bodom 3, kde účelom je oslobodenie </w:t>
      </w:r>
      <w:r w:rsidRPr="00C72389">
        <w:rPr>
          <w:rFonts w:ascii="Times New Roman" w:eastAsia="Times New Roman" w:hAnsi="Times New Roman" w:cs="Times New Roman"/>
          <w:bCs/>
          <w:sz w:val="24"/>
          <w:szCs w:val="24"/>
          <w:lang w:eastAsia="sk-SK"/>
        </w:rPr>
        <w:t>elektriny vyrobenej z obnoviteľného zdroja v zariadení s celkovým inštalovaným výkonom do 50 kW a spotrebovanej alebo zdieľanej osobou ktorá ju vyrobila a spotrebovala alebo zdieľala.</w:t>
      </w:r>
    </w:p>
    <w:p w14:paraId="3B76494D" w14:textId="77777777" w:rsidR="00C72389" w:rsidRPr="00C72389" w:rsidRDefault="00C72389" w:rsidP="00C72389">
      <w:pPr>
        <w:spacing w:after="0" w:line="240" w:lineRule="auto"/>
        <w:jc w:val="both"/>
        <w:rPr>
          <w:rFonts w:ascii="Times New Roman" w:eastAsia="Times New Roman" w:hAnsi="Times New Roman" w:cs="Times New Roman"/>
          <w:bCs/>
          <w:sz w:val="24"/>
          <w:szCs w:val="24"/>
          <w:lang w:eastAsia="sk-SK"/>
        </w:rPr>
      </w:pPr>
    </w:p>
    <w:p w14:paraId="43E6E30B"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bodu 19</w:t>
      </w:r>
    </w:p>
    <w:p w14:paraId="0BA0EF32" w14:textId="77777777" w:rsidR="00C72389" w:rsidRPr="00C72389" w:rsidRDefault="00C72389" w:rsidP="00C72389">
      <w:pPr>
        <w:spacing w:after="0" w:line="240" w:lineRule="auto"/>
        <w:ind w:firstLine="567"/>
        <w:jc w:val="both"/>
        <w:rPr>
          <w:rFonts w:ascii="Times New Roman" w:eastAsia="Times New Roman" w:hAnsi="Times New Roman" w:cs="Times New Roman"/>
          <w:bCs/>
          <w:color w:val="000000"/>
          <w:sz w:val="24"/>
          <w:szCs w:val="24"/>
          <w:lang w:eastAsia="sk-SK"/>
        </w:rPr>
      </w:pPr>
      <w:r w:rsidRPr="00C72389">
        <w:rPr>
          <w:rFonts w:ascii="Times New Roman" w:eastAsia="Times New Roman" w:hAnsi="Times New Roman" w:cs="Times New Roman"/>
          <w:bCs/>
          <w:color w:val="000000"/>
          <w:sz w:val="24"/>
          <w:szCs w:val="24"/>
          <w:lang w:eastAsia="sk-SK"/>
        </w:rPr>
        <w:t>Legislatívno-technická úprava súvisiaca s vypustením osobitného ustanovenia pre nabíjacie stanice. Osobitné ustanovenia pre nabíjacie stanice sa vypúšťa z dôvodu nadbytočnosti, pretože osobe, ktorá dodáva elektrinu na nabíjaciu stanicu, alebo ju tam spotrebuje vzniká registračná povinnosť podľa § 11.</w:t>
      </w:r>
    </w:p>
    <w:p w14:paraId="38050E9B"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350E280D"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20</w:t>
      </w:r>
    </w:p>
    <w:p w14:paraId="7B23491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Navrhovaným novým znením o registrácii oprávneného spotrebiteľa uhlia sa zjednodušuje systém registrácie oprávneného spotrebiteľa uhlia. Podmienky pre registráciu oprávneného spotrebiteľa uhlia ako také zostávajú rovnaké, k zmene však dochádza v prípade, ak by osoba – oprávnený spotrebiteľ uhlia bola registrovaná aj ako platiteľ dane z uhlia. Cieľom legislatívneho návrhu pritom je, zjednodušenie systému registrácie tak, aby každá osoba mala len jedno registračné číslo (prioritne, aby bola registrovaná ako platiteľ dane z uhlia).</w:t>
      </w:r>
    </w:p>
    <w:p w14:paraId="13B81DC6"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V praxi môžu nastať 2 scenáre, a to keď registrovaný platiteľ dane z uhlia chce vykonávať aj činnosti oslobodené od dane z uhlia, pričom v tom prípade nie je povinný požiadať o registráciu oprávneného spotrebiteľa uhlia a o vydanie povolenia na oslobodené uhlie. Je však povinný požiadať o vydanie povolenia na používanie uhlia oslobodeného od dane. Zákon ustanovuje, aké náležitosti obsahuje žiadosť o vydanie povolenia na používanie uhlia oslobodeného od dane. </w:t>
      </w:r>
    </w:p>
    <w:p w14:paraId="195AF8BE"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záujme právnej istoty a zníženia administratívnej náročnosti sú subjekty, ktoré sú, alebo chcú byť s účinnosťou od 1. júla 2025 platiteľmi dane z uhlia, a ktoré zároveň chcú vykonávať činnosti oslobodené od dane z uhlia, povinné požiadať o vydanie povolenia na používanie uhlia oslobodeného od dane, resp. o registráciu platiteľa dane z uhlia a vydanie povolenia na používanie uhlia oslobodeného od dane.</w:t>
      </w:r>
    </w:p>
    <w:p w14:paraId="52055342"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Druhým scenárom je situácia, kedy sa osoba, ktorá je registrovaná ako oprávnený spotrebiteľ uhlia zaregistruje (má zámer sa zaregistrovať) ako platiteľ dane z uhlia. V tom prípade jej registrácia oprávneného spotrebiteľa uhlia a vydané povolenie na oslobodené uhlie zaniká registráciou za platiteľa dane z uhlia. Colný úrad v tomto prípade osobe – platiteľovi dane z uhlia vydá povolenie na používanie uhlia oslobodeného od dane. Pre prípad potreby overenia údajov je ponechaná možnosť postupu podľa § 23. </w:t>
      </w:r>
    </w:p>
    <w:p w14:paraId="3157FAB2"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V návrhu je naďalej zachovaný princíp, aby nebolo možné dodať uhlie oslobodené od dane oprávnenému spotrebiteľovi uhlia bez vydaného povolenia na oslobodené uhlie. To, či je osoba registrovaná ako oprávnený spotrebiteľ uhlia a či má vydané povolenie na oslobodené uhlie si dodávateľ môže overiť na stránke finančnej správy. Upúšťa sa tak od papierovej verzie dokumentov a preukazovania sa/predkladania dokumentov dodávateľovi uhlia. Návrh zákona novelizuje ustanovenia, ktoré stanovujú v akých prípadoch a za akých podmienok dochádza alebo môže dôjsť k zrušeniu registrácie a odňatiu povolenia na oslobodené uhlie a v akých prípadoch dochádza k zániku registrácie oprávneného spotrebiteľa uhlia a zániku vydaného povolenia na oslobodené uhlie. </w:t>
      </w:r>
    </w:p>
    <w:p w14:paraId="173951D6"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0D054A0C"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21</w:t>
      </w:r>
    </w:p>
    <w:p w14:paraId="1EF676E4"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Navrhovaným novým znením o registrácii platiteľa dane z uhlia sa zjednodušuje systém registrácie platiteľa dane z uhlia. Podmienky pre registráciu platiteľa dane z uhlia ako také zostávajú rovnaké.</w:t>
      </w:r>
    </w:p>
    <w:p w14:paraId="703BDC12"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lastRenderedPageBreak/>
        <w:t>Cieľom legislatívneho návrhu je, zjednodušenie systému registrácie tak, aby každá osoba mala len jedno registračné číslo (prioritne, aby bola registrovaná ako platiteľ dane z uhlia).</w:t>
      </w:r>
    </w:p>
    <w:p w14:paraId="4376972C"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Podmienky sa menia pre osobu, ktorá je alebo chce byť platiteľom dane z uhlia a zároveň chce vykonávať činnosti oslobodené od dane z uhlia. Takáto osoba je pri registrácii povinná okrem údajov stanovených zákonom a nevyhnutných pre registráciu platiteľa dane z uhlia predložiť aj údaje súvisiace s jej zámerom vykonávať činnosti oslobodené od dane. Zákon pritom jednoznačne stanovuje podmienky (údaje a skutočnosti), ktoré musí osoba uviesť pri registrácii. Osoba, ktorá je alebo chce byť platiteľom dane z uhlia a ktorá chce zároveň vykonávať činnosti oslobodené od dane z uhlia je povinná požiadať colný úrad o registráciu platiteľa dane z uhlia a o vydanie povolenia na používanie uhlia oslobodeného od dane. Zákon explicitne stanovuje aké údaje má obsahovať žiadosť o vydanie takéhoto povolenia a aké sú prílohy k nej.</w:t>
      </w:r>
    </w:p>
    <w:p w14:paraId="37925DE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Návrh zachováva princíp, aby bolo možné dodať uhlie bez dane iba osobe, ktorá je registrovaná ako platiteľ dane z uhlia. To, či je osoba registrovaná ako platiteľ dane z uhlia si dodávateľ môže overiť na stránke finančnej správy. Upúšťa sa tak od papierovej verzie dokumentov a preukazovania sa/predkladania dokumentov dodávateľovi uhlia. Platiteľ dane z uhlia, ktorý bude mať vydané povolenie na používanie uhlia oslobodeného od dane si bude môcť vysporiadať oslobodenie od dane sám v daňovom priznaní, kde môže spotrebu uhlia na oslobodené účely priamo vykázať – oslobodiť.</w:t>
      </w:r>
    </w:p>
    <w:p w14:paraId="05296ED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Návrh zákona novelizuje ustanovenia, ktoré stanovujú v akých prípadoch a za akých podmienok dochádza alebo môže dôjsť k zrušeniu registrácie platiteľa dane z uhlia a v akých prípadoch dochádza k zániku registrácie platiteľa dane z uhlia, príp. k odňatiu alebo zániku vydaného povolenia na používanie uhlia oslobodeného od dane.</w:t>
      </w:r>
    </w:p>
    <w:p w14:paraId="218DF49D"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5DEE01F3"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22</w:t>
      </w:r>
    </w:p>
    <w:p w14:paraId="0ECDBC1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spresňuje definícia preukázateľne zdaneného uhlia na účely vrátenia dane.</w:t>
      </w:r>
    </w:p>
    <w:p w14:paraId="05B59F04"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23A21C12"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23</w:t>
      </w:r>
    </w:p>
    <w:p w14:paraId="1D1B9A2F"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Touto úpravou sa ustanovuje povinnosť vedenia evidencie množstva uhlia použitého na oslobodené účely platiteľom dane z uhlia, ktorý zároveň vykonáva aj činnosti oslobodené od dane.</w:t>
      </w:r>
    </w:p>
    <w:p w14:paraId="46F6C707"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043E3C1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24</w:t>
      </w:r>
    </w:p>
    <w:p w14:paraId="62945BC7"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bookmarkStart w:id="4" w:name="_Hlk184895286"/>
      <w:r w:rsidRPr="00C72389">
        <w:rPr>
          <w:rFonts w:ascii="Times New Roman" w:eastAsia="Times New Roman" w:hAnsi="Times New Roman" w:cs="Times New Roman"/>
          <w:sz w:val="24"/>
          <w:szCs w:val="24"/>
          <w:lang w:eastAsia="sk-SK"/>
        </w:rPr>
        <w:t>Navrhovanou úpravou sa jednoznačnejšie definuje predmet dane. Nomenklatúrne zatriedenie predmetu dane je definované v nariadení (EHS) č. 2658/87 v platnom znení, avšak pre zvýšenie právnej istoty je definovaný aj slovným opisom v predmete dane. Predmetom dane je zemný plyn, ktorým sa na účely tohto zákona rozumie skvapalnený zemný plyn kódu kombinovanej nomenklatúry 2711 11 00, zemný plyn v plynnom stave a stlačený zemný plyn kódu kombinovanej nomenklatúry 2711 21 00, plyn získaný z biomasy, ktorým je aj bioplyn a biometán a iné plyny v plynnom alebo v stlačenom stave kódu kombinovanej nomenklatúry 2711 29 00, svietiplyn, vodný plyn, generátorový plyn a podobné plyny iné ako ropné plyny a ostatné plynné uhľovodíky kódu kombinovanej nomenklatúry 2705 00 00 a akýkoľvek iný plyn, ktorý nie je zatriedený do uvedených kódov kombinovanej nomenklatúry, a ktorý nie je predmetom spotrebnej dane z minerálneho oleja, a bol použitý ako palivo alebo ako pohonná látka. Zdaňovanie zemného plynu používaného na motorové účely upravuje čl. 2 bod 3 smernice Rady 2003/96/ES z 27. októbra 2003 o reštrukturalizácii právneho rámca spoločenstva pre zdaňovanie energetických výrobkov a elektriny v platnom znení.</w:t>
      </w:r>
    </w:p>
    <w:bookmarkEnd w:id="4"/>
    <w:p w14:paraId="7091D32E"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255F8F83"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5E115B8C"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lastRenderedPageBreak/>
        <w:t>K</w:t>
      </w:r>
      <w:r w:rsidRPr="00C72389">
        <w:rPr>
          <w:rFonts w:ascii="Times New Roman" w:eastAsia="Times New Roman" w:hAnsi="Times New Roman" w:cs="Times New Roman"/>
          <w:b/>
          <w:color w:val="000000"/>
          <w:sz w:val="24"/>
          <w:szCs w:val="24"/>
          <w:lang w:eastAsia="sk-SK"/>
        </w:rPr>
        <w:t xml:space="preserve"> bodu 26</w:t>
      </w:r>
    </w:p>
    <w:p w14:paraId="5AF1E439"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vertAlign w:val="superscript"/>
          <w:lang w:eastAsia="sk-SK"/>
        </w:rPr>
      </w:pPr>
      <w:r w:rsidRPr="00C72389">
        <w:rPr>
          <w:rFonts w:ascii="Times New Roman" w:eastAsia="Times New Roman" w:hAnsi="Times New Roman" w:cs="Times New Roman"/>
          <w:sz w:val="24"/>
          <w:szCs w:val="24"/>
          <w:lang w:eastAsia="sk-SK"/>
        </w:rPr>
        <w:t>Navrhovanou úpravou sa ustanovuje prevodový kľúč na prepočet zemného plynu z kg na MWh za účelom vyjadrenia predmetu dane v súlade s týmto zákonom. Na stanovený koeficient prepočtu zemného plynu z kg na MWh sa použili konštanty: hustota 0,7 kg/m</w:t>
      </w:r>
      <w:r w:rsidRPr="00C72389">
        <w:rPr>
          <w:rFonts w:ascii="Times New Roman" w:eastAsia="Times New Roman" w:hAnsi="Times New Roman" w:cs="Times New Roman"/>
          <w:sz w:val="24"/>
          <w:szCs w:val="24"/>
          <w:vertAlign w:val="superscript"/>
          <w:lang w:eastAsia="sk-SK"/>
        </w:rPr>
        <w:t xml:space="preserve">3 </w:t>
      </w:r>
      <w:r w:rsidRPr="00C72389">
        <w:rPr>
          <w:rFonts w:ascii="Times New Roman" w:eastAsia="Times New Roman" w:hAnsi="Times New Roman" w:cs="Times New Roman"/>
          <w:sz w:val="24"/>
          <w:szCs w:val="24"/>
          <w:lang w:eastAsia="sk-SK"/>
        </w:rPr>
        <w:t>a spaľovacie teplo 10,55 kWh/ m</w:t>
      </w:r>
      <w:r w:rsidRPr="00C72389">
        <w:rPr>
          <w:rFonts w:ascii="Times New Roman" w:eastAsia="Times New Roman" w:hAnsi="Times New Roman" w:cs="Times New Roman"/>
          <w:sz w:val="24"/>
          <w:szCs w:val="24"/>
          <w:vertAlign w:val="superscript"/>
          <w:lang w:eastAsia="sk-SK"/>
        </w:rPr>
        <w:t>3</w:t>
      </w:r>
      <w:r w:rsidRPr="00C72389">
        <w:rPr>
          <w:rFonts w:ascii="Times New Roman" w:eastAsia="Times New Roman" w:hAnsi="Times New Roman" w:cs="Times New Roman"/>
          <w:sz w:val="24"/>
          <w:szCs w:val="24"/>
          <w:lang w:eastAsia="sk-SK"/>
        </w:rPr>
        <w:t>.</w:t>
      </w:r>
    </w:p>
    <w:p w14:paraId="0CCD3ACC"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385560A7"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w:t>
      </w:r>
      <w:r w:rsidRPr="00C72389">
        <w:rPr>
          <w:rFonts w:ascii="Times New Roman" w:eastAsia="Times New Roman" w:hAnsi="Times New Roman" w:cs="Times New Roman"/>
          <w:b/>
          <w:color w:val="000000"/>
          <w:sz w:val="24"/>
          <w:szCs w:val="24"/>
          <w:lang w:eastAsia="sk-SK"/>
        </w:rPr>
        <w:t xml:space="preserve"> bodu 27</w:t>
      </w:r>
    </w:p>
    <w:p w14:paraId="3E69B784"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primerane upravujú sadzby dane pre zemný plyn a to s ohľadom na jeho použitie.</w:t>
      </w:r>
    </w:p>
    <w:p w14:paraId="78B21C6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Vzhľadom na to, že </w:t>
      </w:r>
      <w:bookmarkStart w:id="5" w:name="_Hlk187222054"/>
      <w:r w:rsidRPr="00C72389">
        <w:rPr>
          <w:rFonts w:ascii="Times New Roman" w:eastAsia="Times New Roman" w:hAnsi="Times New Roman" w:cs="Times New Roman"/>
          <w:sz w:val="24"/>
          <w:szCs w:val="24"/>
          <w:lang w:eastAsia="sk-SK"/>
        </w:rPr>
        <w:t>v súčasnosti stanovená sadzba dane nepokrýva situáciu, kedy je zemný plyn použitý ako pohonná látka,</w:t>
      </w:r>
      <w:bookmarkEnd w:id="5"/>
      <w:r w:rsidRPr="00C72389">
        <w:rPr>
          <w:rFonts w:ascii="Times New Roman" w:eastAsia="Times New Roman" w:hAnsi="Times New Roman" w:cs="Times New Roman"/>
          <w:sz w:val="24"/>
          <w:szCs w:val="24"/>
          <w:lang w:eastAsia="sk-SK"/>
        </w:rPr>
        <w:t xml:space="preserve"> predkladateľ na základe poznatkov z aplikačnej praxe navrhuje, aby bola takáto sadzba dane ustanovená. Zároveň sa ustanovuje sadzba dane na zemný plyn používaný na iný účel ako palivo na výrobu tepla alebo ako pohonná látka. Zámerom tejto úpravy je riešiť situácie, kedy oprávnený spotrebiteľ, ktorý nemá samostatné odberné miesto na odber zemného plynu oslobodeného od dane použije zemný plyn, ktorý nakúpil za cenu s daňou, na iné účely ako palivo na výrobu tepla alebo ako pohonnú látku a žiada o vrátenie dane. Stanovenie sadzby dane zaistí vyššiu právnu istotu pri vrátení dane v praxi.</w:t>
      </w:r>
    </w:p>
    <w:p w14:paraId="63F90A10"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6403F5E1"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28</w:t>
      </w:r>
    </w:p>
    <w:p w14:paraId="06FCB26D"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sz w:val="24"/>
          <w:szCs w:val="24"/>
          <w:lang w:eastAsia="sk-SK"/>
        </w:rPr>
        <w:t xml:space="preserve">Navrhovaným novým znením o registrácii </w:t>
      </w:r>
      <w:r w:rsidRPr="00C72389">
        <w:rPr>
          <w:rFonts w:ascii="Times New Roman" w:eastAsia="Times New Roman" w:hAnsi="Times New Roman" w:cs="Times New Roman"/>
          <w:color w:val="000000"/>
          <w:sz w:val="24"/>
          <w:szCs w:val="24"/>
          <w:lang w:eastAsia="sk-SK"/>
        </w:rPr>
        <w:t>oprávneného spotrebiteľa zemného plynu</w:t>
      </w:r>
      <w:r w:rsidRPr="00C72389">
        <w:rPr>
          <w:rFonts w:ascii="Times New Roman" w:eastAsia="Times New Roman" w:hAnsi="Times New Roman" w:cs="Times New Roman"/>
          <w:sz w:val="24"/>
          <w:szCs w:val="24"/>
          <w:lang w:eastAsia="sk-SK"/>
        </w:rPr>
        <w:t xml:space="preserve"> sa zjednodušuje systému registrácie </w:t>
      </w:r>
      <w:r w:rsidRPr="00C72389">
        <w:rPr>
          <w:rFonts w:ascii="Times New Roman" w:eastAsia="Times New Roman" w:hAnsi="Times New Roman" w:cs="Times New Roman"/>
          <w:color w:val="000000"/>
          <w:sz w:val="24"/>
          <w:szCs w:val="24"/>
          <w:lang w:eastAsia="sk-SK"/>
        </w:rPr>
        <w:t>oprávneného spotrebiteľa zemného plynu.</w:t>
      </w:r>
    </w:p>
    <w:p w14:paraId="2755B27A"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Podmienky pre registráciu oprávneného spotrebiteľa zemného plynu ako také zostávajú rovnaké, k zmene však dochádza v prípade, ak by osoba – oprávnený spotrebiteľ zemného plynu bola registrovaná aj ako platiteľ dane zo zemného plynu. Cieľom legislatívneho návrhu je, zjednodušenie systému registrácie, tak aby každá osoba mala len jedno registračné číslo (prioritne, aby bola registrovaná ako platiteľ dane zo zemného plynu).</w:t>
      </w:r>
    </w:p>
    <w:p w14:paraId="1DACB29C"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V praxi môžu nastať 2 scenáre, a to keď registrovaný platiteľ dane zo zemného plynu chce vykonávať aj činnosti oslobodené od dane zo zemného plynu, pričom v tom prípade nie je povinný požiadať o registráciu oprávneného spotrebiteľa zemného plynu a o vydanie povolenia na oslobodený zemný plyn. Je však, a to najmä z dôvodov kontroly (napr. samostatného odberného miesta), povinný požiadať o vydanie povolenia na používanie zemného plynu oslobodeného od dane.</w:t>
      </w:r>
      <w:r w:rsidRPr="00C72389">
        <w:rPr>
          <w:rFonts w:ascii="Times New Roman" w:eastAsia="Times New Roman" w:hAnsi="Times New Roman" w:cs="Times New Roman"/>
          <w:color w:val="FF0000"/>
          <w:sz w:val="24"/>
          <w:szCs w:val="24"/>
          <w:lang w:eastAsia="sk-SK"/>
        </w:rPr>
        <w:t xml:space="preserve"> </w:t>
      </w:r>
      <w:r w:rsidRPr="00C72389">
        <w:rPr>
          <w:rFonts w:ascii="Times New Roman" w:eastAsia="Times New Roman" w:hAnsi="Times New Roman" w:cs="Times New Roman"/>
          <w:color w:val="000000"/>
          <w:sz w:val="24"/>
          <w:szCs w:val="24"/>
          <w:lang w:eastAsia="sk-SK"/>
        </w:rPr>
        <w:t>Zákon ustanovuje, aké náležitosti obsahuje žiadosť o vydanie povolenia na používanie zemného plynu oslobodeného od dane.</w:t>
      </w:r>
    </w:p>
    <w:p w14:paraId="054CDEAC"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V záujme právnej istoty a zníženia administratívnej náročnosti sú subjekty, ktoré sú alebo chcú byť s účinnosťou od 1. júla 2025 platiteľmi dane zo zemného plynu, a ktoré zároveň chcú vykonávať činnosti oslobodené od dane zo zemného plynu povinné požiadať o vydanie povolenia na používanie zemného plynu oslobodeného od dane, resp. o registráciu platiteľa dane zo zemného plynu a vydanie povolenia na používanie zemného plynu oslobodeného od dane.</w:t>
      </w:r>
    </w:p>
    <w:p w14:paraId="71071159" w14:textId="77777777" w:rsidR="00C72389" w:rsidRPr="00C72389" w:rsidRDefault="00C72389" w:rsidP="00C72389">
      <w:pPr>
        <w:tabs>
          <w:tab w:val="left" w:pos="567"/>
        </w:tabs>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Druhým scenárom je situácia, kedy sa osoba, ktorá je registrovaná ako oprávnený spotrebiteľ zemného plynu zaregistruje (má zámer sa zaregistrovať) ako platiteľ dane zo zemného plynu.</w:t>
      </w:r>
      <w:r w:rsidRPr="00C72389">
        <w:rPr>
          <w:rFonts w:ascii="Times New Roman" w:eastAsia="Times New Roman" w:hAnsi="Times New Roman" w:cs="Times New Roman"/>
          <w:color w:val="FF0000"/>
          <w:sz w:val="24"/>
          <w:szCs w:val="24"/>
          <w:lang w:eastAsia="sk-SK"/>
        </w:rPr>
        <w:t xml:space="preserve"> </w:t>
      </w:r>
      <w:r w:rsidRPr="00C72389">
        <w:rPr>
          <w:rFonts w:ascii="Times New Roman" w:eastAsia="Times New Roman" w:hAnsi="Times New Roman" w:cs="Times New Roman"/>
          <w:color w:val="000000"/>
          <w:sz w:val="24"/>
          <w:szCs w:val="24"/>
          <w:lang w:eastAsia="sk-SK"/>
        </w:rPr>
        <w:t>V tom prípade jej registrácia oprávneného spotrebiteľa zemného plynu a vydané povolenie na oslobodený zemný plyn zaniká registráciou za platiteľa dane zo zemného plynu.</w:t>
      </w:r>
      <w:r w:rsidRPr="00C72389">
        <w:rPr>
          <w:rFonts w:ascii="Times New Roman" w:eastAsia="Times New Roman" w:hAnsi="Times New Roman" w:cs="Times New Roman"/>
          <w:color w:val="FF0000"/>
          <w:sz w:val="24"/>
          <w:szCs w:val="24"/>
          <w:lang w:eastAsia="sk-SK"/>
        </w:rPr>
        <w:t xml:space="preserve"> </w:t>
      </w:r>
      <w:r w:rsidRPr="00C72389">
        <w:rPr>
          <w:rFonts w:ascii="Times New Roman" w:eastAsia="Times New Roman" w:hAnsi="Times New Roman" w:cs="Times New Roman"/>
          <w:color w:val="000000"/>
          <w:sz w:val="24"/>
          <w:szCs w:val="24"/>
          <w:lang w:eastAsia="sk-SK"/>
        </w:rPr>
        <w:t xml:space="preserve">Colný úrad v tomto prípade osobe – platiteľovi dane zo zemného plynu vydá povolenie na používanie zemného plynu oslobodeného od dane. V prípade potreby overenia údajov alebo napr. pre prípad schválenia samostatného odberného miesta, či naopak, ak samostatným odberným miestom osoba nedisponuje, je ponechaná možnosť postupu podľa </w:t>
      </w:r>
      <w:r w:rsidRPr="00C72389">
        <w:rPr>
          <w:rFonts w:ascii="Times New Roman" w:eastAsia="Times New Roman" w:hAnsi="Times New Roman" w:cs="Times New Roman"/>
          <w:color w:val="000000"/>
          <w:sz w:val="24"/>
          <w:szCs w:val="24"/>
          <w:lang w:eastAsia="sk-SK"/>
        </w:rPr>
        <w:br/>
        <w:t>§ 35.</w:t>
      </w:r>
    </w:p>
    <w:p w14:paraId="37316B42"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lastRenderedPageBreak/>
        <w:t xml:space="preserve">V návrhu je naďalej zachovaný princíp, aby nebolo možné dodať zemný plyn oslobodený od dane oprávnenému spotrebiteľovi zemného plynu bez vydaného povolenia na oslobodený zemný plyn. To, či je osoba registrovaná ako oprávnený spotrebiteľ zemného plynu, príp. či má vydané povolenie na oslobodený zemný plyn si dodávateľ môže overiť na stránke </w:t>
      </w:r>
      <w:r w:rsidRPr="00C72389">
        <w:rPr>
          <w:rFonts w:ascii="Times New Roman" w:eastAsia="Times New Roman" w:hAnsi="Times New Roman" w:cs="Times New Roman"/>
          <w:sz w:val="24"/>
          <w:szCs w:val="24"/>
          <w:lang w:eastAsia="sk-SK"/>
        </w:rPr>
        <w:t>finančnej správy</w:t>
      </w:r>
      <w:r w:rsidRPr="00C72389">
        <w:rPr>
          <w:rFonts w:ascii="Times New Roman" w:eastAsia="Times New Roman" w:hAnsi="Times New Roman" w:cs="Times New Roman"/>
          <w:color w:val="000000"/>
          <w:sz w:val="24"/>
          <w:szCs w:val="24"/>
          <w:lang w:eastAsia="sk-SK"/>
        </w:rPr>
        <w:t>. Upúšťa sa tak od papierovej verzie dokumentov a  preukazovania sa/predkladania dokumentov dodávateľovi zemného plynu. Návrh zákona novelizuje ustanovenia, ktoré stanovujú v akých prípadoch a za akých podmienok dochádza alebo môže dôjsť k zrušeniu registrácie a v akých prípadoch dochádza k zániku registrácie oprávneného spotrebiteľa zemného plynu, príp. k odňatiu alebo zániku vydaného povolenia na oslobodený zemný plyn.</w:t>
      </w:r>
    </w:p>
    <w:p w14:paraId="7DEC9A6A"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78ECD3BC"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29</w:t>
      </w:r>
    </w:p>
    <w:p w14:paraId="3083BD9F" w14:textId="77777777" w:rsidR="00C72389" w:rsidRPr="00C72389" w:rsidRDefault="00C72389" w:rsidP="00C72389">
      <w:pPr>
        <w:spacing w:after="0"/>
        <w:ind w:firstLine="567"/>
        <w:contextualSpacing/>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Navrhovanou úpravou sa za dodanie zemného plynu na daňovom území konečnému spotrebiteľovi považuje aj dodanie zemného plynu do priestoru čerpacej stanice, ktorá tento plyn dodáva ako pohonnú látku pre motorové vozidla. V praxi to znamená, že aj čerpacie stanice, ktoré poskytujú zemný plyn (napr. vo forme CNG a LNG) ako palivo pre vozidlá, sa považujú za miesta, kde dochádza k spotrebe zemného plynu konečným spotrebiteľom.</w:t>
      </w:r>
    </w:p>
    <w:p w14:paraId="490E4D02" w14:textId="77777777" w:rsidR="00C72389" w:rsidRPr="00C72389" w:rsidRDefault="00C72389" w:rsidP="00C72389">
      <w:pPr>
        <w:spacing w:after="0"/>
        <w:contextualSpacing/>
        <w:jc w:val="both"/>
        <w:rPr>
          <w:rFonts w:ascii="Times New Roman" w:eastAsia="Times New Roman" w:hAnsi="Times New Roman" w:cs="Times New Roman"/>
          <w:color w:val="000000"/>
          <w:sz w:val="24"/>
          <w:szCs w:val="24"/>
          <w:lang w:eastAsia="sk-SK"/>
        </w:rPr>
      </w:pPr>
    </w:p>
    <w:p w14:paraId="44AD342C"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bodom 32, 33 a 40</w:t>
      </w:r>
    </w:p>
    <w:p w14:paraId="43B74BC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Daňová povinnosť nevzniká platiteľovi dane zo zemného plynu, ktorý nadobudol preukázateľne zdanený zemný plyn. Uvedeným ustanovením sa platiteľovi dane umožňuje, aby mu jeho dodávateľ zemného plynu dodával zemný plyn s daňou. </w:t>
      </w:r>
    </w:p>
    <w:p w14:paraId="69E322A7"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záujme právnej istoty a zníženia administratívnej náročnosti môžu subjekty, ktoré sú platiteľom dane, ale zároveň aj konečným spotrebiteľom zemného plynu dohodnúť so svojim dodávateľom na určených odberných miestach dodávky zemného plynu s daňou. Ich daňová povinnosť potom bude vznikať iba zo zemného plynu, ktorý platiteľ dane vyrobil a spotreboval, alebo odobral bez dane.</w:t>
      </w:r>
    </w:p>
    <w:p w14:paraId="49B54931"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Ak plynárenský podnik alebo dodávateľ zemného plynu, ktorý spotreboval iný ako ním vyrobený zemný plyn a tento zemný plyn nadobudol preukázateľne zdanený, nie je na účely tohto zákona osobou povinnou platiť daň z elektriny.</w:t>
      </w:r>
    </w:p>
    <w:p w14:paraId="4AC5C58D" w14:textId="77777777" w:rsidR="00C72389" w:rsidRPr="00C72389" w:rsidRDefault="00C72389" w:rsidP="00C72389">
      <w:pPr>
        <w:spacing w:after="0" w:line="240" w:lineRule="auto"/>
        <w:ind w:firstLine="567"/>
        <w:jc w:val="both"/>
        <w:rPr>
          <w:rFonts w:ascii="Times New Roman" w:eastAsia="Times New Roman" w:hAnsi="Times New Roman" w:cs="Times New Roman"/>
          <w:bCs/>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Zároveň sa </w:t>
      </w:r>
      <w:r w:rsidRPr="00C72389">
        <w:rPr>
          <w:rFonts w:ascii="Times New Roman" w:eastAsia="Times New Roman" w:hAnsi="Times New Roman" w:cs="Times New Roman"/>
          <w:bCs/>
          <w:color w:val="000000"/>
          <w:sz w:val="24"/>
          <w:szCs w:val="24"/>
          <w:lang w:eastAsia="sk-SK"/>
        </w:rPr>
        <w:t>vypúšťa ustanovenie o vrátení dane tomuto platiteľovi dane, ktorý nadobudol preukázateľne zdanený zemný plyn.</w:t>
      </w:r>
    </w:p>
    <w:p w14:paraId="20388984"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340057E2"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35</w:t>
      </w:r>
    </w:p>
    <w:p w14:paraId="0C384528"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sz w:val="24"/>
          <w:szCs w:val="24"/>
          <w:lang w:eastAsia="sk-SK"/>
        </w:rPr>
        <w:t xml:space="preserve">Navrhovaným novým znením o registrácii </w:t>
      </w:r>
      <w:r w:rsidRPr="00C72389">
        <w:rPr>
          <w:rFonts w:ascii="Times New Roman" w:eastAsia="Times New Roman" w:hAnsi="Times New Roman" w:cs="Times New Roman"/>
          <w:color w:val="000000"/>
          <w:sz w:val="24"/>
          <w:szCs w:val="24"/>
          <w:lang w:eastAsia="sk-SK"/>
        </w:rPr>
        <w:t>platiteľa dane zo zemného plynu</w:t>
      </w:r>
      <w:r w:rsidRPr="00C72389">
        <w:rPr>
          <w:rFonts w:ascii="Times New Roman" w:eastAsia="Times New Roman" w:hAnsi="Times New Roman" w:cs="Times New Roman"/>
          <w:sz w:val="24"/>
          <w:szCs w:val="24"/>
          <w:lang w:eastAsia="sk-SK"/>
        </w:rPr>
        <w:t xml:space="preserve"> sa zjednodušuje systém registrácie </w:t>
      </w:r>
      <w:r w:rsidRPr="00C72389">
        <w:rPr>
          <w:rFonts w:ascii="Times New Roman" w:eastAsia="Times New Roman" w:hAnsi="Times New Roman" w:cs="Times New Roman"/>
          <w:color w:val="000000"/>
          <w:sz w:val="24"/>
          <w:szCs w:val="24"/>
          <w:lang w:eastAsia="sk-SK"/>
        </w:rPr>
        <w:t xml:space="preserve">platiteľa dane zo zemného plynu. Podmienky pre registráciu platiteľa dane zo zemného plynu ako také zostávajú rovnaké. </w:t>
      </w:r>
    </w:p>
    <w:p w14:paraId="65C1D104"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Cieľom legislatívneho návrhu je, aby došlo k zjednodušeniu systému registrácie a aby každá osoba mala len jedno registračné číslo, prioritne, aby bola registrovaná ako platiteľ dane zo zemného plynu. </w:t>
      </w:r>
    </w:p>
    <w:p w14:paraId="577C7D37"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Podmienky sa menia pre osobu, ktorá je alebo chce byť platiteľom dane zo zemného plynu a zároveň chce vykonávať činnosti oslobodené od dane zo zemného plynu. Takáto osoba je pri registrácii povinná okrem údajov stanovených zákonom, a nevyhnutných pre registráciu platiteľa dane zo zemného plynu, predložiť aj údaje súvisiace s jej zámerom vykonávať činnosti oslobodené od dane. Zákon pritom jednoznačne stanovuje podmienky (údaje a skutočnosti), ktoré musí osoba uviesť pri registrácii. Osoba, ktorá je alebo chce byť platiteľom dane zo zemného plynu, a ktorá chce zároveň vykonávať činnosti oslobodené od dane zo zemného plynu, je povinná požiadať colný úrad o registráciu platiteľa dane zo zemného plynu a o vydanie povolenia na používanie zemného plynu oslobodeného od dane. Zákon explicitne stanovuje aké údaje má obsahovať žiadosť o vydanie takéhoto povolenia a aké sú prílohy k nej. Zároveň stanovuje postup v prípade, že takáto osoba nedisponuje samostatným odberným </w:t>
      </w:r>
      <w:r w:rsidRPr="00C72389">
        <w:rPr>
          <w:rFonts w:ascii="Times New Roman" w:eastAsia="Times New Roman" w:hAnsi="Times New Roman" w:cs="Times New Roman"/>
          <w:color w:val="000000"/>
          <w:sz w:val="24"/>
          <w:szCs w:val="24"/>
          <w:lang w:eastAsia="sk-SK"/>
        </w:rPr>
        <w:lastRenderedPageBreak/>
        <w:t>miestom výlučne na odber zemného plynu oslobodeného od dane, keďže bude vykonávať činnosti oslobodené od dane.</w:t>
      </w:r>
    </w:p>
    <w:p w14:paraId="5DDC7CFF"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Návrh zachováva princíp, aby bolo možné dodať zemný plyn bez dane iba osobe, ktorá je registrovaná ako platiteľ dane zo zemného plynu. To, či je osoba registrovaná ako platiteľ dane zo zemného plynu si dodávateľ môže overiť na stránke </w:t>
      </w:r>
      <w:r w:rsidRPr="00C72389">
        <w:rPr>
          <w:rFonts w:ascii="Times New Roman" w:eastAsia="Times New Roman" w:hAnsi="Times New Roman" w:cs="Times New Roman"/>
          <w:sz w:val="24"/>
          <w:szCs w:val="24"/>
          <w:lang w:eastAsia="sk-SK"/>
        </w:rPr>
        <w:t>finančnej správy</w:t>
      </w:r>
      <w:r w:rsidRPr="00C72389">
        <w:rPr>
          <w:rFonts w:ascii="Times New Roman" w:eastAsia="Times New Roman" w:hAnsi="Times New Roman" w:cs="Times New Roman"/>
          <w:color w:val="000000"/>
          <w:sz w:val="24"/>
          <w:szCs w:val="24"/>
          <w:lang w:eastAsia="sk-SK"/>
        </w:rPr>
        <w:t>. Upúšťa sa tak od papierovej verzie dokumentov a preukazovania sa/predkladania dokumentov dodávateľovi zemného plynu. Platiteľ dane zo zemného plynu, ktorý bude mať vydané povolenie na používanie zemného plynu oslobodeného od dane si bude môcť vysporiadať oslobodenie od dane sám v daňovom priznaní, kde môže spotrebu zemného plynu na oslobodené účely priamo vykázať – oslobodiť.</w:t>
      </w:r>
    </w:p>
    <w:p w14:paraId="6EB4308E"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Návrh zákona novelizuje ustanovenia, ktoré stanovujú v akých prípadoch a za akých podmienok dochádza alebo môže dôjsť k zrušeniu registrácie platiteľa dane zo zemného plynu a v akých prípadoch dochádza k zániku registrácie platiteľa dane zo zemného plynu, príp. k odňatiu alebo zániku vydaného povolenia na používanie zemného plynu oslobodeného od dane.</w:t>
      </w:r>
    </w:p>
    <w:p w14:paraId="11B7A356"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4D01D583"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38</w:t>
      </w:r>
    </w:p>
    <w:p w14:paraId="5A68D010" w14:textId="77777777" w:rsidR="00C72389" w:rsidRPr="00C72389" w:rsidRDefault="00C72389" w:rsidP="00C72389">
      <w:pPr>
        <w:spacing w:after="0" w:line="240" w:lineRule="auto"/>
        <w:ind w:firstLine="567"/>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sz w:val="24"/>
          <w:szCs w:val="24"/>
          <w:lang w:eastAsia="sk-SK"/>
        </w:rPr>
        <w:t>Touto úpravou sa umožňuje oprávnenému spotrebiteľovi zemného plynu vrátiť daň z preukázateľne zdaneného zemného plynu preukázateľne spotrebovaného na účely oslobodené od dane oprávnenému spotrebiteľovi, a to bez ohľadu na skutočnosť, či má, alebo nemá vydané povolenie na oslobodený zemný plyn.</w:t>
      </w:r>
    </w:p>
    <w:p w14:paraId="0202EEFA"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45969548"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39</w:t>
      </w:r>
    </w:p>
    <w:p w14:paraId="3CE9C84C"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spresňuje definícia preukázateľne zdaneného zemného plynu na účely vrátenia dane.</w:t>
      </w:r>
    </w:p>
    <w:p w14:paraId="6FB5CD9E"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2C9E2794"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41</w:t>
      </w:r>
    </w:p>
    <w:p w14:paraId="4A6111F0"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ktorou sa ustanovuje povinnosť vedenia evidencie množstva</w:t>
      </w:r>
      <w:r w:rsidRPr="00C72389">
        <w:rPr>
          <w:rFonts w:ascii="Times New Roman" w:eastAsia="Times New Roman" w:hAnsi="Times New Roman" w:cs="Times New Roman"/>
          <w:color w:val="000000"/>
          <w:sz w:val="24"/>
          <w:szCs w:val="24"/>
          <w:lang w:eastAsia="sk-SK"/>
        </w:rPr>
        <w:t xml:space="preserve"> zemného plynu použitého na </w:t>
      </w:r>
      <w:r w:rsidRPr="00C72389">
        <w:rPr>
          <w:rFonts w:ascii="Times New Roman" w:eastAsia="Times New Roman" w:hAnsi="Times New Roman" w:cs="Times New Roman"/>
          <w:sz w:val="24"/>
          <w:szCs w:val="24"/>
          <w:lang w:eastAsia="sk-SK"/>
        </w:rPr>
        <w:t>oslobodené účely platiteľom dane zo zemného plynu, ktorý zároveň vykonáva aj činnosti oslobodené od dane.</w:t>
      </w:r>
    </w:p>
    <w:p w14:paraId="08F9EE5F" w14:textId="77777777" w:rsidR="00C72389" w:rsidRPr="00C72389" w:rsidRDefault="00C72389" w:rsidP="00C72389">
      <w:pPr>
        <w:contextualSpacing/>
        <w:rPr>
          <w:rFonts w:ascii="Times New Roman" w:eastAsia="Times New Roman" w:hAnsi="Times New Roman" w:cs="Times New Roman"/>
          <w:color w:val="000000"/>
          <w:kern w:val="16"/>
          <w:sz w:val="24"/>
          <w:szCs w:val="24"/>
          <w:lang w:eastAsia="sk-SK"/>
        </w:rPr>
      </w:pPr>
    </w:p>
    <w:p w14:paraId="773A5F3E" w14:textId="77777777" w:rsidR="00C72389" w:rsidRPr="00C72389" w:rsidRDefault="00C72389" w:rsidP="00C72389">
      <w:pPr>
        <w:contextualSpacing/>
        <w:rPr>
          <w:rFonts w:ascii="Times New Roman" w:eastAsia="Times New Roman" w:hAnsi="Times New Roman" w:cs="Times New Roman"/>
          <w:b/>
          <w:color w:val="000000"/>
          <w:kern w:val="16"/>
          <w:sz w:val="24"/>
          <w:szCs w:val="24"/>
          <w:lang w:eastAsia="sk-SK"/>
        </w:rPr>
      </w:pPr>
      <w:r w:rsidRPr="00C72389">
        <w:rPr>
          <w:rFonts w:ascii="Times New Roman" w:eastAsia="Times New Roman" w:hAnsi="Times New Roman" w:cs="Times New Roman"/>
          <w:b/>
          <w:color w:val="000000"/>
          <w:kern w:val="16"/>
          <w:sz w:val="24"/>
          <w:szCs w:val="24"/>
          <w:lang w:eastAsia="sk-SK"/>
        </w:rPr>
        <w:t xml:space="preserve">K bodom 44 </w:t>
      </w:r>
    </w:p>
    <w:p w14:paraId="1564B839" w14:textId="77777777" w:rsidR="00C72389" w:rsidRPr="00C72389" w:rsidRDefault="00C72389" w:rsidP="00C72389">
      <w:pPr>
        <w:ind w:firstLine="567"/>
        <w:contextualSpacing/>
        <w:jc w:val="both"/>
        <w:rPr>
          <w:rFonts w:ascii="Times New Roman" w:eastAsia="Times New Roman" w:hAnsi="Times New Roman" w:cs="Times New Roman"/>
          <w:bCs/>
          <w:color w:val="000000"/>
          <w:kern w:val="16"/>
          <w:sz w:val="24"/>
          <w:szCs w:val="24"/>
          <w:lang w:eastAsia="sk-SK"/>
        </w:rPr>
      </w:pPr>
      <w:r w:rsidRPr="00C72389">
        <w:rPr>
          <w:rFonts w:ascii="Times New Roman" w:eastAsia="Times New Roman" w:hAnsi="Times New Roman" w:cs="Times New Roman"/>
          <w:bCs/>
          <w:color w:val="000000"/>
          <w:kern w:val="16"/>
          <w:sz w:val="24"/>
          <w:szCs w:val="24"/>
          <w:lang w:eastAsia="sk-SK"/>
        </w:rPr>
        <w:t>Navrhovanou úpravou sa elektronická databáza vedená colným úradom a Finančným riaditeľstvom SR rozširuje o identifikačné údaje oprávnených spotrebiteľov elektriny s vydaným povolením na oslobodenú elektrinu, oprávnených spotrebiteľov uhlia s vydaným povolením na oslobodené uhlie, oprávnených spotrebiteľov zemného plynu s vydaným povolením na oslobodený zemný plyn, registračné číslo, dátum pridelenia registračného čísla a dátum zrušenia registračného čísla.</w:t>
      </w:r>
    </w:p>
    <w:p w14:paraId="53FC2F5C" w14:textId="77777777" w:rsidR="00C72389" w:rsidRPr="00C72389" w:rsidRDefault="00C72389" w:rsidP="00C72389">
      <w:pPr>
        <w:contextualSpacing/>
        <w:rPr>
          <w:rFonts w:ascii="Times New Roman" w:eastAsia="Times New Roman" w:hAnsi="Times New Roman" w:cs="Times New Roman"/>
          <w:color w:val="000000"/>
          <w:kern w:val="16"/>
          <w:sz w:val="24"/>
          <w:szCs w:val="24"/>
          <w:lang w:eastAsia="sk-SK"/>
        </w:rPr>
      </w:pPr>
    </w:p>
    <w:p w14:paraId="0CB1AF4C" w14:textId="77777777" w:rsidR="00C72389" w:rsidRPr="00C72389" w:rsidRDefault="00C72389" w:rsidP="00C72389">
      <w:pPr>
        <w:contextualSpacing/>
        <w:rPr>
          <w:rFonts w:ascii="Times New Roman" w:eastAsia="Times New Roman" w:hAnsi="Times New Roman" w:cs="Times New Roman"/>
          <w:b/>
          <w:color w:val="000000"/>
          <w:kern w:val="16"/>
          <w:sz w:val="24"/>
          <w:szCs w:val="24"/>
          <w:lang w:eastAsia="sk-SK"/>
        </w:rPr>
      </w:pPr>
      <w:r w:rsidRPr="00C72389">
        <w:rPr>
          <w:rFonts w:ascii="Times New Roman" w:eastAsia="Times New Roman" w:hAnsi="Times New Roman" w:cs="Times New Roman"/>
          <w:b/>
          <w:color w:val="000000"/>
          <w:kern w:val="16"/>
          <w:sz w:val="24"/>
          <w:szCs w:val="24"/>
          <w:lang w:eastAsia="sk-SK"/>
        </w:rPr>
        <w:t>K bodu 45</w:t>
      </w:r>
    </w:p>
    <w:p w14:paraId="179EA60B" w14:textId="77777777" w:rsidR="00C72389" w:rsidRPr="00C72389" w:rsidRDefault="00C72389" w:rsidP="00C72389">
      <w:pPr>
        <w:spacing w:after="0"/>
        <w:ind w:firstLine="567"/>
        <w:contextualSpacing/>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so zavedením povinnosti pre Finančné riaditeľstvo SR uverejniť na svojom webovom sídle údaje podľa § 42 ods. 2.</w:t>
      </w:r>
    </w:p>
    <w:p w14:paraId="3C54A6A6" w14:textId="77777777" w:rsidR="00C72389" w:rsidRPr="00C72389" w:rsidRDefault="00C72389" w:rsidP="00C72389">
      <w:pPr>
        <w:spacing w:after="0" w:line="240" w:lineRule="auto"/>
        <w:contextualSpacing/>
        <w:jc w:val="both"/>
        <w:rPr>
          <w:rFonts w:ascii="Times New Roman" w:eastAsia="Times New Roman" w:hAnsi="Times New Roman" w:cs="Times New Roman"/>
          <w:color w:val="000000"/>
          <w:sz w:val="24"/>
          <w:szCs w:val="24"/>
          <w:lang w:eastAsia="sk-SK"/>
        </w:rPr>
      </w:pPr>
    </w:p>
    <w:p w14:paraId="168A000E"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46</w:t>
      </w:r>
    </w:p>
    <w:p w14:paraId="4730D315"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b/>
          <w:color w:val="000000"/>
          <w:kern w:val="16"/>
          <w:sz w:val="24"/>
          <w:szCs w:val="24"/>
          <w:lang w:eastAsia="sk-SK"/>
        </w:rPr>
      </w:pPr>
      <w:r w:rsidRPr="00C72389">
        <w:rPr>
          <w:rFonts w:ascii="Times New Roman" w:eastAsia="Times New Roman" w:hAnsi="Times New Roman" w:cs="Times New Roman"/>
          <w:sz w:val="24"/>
          <w:szCs w:val="24"/>
          <w:lang w:eastAsia="sk-SK"/>
        </w:rPr>
        <w:t>Navrhovanou úpravou sa menia a dopĺňajú definície správnych deliktov a upravujú sa sankcie, a to v súvislosti so zmenou povinností pre platiteľov dane a oprávnených spotrebiteľov elektriny, uhlia a zemného plynu.</w:t>
      </w:r>
    </w:p>
    <w:p w14:paraId="371E96BC"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2B89766D"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p>
    <w:p w14:paraId="5390FC0D"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lastRenderedPageBreak/>
        <w:t>K bodu 47</w:t>
      </w:r>
    </w:p>
    <w:p w14:paraId="7C22715C"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ktorá ustanovujú ustanovenia, pri ktorých sa použije Daňový poriadok.</w:t>
      </w:r>
    </w:p>
    <w:p w14:paraId="5063D32D" w14:textId="77777777" w:rsidR="00C72389" w:rsidRPr="00C72389" w:rsidRDefault="00C72389" w:rsidP="00C72389">
      <w:pPr>
        <w:spacing w:after="0" w:line="240" w:lineRule="auto"/>
        <w:contextualSpacing/>
        <w:jc w:val="both"/>
        <w:rPr>
          <w:rFonts w:ascii="Times New Roman" w:eastAsia="Times New Roman" w:hAnsi="Times New Roman" w:cs="Times New Roman"/>
          <w:color w:val="000000"/>
          <w:sz w:val="24"/>
          <w:szCs w:val="24"/>
          <w:lang w:eastAsia="sk-SK"/>
        </w:rPr>
      </w:pPr>
    </w:p>
    <w:p w14:paraId="20A94FD3"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48</w:t>
      </w:r>
    </w:p>
    <w:p w14:paraId="1A680967"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jednoznačne ustanovuje, proti ktorým rozhodnutiam vydaným colným úradom nebude možné podať odvolanie.</w:t>
      </w:r>
    </w:p>
    <w:p w14:paraId="243D6D4A" w14:textId="77777777" w:rsidR="00C72389" w:rsidRPr="00C72389" w:rsidRDefault="00C72389" w:rsidP="00C72389">
      <w:pPr>
        <w:spacing w:after="0" w:line="240" w:lineRule="auto"/>
        <w:contextualSpacing/>
        <w:jc w:val="both"/>
        <w:rPr>
          <w:rFonts w:ascii="Times New Roman" w:eastAsia="Times New Roman" w:hAnsi="Times New Roman" w:cs="Times New Roman"/>
          <w:sz w:val="24"/>
          <w:szCs w:val="24"/>
          <w:lang w:eastAsia="sk-SK"/>
        </w:rPr>
      </w:pPr>
    </w:p>
    <w:p w14:paraId="6396848D"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49</w:t>
      </w:r>
    </w:p>
    <w:p w14:paraId="2067F8CE"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sz w:val="24"/>
          <w:szCs w:val="24"/>
          <w:lang w:eastAsia="sk-SK"/>
        </w:rPr>
        <w:t>Navrhovanou úpravou sa upresňuje, že p</w:t>
      </w:r>
      <w:r w:rsidRPr="00C72389">
        <w:rPr>
          <w:rFonts w:ascii="Times New Roman" w:eastAsia="Times New Roman" w:hAnsi="Times New Roman" w:cs="Times New Roman"/>
          <w:color w:val="000000"/>
          <w:sz w:val="24"/>
          <w:szCs w:val="24"/>
          <w:lang w:eastAsia="sk-SK"/>
        </w:rPr>
        <w:t>ri vydávaní povolenia na oslobodenú elektrinu, povolenia na oslobodené uhlie, povolenia na oslobodený zemný plyn, povolenia na používanie elektriny oslobodenej od dane, povolenia na používanie uhlia oslobodeného od dane a povolenia na používanie zemného plynu oslobodeného od dane sa použije postup podľa § 67 Daňového poriadku.</w:t>
      </w:r>
    </w:p>
    <w:p w14:paraId="4FC0B9AC"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2F9FD639"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50</w:t>
      </w:r>
    </w:p>
    <w:p w14:paraId="21EA2146"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nadväznosti na vykonané úpravy je potrebné legislatívno-technicky upraviť prechodné ustanovenia.</w:t>
      </w:r>
    </w:p>
    <w:p w14:paraId="2E0B48BB" w14:textId="77777777" w:rsidR="00C72389" w:rsidRPr="00C72389" w:rsidRDefault="00C72389" w:rsidP="00C72389">
      <w:pPr>
        <w:spacing w:after="0" w:line="240" w:lineRule="auto"/>
        <w:contextualSpacing/>
        <w:jc w:val="both"/>
        <w:rPr>
          <w:rFonts w:ascii="Times New Roman" w:eastAsia="Times New Roman" w:hAnsi="Times New Roman" w:cs="Times New Roman"/>
          <w:color w:val="000000"/>
          <w:sz w:val="24"/>
          <w:szCs w:val="24"/>
          <w:lang w:eastAsia="sk-SK"/>
        </w:rPr>
      </w:pPr>
    </w:p>
    <w:p w14:paraId="01F200A9"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51</w:t>
      </w:r>
    </w:p>
    <w:p w14:paraId="3C0FF4E3" w14:textId="77777777" w:rsidR="00C72389" w:rsidRPr="00C72389" w:rsidRDefault="00C72389" w:rsidP="00C72389">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sk-SK"/>
        </w:rPr>
      </w:pPr>
      <w:r w:rsidRPr="00C72389">
        <w:rPr>
          <w:rFonts w:ascii="Times New Roman" w:eastAsia="Times New Roman" w:hAnsi="Times New Roman" w:cs="Times New Roman"/>
          <w:sz w:val="24"/>
          <w:szCs w:val="24"/>
          <w:lang w:eastAsia="sk-SK"/>
        </w:rPr>
        <w:t>Navrhovanou úpravou sa ustanovuje z</w:t>
      </w:r>
      <w:r w:rsidRPr="00C72389">
        <w:rPr>
          <w:rFonts w:ascii="Times New Roman" w:eastAsia="Times New Roman" w:hAnsi="Times New Roman" w:cs="Times New Roman"/>
          <w:color w:val="000000"/>
          <w:sz w:val="24"/>
          <w:szCs w:val="24"/>
          <w:lang w:eastAsia="sk-SK"/>
        </w:rPr>
        <w:t xml:space="preserve">rušovacieho ustanovenie a zrušuje sa vyhláška </w:t>
      </w:r>
      <w:r w:rsidRPr="00C72389">
        <w:rPr>
          <w:rFonts w:ascii="Times New Roman" w:eastAsia="Times New Roman" w:hAnsi="Times New Roman" w:cs="Times New Roman"/>
          <w:bCs/>
          <w:color w:val="000000"/>
          <w:sz w:val="24"/>
          <w:szCs w:val="24"/>
          <w:lang w:eastAsia="sk-SK"/>
        </w:rPr>
        <w:t>Ministerstva financií Slovenskej republiky č. 367/2019 Z. z., ktorou sa ustanovujú vzory daňových priznaní a dodatočných daňových priznaní k spotrebnej dani z elektriny, uhlia a zemného plynu. Vzory tlačív daňových priznaní v súlade s Daňovým poriadkom určí Ministerstvo financií SR a uverejní ich na svojom webovom sídle</w:t>
      </w:r>
    </w:p>
    <w:p w14:paraId="4B3289B9" w14:textId="77777777" w:rsidR="00C72389" w:rsidRPr="00C72389" w:rsidRDefault="00C72389" w:rsidP="00C72389">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sk-SK"/>
        </w:rPr>
      </w:pPr>
    </w:p>
    <w:p w14:paraId="6CDA6635"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52 a 53</w:t>
      </w:r>
    </w:p>
    <w:p w14:paraId="118FDD97" w14:textId="77777777" w:rsidR="00C72389" w:rsidRPr="00C72389" w:rsidRDefault="00C72389" w:rsidP="00C72389">
      <w:pPr>
        <w:spacing w:after="0" w:line="240" w:lineRule="auto"/>
        <w:ind w:firstLine="567"/>
        <w:jc w:val="both"/>
        <w:rPr>
          <w:rFonts w:ascii="Times New Roman" w:eastAsia="Times New Roman" w:hAnsi="Times New Roman" w:cs="Times New Roman"/>
          <w:bCs/>
          <w:sz w:val="24"/>
          <w:szCs w:val="24"/>
          <w:lang w:eastAsia="sk-SK"/>
        </w:rPr>
      </w:pPr>
      <w:r w:rsidRPr="00C72389">
        <w:rPr>
          <w:rFonts w:ascii="Times New Roman" w:eastAsia="Times New Roman" w:hAnsi="Times New Roman" w:cs="Times New Roman"/>
          <w:sz w:val="24"/>
          <w:szCs w:val="24"/>
          <w:lang w:eastAsia="sk-SK"/>
        </w:rPr>
        <w:t>V súvislosti s transpozíciou smernice Rady (EÚ) 2020/262 z 19. decembra 2019, ktorou sa ustanovuje všeobecný systém spotrebných daní (prepracované znenie) v platnom znení, sa navrhuje primerane upraviť prílohu č. 2 novelizovaného zákona.</w:t>
      </w:r>
    </w:p>
    <w:p w14:paraId="5734B7B4" w14:textId="77777777" w:rsidR="00C72389" w:rsidRPr="00C72389" w:rsidRDefault="00C72389" w:rsidP="00C72389">
      <w:pPr>
        <w:spacing w:after="0" w:line="240" w:lineRule="auto"/>
        <w:rPr>
          <w:rFonts w:ascii="Times New Roman" w:eastAsia="Times New Roman" w:hAnsi="Times New Roman" w:cs="Times New Roman"/>
          <w:sz w:val="24"/>
          <w:szCs w:val="24"/>
          <w:highlight w:val="yellow"/>
          <w:lang w:eastAsia="sk-SK"/>
        </w:rPr>
      </w:pPr>
    </w:p>
    <w:p w14:paraId="1C786A08" w14:textId="77777777" w:rsidR="00C72389" w:rsidRPr="006D18F1" w:rsidRDefault="00C72389" w:rsidP="00C72389">
      <w:pPr>
        <w:spacing w:after="0" w:line="240" w:lineRule="auto"/>
        <w:rPr>
          <w:rFonts w:ascii="Times New Roman" w:eastAsia="Times New Roman" w:hAnsi="Times New Roman" w:cs="Times New Roman"/>
          <w:sz w:val="24"/>
          <w:szCs w:val="24"/>
          <w:lang w:eastAsia="sk-SK"/>
        </w:rPr>
      </w:pPr>
    </w:p>
    <w:p w14:paraId="52886F20"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článku II</w:t>
      </w:r>
    </w:p>
    <w:p w14:paraId="571BFDA2"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67DE15FA"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 xml:space="preserve">K bodu 1 </w:t>
      </w:r>
    </w:p>
    <w:p w14:paraId="4DFE07C3"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ktorou sa spresňujú minerálne oleje podliehajúce kontrole a postupu pri preprave.</w:t>
      </w:r>
    </w:p>
    <w:p w14:paraId="257CABEB"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3ADC1550"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bodu 2</w:t>
      </w:r>
    </w:p>
    <w:p w14:paraId="282A67B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súlade s vykonávacím nariadením Komisie (EÚ) 2024/2522 z 23. septembra 2024, ktorým sa mení príloha I k nariadeniu Rady (EHS) č. 2658/87 o colnej a štatistickej nomenklatúre a o Spoločnom colnom sadzobníku sa upravujú kódy kombinovanej nomenklatúry pre plynový olej.</w:t>
      </w:r>
    </w:p>
    <w:p w14:paraId="7DD9C685"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26A1E3DD"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r w:rsidRPr="00C72389">
        <w:rPr>
          <w:rFonts w:ascii="Times New Roman" w:eastAsia="Times New Roman" w:hAnsi="Times New Roman" w:cs="Times New Roman"/>
          <w:b/>
          <w:sz w:val="24"/>
          <w:szCs w:val="24"/>
          <w:lang w:eastAsia="sk-SK"/>
        </w:rPr>
        <w:t>K bodu 3</w:t>
      </w:r>
    </w:p>
    <w:p w14:paraId="2BAF5F64" w14:textId="77777777" w:rsidR="00C72389" w:rsidRPr="00C72389" w:rsidRDefault="00C72389" w:rsidP="00C72389">
      <w:pPr>
        <w:widowControl w:val="0"/>
        <w:tabs>
          <w:tab w:val="num" w:pos="3969"/>
        </w:tabs>
        <w:autoSpaceDE w:val="0"/>
        <w:autoSpaceDN w:val="0"/>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Navrhovanou úpravou sa ustanovuje osobitná sadzba dane na skvapalnené plynné uhľovodíky kódu kombinovanej nomenklatúry 2711 19 00, ktorými sú skvapalnený bioplyn a biometán, ktorá je rovnaká ako sadzba dane pre zemný plyn podľa zákona č. 609/2007 Z. z. určený na použitie alebo použitý ako pohonná látka.</w:t>
      </w:r>
    </w:p>
    <w:p w14:paraId="01EB4B76"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22319CA6"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lastRenderedPageBreak/>
        <w:t>K článku III</w:t>
      </w:r>
    </w:p>
    <w:p w14:paraId="64535356"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6BB0EB92"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1</w:t>
      </w:r>
    </w:p>
    <w:p w14:paraId="7D4A3E5D" w14:textId="77777777" w:rsidR="00C72389" w:rsidRPr="00C72389" w:rsidRDefault="00C72389" w:rsidP="00C72389">
      <w:pPr>
        <w:spacing w:after="0" w:line="240" w:lineRule="auto"/>
        <w:ind w:firstLine="567"/>
        <w:jc w:val="both"/>
        <w:rPr>
          <w:rFonts w:ascii="Times New Roman" w:eastAsia="Times New Roman" w:hAnsi="Times New Roman" w:cs="Times New Roman"/>
          <w:bCs/>
          <w:sz w:val="24"/>
          <w:szCs w:val="24"/>
          <w:lang w:eastAsia="sk-SK"/>
        </w:rPr>
      </w:pPr>
      <w:r w:rsidRPr="00C72389">
        <w:rPr>
          <w:rFonts w:ascii="Times New Roman" w:eastAsia="Times New Roman" w:hAnsi="Times New Roman" w:cs="Times New Roman"/>
          <w:bCs/>
          <w:sz w:val="24"/>
          <w:szCs w:val="24"/>
          <w:lang w:eastAsia="sk-SK"/>
        </w:rPr>
        <w:t xml:space="preserve">Touto úpravou sa mení vnútorný odkaz v rámci zákona </w:t>
      </w:r>
      <w:r w:rsidRPr="00C72389">
        <w:rPr>
          <w:rFonts w:ascii="Times New Roman" w:eastAsia="Times New Roman" w:hAnsi="Times New Roman" w:cs="Times New Roman"/>
          <w:sz w:val="24"/>
          <w:szCs w:val="24"/>
          <w:lang w:eastAsia="sk-SK"/>
        </w:rPr>
        <w:t>č. 414/2012 Z. z. o obchodovaní s emisnými kvótami a o zmene a doplnení niektorých zákonov v znení neskorších predpisov, ktorým sa na účely tohto zákona definuje regulovaný subjekt</w:t>
      </w:r>
      <w:r w:rsidRPr="00C72389">
        <w:rPr>
          <w:rFonts w:ascii="Times New Roman" w:eastAsia="Times New Roman" w:hAnsi="Times New Roman" w:cs="Times New Roman"/>
          <w:bCs/>
          <w:sz w:val="24"/>
          <w:szCs w:val="24"/>
          <w:lang w:eastAsia="sk-SK"/>
        </w:rPr>
        <w:t xml:space="preserve">. </w:t>
      </w:r>
      <w:bookmarkStart w:id="6" w:name="_Hlk187222921"/>
      <w:r w:rsidRPr="00C72389">
        <w:rPr>
          <w:rFonts w:ascii="Times New Roman" w:eastAsia="Times New Roman" w:hAnsi="Times New Roman" w:cs="Times New Roman"/>
          <w:bCs/>
          <w:sz w:val="24"/>
          <w:szCs w:val="24"/>
          <w:lang w:eastAsia="sk-SK"/>
        </w:rPr>
        <w:t xml:space="preserve">Povinnosti v rámci systému obchodovania s emisnými kvótami pre oblasť budov, cestnej dopravy a iné odvetvia sa vzťahujú na osoby povinné platiť daň, ktoré uvádzajú palivo na trh pre účely v Prílohe č. 1 </w:t>
      </w:r>
      <w:bookmarkEnd w:id="6"/>
      <w:r w:rsidRPr="00C72389">
        <w:rPr>
          <w:rFonts w:ascii="Times New Roman" w:eastAsia="Times New Roman" w:hAnsi="Times New Roman" w:cs="Times New Roman"/>
          <w:bCs/>
          <w:sz w:val="24"/>
          <w:szCs w:val="24"/>
          <w:lang w:eastAsia="sk-SK"/>
        </w:rPr>
        <w:t>Tabuľke B zákona č. 414/2012 Z. z. o obchodovaní s emisnými kvótami a o zmene a doplnení niektorých zákonov.</w:t>
      </w:r>
    </w:p>
    <w:p w14:paraId="24477F95"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65F62C1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2</w:t>
      </w:r>
    </w:p>
    <w:p w14:paraId="3006CB65" w14:textId="77777777" w:rsidR="00C72389" w:rsidRPr="00C72389" w:rsidRDefault="00C72389" w:rsidP="00C72389">
      <w:pPr>
        <w:spacing w:after="0" w:line="240" w:lineRule="auto"/>
        <w:ind w:firstLine="567"/>
        <w:jc w:val="both"/>
        <w:rPr>
          <w:rFonts w:ascii="Times New Roman" w:eastAsia="Times New Roman" w:hAnsi="Times New Roman" w:cs="Times New Roman"/>
          <w:bCs/>
          <w:sz w:val="24"/>
          <w:szCs w:val="24"/>
          <w:lang w:eastAsia="sk-SK"/>
        </w:rPr>
      </w:pPr>
      <w:bookmarkStart w:id="7" w:name="_Hlk187223215"/>
      <w:r w:rsidRPr="00C72389">
        <w:rPr>
          <w:rFonts w:ascii="Times New Roman" w:eastAsia="Times New Roman" w:hAnsi="Times New Roman" w:cs="Times New Roman"/>
          <w:bCs/>
          <w:sz w:val="24"/>
          <w:szCs w:val="24"/>
          <w:lang w:eastAsia="sk-SK"/>
        </w:rPr>
        <w:t>Za palivo, v rozsahu systému obchodovania s emisnými kvótami pre oblasť budov cestnej dopravy a iné odvetvia, sa nepovažuje elektrina. Emisie, ktoré vznikajú pri výrobe elektrickej energii sú už vykazované regulovanými subjektmi, ktoré uvádzajú palivá na trh pre účely v Prílohe č. 1</w:t>
      </w:r>
      <w:bookmarkEnd w:id="7"/>
      <w:r w:rsidRPr="00C72389">
        <w:rPr>
          <w:rFonts w:ascii="Times New Roman" w:eastAsia="Times New Roman" w:hAnsi="Times New Roman" w:cs="Times New Roman"/>
          <w:bCs/>
          <w:sz w:val="24"/>
          <w:szCs w:val="24"/>
          <w:lang w:eastAsia="sk-SK"/>
        </w:rPr>
        <w:t xml:space="preserve"> Tabuľke B zákona č. 414/2012 Z. z. o obchodovaní s emisnými kvótami a o zmene a doplnení niektorých zákonov, vrátane výroby elektrickej energie.</w:t>
      </w:r>
    </w:p>
    <w:p w14:paraId="0FB5B564"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48FC6CAF"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3</w:t>
      </w:r>
    </w:p>
    <w:p w14:paraId="16E247A0"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bCs/>
          <w:sz w:val="24"/>
          <w:szCs w:val="24"/>
          <w:lang w:eastAsia="sk-SK"/>
        </w:rPr>
        <w:t>Navrhovanou úpravou sa z dôvodu vylúčenia elektriny ako paliva v rozsahu systému obchodovania s emisnými kvótami skleníkových plynov pre odvetvie budov, cestnej dopravy a iné odvetvia v novelizačnom bode 2 primerane upravuje súvisiaci vnútorný odkaz.</w:t>
      </w:r>
    </w:p>
    <w:p w14:paraId="01E274A2"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67A12478"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w:t>
      </w:r>
    </w:p>
    <w:p w14:paraId="2C010396"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Vylúčením oprávnených spotrebiteľov z elektriny, uhlia a zemného plynu z regulovaných subjektov sa primerane upravuje definícia uvedenia paliva na trh a zároveň sa </w:t>
      </w:r>
      <w:r w:rsidRPr="00C72389">
        <w:rPr>
          <w:rFonts w:ascii="Times New Roman" w:eastAsia="Times New Roman" w:hAnsi="Times New Roman" w:cs="Times New Roman"/>
          <w:bCs/>
          <w:sz w:val="24"/>
          <w:szCs w:val="24"/>
          <w:lang w:eastAsia="sk-SK"/>
        </w:rPr>
        <w:t>navrhuje úprava súvisiacich vnútorných odkazov.</w:t>
      </w:r>
    </w:p>
    <w:p w14:paraId="3DF362DD"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3D249C2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5</w:t>
      </w:r>
    </w:p>
    <w:p w14:paraId="4087D5F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ktorou sa navrhuje zosúladenie kondicionality bezodplatného prideľovania emisných kvót týkajúcej sa vykonávania opatrení na zlepšenie energetickej efektívnosti s delegovaným nariadením Komisie (EÚ) 2019/331 z 19. decembra 2018, ktorým sa ustanovujú prechodné pravidlá harmonizácie bezodplatného prideľovania emisných kvót podľa článku 10a smernice Európskeho parlamentu a Rady 2003/87/ES, platné v celej Únii v platnom znení.</w:t>
      </w:r>
    </w:p>
    <w:p w14:paraId="36285559"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0E2B3646"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článku IV</w:t>
      </w:r>
    </w:p>
    <w:p w14:paraId="2ACDC218"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405A5F8F" w14:textId="77777777" w:rsidR="00C6485B" w:rsidRPr="00C6485B" w:rsidRDefault="00C6485B" w:rsidP="00C6485B">
      <w:pPr>
        <w:tabs>
          <w:tab w:val="left" w:pos="709"/>
        </w:tabs>
        <w:spacing w:after="0" w:line="240" w:lineRule="auto"/>
        <w:ind w:firstLine="567"/>
        <w:jc w:val="both"/>
        <w:rPr>
          <w:rFonts w:ascii="Times New Roman" w:eastAsia="Times New Roman" w:hAnsi="Times New Roman" w:cs="Times New Roman"/>
          <w:color w:val="000000"/>
          <w:sz w:val="24"/>
          <w:szCs w:val="24"/>
          <w:lang w:eastAsia="sk-SK"/>
        </w:rPr>
      </w:pPr>
      <w:r w:rsidRPr="00C6485B">
        <w:rPr>
          <w:rFonts w:ascii="Times New Roman" w:eastAsia="Times New Roman" w:hAnsi="Times New Roman" w:cs="Times New Roman"/>
          <w:sz w:val="24"/>
          <w:szCs w:val="24"/>
          <w:lang w:eastAsia="sk-SK"/>
        </w:rPr>
        <w:t>Tento zákon nadobúda účinnosť 1. mája 2025 okrem čl. I bodov 1 až 49, 51 až 53, čl. II bodu 3 a čl. III bodov 1 až 4, ktoré nadobúdajú účinnosť 1. júla 2025.</w:t>
      </w:r>
    </w:p>
    <w:p w14:paraId="3AE4F50A" w14:textId="77777777" w:rsidR="00446332" w:rsidRDefault="00446332" w:rsidP="00C6485B">
      <w:pPr>
        <w:tabs>
          <w:tab w:val="left" w:pos="709"/>
        </w:tabs>
        <w:spacing w:after="0" w:line="240" w:lineRule="auto"/>
        <w:jc w:val="center"/>
        <w:rPr>
          <w:rFonts w:ascii="Times New Roman" w:eastAsia="Times New Roman" w:hAnsi="Times New Roman" w:cs="Times New Roman"/>
          <w:sz w:val="24"/>
          <w:szCs w:val="24"/>
          <w:lang w:eastAsia="sk-SK"/>
        </w:rPr>
      </w:pPr>
    </w:p>
    <w:p w14:paraId="462434EA" w14:textId="7321C350" w:rsidR="00446332" w:rsidRDefault="00CB637B" w:rsidP="00CB637B">
      <w:pPr>
        <w:tabs>
          <w:tab w:val="left" w:pos="709"/>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Bratislave dňa 15. januára 2025</w:t>
      </w:r>
    </w:p>
    <w:p w14:paraId="714ECBF2" w14:textId="77777777" w:rsidR="00CB637B" w:rsidRDefault="00CB637B" w:rsidP="00CB637B">
      <w:pPr>
        <w:tabs>
          <w:tab w:val="left" w:pos="709"/>
        </w:tabs>
        <w:spacing w:after="0" w:line="240" w:lineRule="auto"/>
        <w:rPr>
          <w:rFonts w:ascii="Times New Roman" w:eastAsia="Times New Roman" w:hAnsi="Times New Roman" w:cs="Times New Roman"/>
          <w:sz w:val="24"/>
          <w:szCs w:val="24"/>
          <w:lang w:eastAsia="sk-SK"/>
        </w:rPr>
      </w:pPr>
    </w:p>
    <w:p w14:paraId="65EA52F9" w14:textId="77777777" w:rsidR="00C6485B" w:rsidRDefault="00C6485B" w:rsidP="00446332">
      <w:pPr>
        <w:tabs>
          <w:tab w:val="left" w:pos="709"/>
        </w:tabs>
        <w:spacing w:after="0" w:line="240" w:lineRule="auto"/>
        <w:jc w:val="center"/>
        <w:rPr>
          <w:rFonts w:ascii="Times New Roman" w:eastAsia="Times New Roman" w:hAnsi="Times New Roman" w:cs="Times New Roman"/>
          <w:sz w:val="24"/>
          <w:szCs w:val="24"/>
          <w:lang w:eastAsia="sk-SK"/>
        </w:rPr>
      </w:pPr>
    </w:p>
    <w:p w14:paraId="550F68C8" w14:textId="228AE948" w:rsidR="00446332" w:rsidRPr="009418BC" w:rsidRDefault="00446332" w:rsidP="00446332">
      <w:pPr>
        <w:tabs>
          <w:tab w:val="left" w:pos="709"/>
        </w:tabs>
        <w:spacing w:after="0" w:line="240" w:lineRule="auto"/>
        <w:jc w:val="center"/>
        <w:rPr>
          <w:rFonts w:ascii="Times New Roman" w:eastAsia="Times New Roman" w:hAnsi="Times New Roman" w:cs="Times New Roman"/>
          <w:b/>
          <w:sz w:val="24"/>
          <w:szCs w:val="24"/>
          <w:lang w:eastAsia="sk-SK"/>
        </w:rPr>
      </w:pPr>
      <w:r w:rsidRPr="009418BC">
        <w:rPr>
          <w:rFonts w:ascii="Times New Roman" w:eastAsia="Times New Roman" w:hAnsi="Times New Roman" w:cs="Times New Roman"/>
          <w:b/>
          <w:sz w:val="24"/>
          <w:szCs w:val="24"/>
          <w:lang w:eastAsia="sk-SK"/>
        </w:rPr>
        <w:t>Robert Fico, v. r.</w:t>
      </w:r>
    </w:p>
    <w:p w14:paraId="4B33B578" w14:textId="77777777" w:rsidR="00446332" w:rsidRPr="00446332" w:rsidRDefault="00446332" w:rsidP="00446332">
      <w:pPr>
        <w:tabs>
          <w:tab w:val="left" w:pos="709"/>
        </w:tabs>
        <w:spacing w:after="0" w:line="240" w:lineRule="auto"/>
        <w:jc w:val="center"/>
        <w:rPr>
          <w:rFonts w:ascii="Times New Roman" w:eastAsia="Times New Roman" w:hAnsi="Times New Roman" w:cs="Times New Roman"/>
          <w:sz w:val="24"/>
          <w:szCs w:val="24"/>
          <w:lang w:eastAsia="sk-SK"/>
        </w:rPr>
      </w:pPr>
      <w:r w:rsidRPr="00446332">
        <w:rPr>
          <w:rFonts w:ascii="Times New Roman" w:eastAsia="Times New Roman" w:hAnsi="Times New Roman" w:cs="Times New Roman"/>
          <w:sz w:val="24"/>
          <w:szCs w:val="24"/>
          <w:lang w:eastAsia="sk-SK"/>
        </w:rPr>
        <w:t>predseda vlády Slovenskej republiky</w:t>
      </w:r>
    </w:p>
    <w:p w14:paraId="19C59D41" w14:textId="77777777" w:rsidR="00446332" w:rsidRPr="00446332" w:rsidRDefault="00446332" w:rsidP="00446332">
      <w:pPr>
        <w:tabs>
          <w:tab w:val="left" w:pos="709"/>
        </w:tabs>
        <w:spacing w:after="0" w:line="240" w:lineRule="auto"/>
        <w:jc w:val="center"/>
        <w:rPr>
          <w:rFonts w:ascii="Times New Roman" w:eastAsia="Times New Roman" w:hAnsi="Times New Roman" w:cs="Times New Roman"/>
          <w:sz w:val="24"/>
          <w:szCs w:val="24"/>
          <w:lang w:eastAsia="sk-SK"/>
        </w:rPr>
      </w:pPr>
    </w:p>
    <w:p w14:paraId="3863F1E7" w14:textId="77777777" w:rsidR="00C6485B" w:rsidRPr="00446332" w:rsidRDefault="00C6485B" w:rsidP="00446332">
      <w:pPr>
        <w:tabs>
          <w:tab w:val="left" w:pos="709"/>
        </w:tabs>
        <w:spacing w:after="0" w:line="240" w:lineRule="auto"/>
        <w:jc w:val="center"/>
        <w:rPr>
          <w:rFonts w:ascii="Times New Roman" w:eastAsia="Times New Roman" w:hAnsi="Times New Roman" w:cs="Times New Roman"/>
          <w:sz w:val="24"/>
          <w:szCs w:val="24"/>
          <w:lang w:eastAsia="sk-SK"/>
        </w:rPr>
      </w:pPr>
    </w:p>
    <w:p w14:paraId="122D6639" w14:textId="77777777" w:rsidR="00446332" w:rsidRPr="009418BC" w:rsidRDefault="00446332" w:rsidP="00446332">
      <w:pPr>
        <w:tabs>
          <w:tab w:val="left" w:pos="709"/>
        </w:tabs>
        <w:spacing w:after="0" w:line="240" w:lineRule="auto"/>
        <w:jc w:val="center"/>
        <w:rPr>
          <w:rFonts w:ascii="Times New Roman" w:eastAsia="Times New Roman" w:hAnsi="Times New Roman" w:cs="Times New Roman"/>
          <w:b/>
          <w:sz w:val="24"/>
          <w:szCs w:val="24"/>
          <w:lang w:eastAsia="sk-SK"/>
        </w:rPr>
      </w:pPr>
      <w:r w:rsidRPr="009418BC">
        <w:rPr>
          <w:rFonts w:ascii="Times New Roman" w:eastAsia="Times New Roman" w:hAnsi="Times New Roman" w:cs="Times New Roman"/>
          <w:b/>
          <w:sz w:val="24"/>
          <w:szCs w:val="24"/>
          <w:lang w:eastAsia="sk-SK"/>
        </w:rPr>
        <w:t>Ladislav Kamenický, v. r.</w:t>
      </w:r>
    </w:p>
    <w:p w14:paraId="4AC45D38" w14:textId="760ED2F7" w:rsidR="0001141A" w:rsidRDefault="00446332" w:rsidP="00446332">
      <w:pPr>
        <w:tabs>
          <w:tab w:val="left" w:pos="709"/>
        </w:tabs>
        <w:spacing w:after="0" w:line="240" w:lineRule="auto"/>
        <w:jc w:val="center"/>
        <w:rPr>
          <w:rFonts w:ascii="Times New Roman" w:eastAsia="Times New Roman" w:hAnsi="Times New Roman" w:cs="Times New Roman"/>
          <w:sz w:val="24"/>
          <w:szCs w:val="24"/>
          <w:lang w:eastAsia="sk-SK"/>
        </w:rPr>
      </w:pPr>
      <w:r w:rsidRPr="00446332">
        <w:rPr>
          <w:rFonts w:ascii="Times New Roman" w:eastAsia="Times New Roman" w:hAnsi="Times New Roman" w:cs="Times New Roman"/>
          <w:sz w:val="24"/>
          <w:szCs w:val="24"/>
          <w:lang w:eastAsia="sk-SK"/>
        </w:rPr>
        <w:t>minister financií Slovenskej republiky</w:t>
      </w:r>
    </w:p>
    <w:sectPr w:rsidR="0001141A" w:rsidSect="008F3C70">
      <w:headerReference w:type="default" r:id="rId20"/>
      <w:footerReference w:type="default" r:id="rId21"/>
      <w:pgSz w:w="11906" w:h="16838"/>
      <w:pgMar w:top="1417" w:right="141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39A5" w14:textId="77777777" w:rsidR="00F66F65" w:rsidRDefault="00F66F65" w:rsidP="001B23B7">
      <w:pPr>
        <w:spacing w:after="0" w:line="240" w:lineRule="auto"/>
      </w:pPr>
      <w:r>
        <w:separator/>
      </w:r>
    </w:p>
  </w:endnote>
  <w:endnote w:type="continuationSeparator" w:id="0">
    <w:p w14:paraId="0D2FDFF1" w14:textId="77777777" w:rsidR="00F66F65" w:rsidRDefault="00F66F6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EDB1" w14:textId="77777777" w:rsidR="00F66F65" w:rsidRDefault="00F66F6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C4C783D" w14:textId="77777777" w:rsidR="00F66F65" w:rsidRDefault="00F66F6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451294"/>
      <w:docPartObj>
        <w:docPartGallery w:val="Page Numbers (Bottom of Page)"/>
        <w:docPartUnique/>
      </w:docPartObj>
    </w:sdtPr>
    <w:sdtEndPr/>
    <w:sdtContent>
      <w:p w14:paraId="3DDE479A" w14:textId="0D97BB11" w:rsidR="00F66F65" w:rsidRDefault="00F66F65">
        <w:pPr>
          <w:pStyle w:val="Pta"/>
          <w:jc w:val="center"/>
        </w:pPr>
        <w:r>
          <w:fldChar w:fldCharType="begin"/>
        </w:r>
        <w:r>
          <w:instrText>PAGE   \* MERGEFORMAT</w:instrText>
        </w:r>
        <w:r>
          <w:fldChar w:fldCharType="separate"/>
        </w:r>
        <w:r w:rsidR="00985200">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A418" w14:textId="77777777" w:rsidR="00F66F65" w:rsidRDefault="00F66F65">
    <w:pPr>
      <w:pStyle w:val="Pta"/>
      <w:jc w:val="right"/>
    </w:pPr>
    <w:r>
      <w:fldChar w:fldCharType="begin"/>
    </w:r>
    <w:r>
      <w:instrText>PAGE   \* MERGEFORMAT</w:instrText>
    </w:r>
    <w:r>
      <w:fldChar w:fldCharType="separate"/>
    </w:r>
    <w:r>
      <w:rPr>
        <w:noProof/>
      </w:rPr>
      <w:t>0</w:t>
    </w:r>
    <w:r>
      <w:fldChar w:fldCharType="end"/>
    </w:r>
  </w:p>
  <w:p w14:paraId="5BAC0ECC" w14:textId="77777777" w:rsidR="00F66F65" w:rsidRDefault="00F66F6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321505"/>
      <w:docPartObj>
        <w:docPartGallery w:val="Page Numbers (Bottom of Page)"/>
        <w:docPartUnique/>
      </w:docPartObj>
    </w:sdtPr>
    <w:sdtEndPr/>
    <w:sdtContent>
      <w:p w14:paraId="08E89CE8" w14:textId="4E665765" w:rsidR="00F66F65" w:rsidRDefault="00F66F65">
        <w:pPr>
          <w:pStyle w:val="Pta"/>
          <w:jc w:val="center"/>
        </w:pPr>
        <w:r>
          <w:fldChar w:fldCharType="begin"/>
        </w:r>
        <w:r>
          <w:instrText>PAGE   \* MERGEFORMAT</w:instrText>
        </w:r>
        <w:r>
          <w:fldChar w:fldCharType="separate"/>
        </w:r>
        <w:r w:rsidR="00985200">
          <w:rPr>
            <w:noProof/>
          </w:rPr>
          <w:t>14</w:t>
        </w:r>
        <w:r>
          <w:fldChar w:fldCharType="end"/>
        </w:r>
      </w:p>
    </w:sdtContent>
  </w:sdt>
  <w:p w14:paraId="5ED834FD" w14:textId="77777777" w:rsidR="00F66F65" w:rsidRDefault="00F66F65">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02EE0D1B" w14:textId="31D96430" w:rsidR="00F66F65" w:rsidRPr="006045CB" w:rsidRDefault="00F66F65" w:rsidP="008B741B">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985200">
          <w:rPr>
            <w:rFonts w:ascii="Times New Roman" w:hAnsi="Times New Roman" w:cs="Times New Roman"/>
            <w:noProof/>
            <w:sz w:val="24"/>
            <w:szCs w:val="24"/>
          </w:rPr>
          <w:t>36</w:t>
        </w:r>
        <w:r w:rsidRPr="006045C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307C" w14:textId="77777777" w:rsidR="00F66F65" w:rsidRDefault="00F66F65" w:rsidP="001B23B7">
      <w:pPr>
        <w:spacing w:after="0" w:line="240" w:lineRule="auto"/>
      </w:pPr>
      <w:r>
        <w:separator/>
      </w:r>
    </w:p>
  </w:footnote>
  <w:footnote w:type="continuationSeparator" w:id="0">
    <w:p w14:paraId="4E1B1EDA" w14:textId="77777777" w:rsidR="00F66F65" w:rsidRDefault="00F66F65" w:rsidP="001B23B7">
      <w:pPr>
        <w:spacing w:after="0" w:line="240" w:lineRule="auto"/>
      </w:pPr>
      <w:r>
        <w:continuationSeparator/>
      </w:r>
    </w:p>
  </w:footnote>
  <w:footnote w:id="1">
    <w:p w14:paraId="3E620E09" w14:textId="77777777" w:rsidR="00F66F65" w:rsidRPr="000A6B7F" w:rsidRDefault="00F66F65" w:rsidP="00EC53BA">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52C15476" w14:textId="77777777" w:rsidR="00F66F65" w:rsidRPr="00804BC8" w:rsidRDefault="00F66F65" w:rsidP="00EC53BA">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Pr>
          <w:rFonts w:ascii="Times New Roman" w:hAnsi="Times New Roman" w:cs="Times New Roman"/>
        </w:rPr>
        <w:t xml:space="preserve">Informácie sa uvádzajú </w:t>
      </w:r>
      <w:r w:rsidRPr="00804BC8">
        <w:rPr>
          <w:rFonts w:ascii="Times New Roman" w:hAnsi="Times New Roman" w:cs="Times New Roman"/>
        </w:rPr>
        <w:t xml:space="preserve">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D20549" w14:textId="77777777" w:rsidR="00F66F65" w:rsidRDefault="00F66F65" w:rsidP="00EC53B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9379" w14:textId="77777777" w:rsidR="00F66F65" w:rsidRDefault="00F66F65" w:rsidP="009A347A">
    <w:pPr>
      <w:pStyle w:val="Hlavika"/>
      <w:jc w:val="right"/>
      <w:rPr>
        <w:sz w:val="24"/>
        <w:szCs w:val="24"/>
      </w:rPr>
    </w:pPr>
    <w:r>
      <w:rPr>
        <w:sz w:val="24"/>
        <w:szCs w:val="24"/>
      </w:rPr>
      <w:t>Príloha č. 2</w:t>
    </w:r>
  </w:p>
  <w:p w14:paraId="613658E8" w14:textId="77777777" w:rsidR="00F66F65" w:rsidRPr="00EB59C8" w:rsidRDefault="00F66F65" w:rsidP="009A347A">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4B8D" w14:textId="77777777" w:rsidR="00F66F65" w:rsidRDefault="00F66F6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08DC" w14:textId="77777777" w:rsidR="00F66F65" w:rsidRPr="000A15AE" w:rsidRDefault="00F66F65" w:rsidP="009A347A">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C61F" w14:textId="77777777" w:rsidR="00F66F65" w:rsidRPr="00726B76" w:rsidRDefault="00F66F65" w:rsidP="00726B76">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FD0B" w14:textId="77777777" w:rsidR="00F66F65" w:rsidRPr="008B741B" w:rsidRDefault="00F66F65" w:rsidP="008B741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B9E"/>
    <w:multiLevelType w:val="hybridMultilevel"/>
    <w:tmpl w:val="24B0E83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1214496"/>
    <w:multiLevelType w:val="hybridMultilevel"/>
    <w:tmpl w:val="CECE5120"/>
    <w:lvl w:ilvl="0" w:tplc="37787D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05124F"/>
    <w:multiLevelType w:val="hybridMultilevel"/>
    <w:tmpl w:val="3DB472D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2D28064D"/>
    <w:multiLevelType w:val="hybridMultilevel"/>
    <w:tmpl w:val="22F09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AD6DCC"/>
    <w:multiLevelType w:val="hybridMultilevel"/>
    <w:tmpl w:val="8126015C"/>
    <w:lvl w:ilvl="0" w:tplc="6CD0F79A">
      <w:start w:val="2"/>
      <w:numFmt w:val="bullet"/>
      <w:lvlText w:val="-"/>
      <w:lvlJc w:val="left"/>
      <w:pPr>
        <w:ind w:left="1080" w:hanging="360"/>
      </w:pPr>
      <w:rPr>
        <w:rFonts w:ascii="Arial Narrow" w:eastAsia="Times New Roman" w:hAnsi="Arial Narrow" w:cs="Arial Narrow"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5"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5D0B44FF"/>
    <w:multiLevelType w:val="hybridMultilevel"/>
    <w:tmpl w:val="8C3E8A70"/>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778"/>
        </w:tabs>
        <w:ind w:left="1778"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E2740FB"/>
    <w:multiLevelType w:val="hybridMultilevel"/>
    <w:tmpl w:val="1908BCAE"/>
    <w:lvl w:ilvl="0" w:tplc="03A06690">
      <w:start w:val="2"/>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5E7C0295"/>
    <w:multiLevelType w:val="hybridMultilevel"/>
    <w:tmpl w:val="5A4CAF6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0"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hint="default"/>
      </w:r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 w15:restartNumberingAfterBreak="0">
    <w:nsid w:val="7F1E6760"/>
    <w:multiLevelType w:val="hybridMultilevel"/>
    <w:tmpl w:val="CD34C702"/>
    <w:lvl w:ilvl="0" w:tplc="0F162244">
      <w:start w:val="1"/>
      <w:numFmt w:val="lowerLetter"/>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num w:numId="1" w16cid:durableId="1536044213">
    <w:abstractNumId w:val="11"/>
  </w:num>
  <w:num w:numId="2" w16cid:durableId="2072730295">
    <w:abstractNumId w:val="4"/>
  </w:num>
  <w:num w:numId="3" w16cid:durableId="1837064741">
    <w:abstractNumId w:val="7"/>
  </w:num>
  <w:num w:numId="4" w16cid:durableId="1973904602">
    <w:abstractNumId w:val="3"/>
  </w:num>
  <w:num w:numId="5" w16cid:durableId="631442466">
    <w:abstractNumId w:val="5"/>
  </w:num>
  <w:num w:numId="6" w16cid:durableId="1228303082">
    <w:abstractNumId w:val="9"/>
  </w:num>
  <w:num w:numId="7" w16cid:durableId="1228150516">
    <w:abstractNumId w:val="10"/>
  </w:num>
  <w:num w:numId="8" w16cid:durableId="1981688767">
    <w:abstractNumId w:val="12"/>
  </w:num>
  <w:num w:numId="9" w16cid:durableId="1144615034">
    <w:abstractNumId w:val="6"/>
  </w:num>
  <w:num w:numId="10" w16cid:durableId="1677149551">
    <w:abstractNumId w:val="0"/>
  </w:num>
  <w:num w:numId="11" w16cid:durableId="1055158908">
    <w:abstractNumId w:val="2"/>
  </w:num>
  <w:num w:numId="12" w16cid:durableId="215900706">
    <w:abstractNumId w:val="8"/>
  </w:num>
  <w:num w:numId="13" w16cid:durableId="197158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03543"/>
    <w:rsid w:val="0001141A"/>
    <w:rsid w:val="00043706"/>
    <w:rsid w:val="000563F1"/>
    <w:rsid w:val="000664AF"/>
    <w:rsid w:val="00097069"/>
    <w:rsid w:val="000B1500"/>
    <w:rsid w:val="000C1B34"/>
    <w:rsid w:val="000D348F"/>
    <w:rsid w:val="000F2BE9"/>
    <w:rsid w:val="00103D18"/>
    <w:rsid w:val="0011383E"/>
    <w:rsid w:val="00113AE4"/>
    <w:rsid w:val="00126AE3"/>
    <w:rsid w:val="001447D3"/>
    <w:rsid w:val="00151CC5"/>
    <w:rsid w:val="00156064"/>
    <w:rsid w:val="00187182"/>
    <w:rsid w:val="001A2394"/>
    <w:rsid w:val="001B23B7"/>
    <w:rsid w:val="001E3562"/>
    <w:rsid w:val="00203EE3"/>
    <w:rsid w:val="002243BB"/>
    <w:rsid w:val="00226EF4"/>
    <w:rsid w:val="0023360B"/>
    <w:rsid w:val="00243652"/>
    <w:rsid w:val="002738F2"/>
    <w:rsid w:val="00291AF2"/>
    <w:rsid w:val="002A0B2D"/>
    <w:rsid w:val="002B1D2C"/>
    <w:rsid w:val="002D5A60"/>
    <w:rsid w:val="002D7D80"/>
    <w:rsid w:val="002F6ADB"/>
    <w:rsid w:val="00314360"/>
    <w:rsid w:val="003145AE"/>
    <w:rsid w:val="00317C3E"/>
    <w:rsid w:val="003260EE"/>
    <w:rsid w:val="003327A8"/>
    <w:rsid w:val="003553ED"/>
    <w:rsid w:val="003643AE"/>
    <w:rsid w:val="0039793B"/>
    <w:rsid w:val="003A057B"/>
    <w:rsid w:val="003A381E"/>
    <w:rsid w:val="003C142D"/>
    <w:rsid w:val="003E34F5"/>
    <w:rsid w:val="004054F8"/>
    <w:rsid w:val="00411898"/>
    <w:rsid w:val="00426280"/>
    <w:rsid w:val="00446332"/>
    <w:rsid w:val="004561B9"/>
    <w:rsid w:val="00457D0C"/>
    <w:rsid w:val="00466FEC"/>
    <w:rsid w:val="0049476D"/>
    <w:rsid w:val="004A1284"/>
    <w:rsid w:val="004A4383"/>
    <w:rsid w:val="004C4F6D"/>
    <w:rsid w:val="004C6831"/>
    <w:rsid w:val="004D3D90"/>
    <w:rsid w:val="004D7A87"/>
    <w:rsid w:val="005071B1"/>
    <w:rsid w:val="00521DD8"/>
    <w:rsid w:val="00591EC6"/>
    <w:rsid w:val="00591ED3"/>
    <w:rsid w:val="00594FC1"/>
    <w:rsid w:val="005B4123"/>
    <w:rsid w:val="00612E08"/>
    <w:rsid w:val="00682892"/>
    <w:rsid w:val="00695E88"/>
    <w:rsid w:val="006D18F1"/>
    <w:rsid w:val="006F38FE"/>
    <w:rsid w:val="006F678E"/>
    <w:rsid w:val="006F6B62"/>
    <w:rsid w:val="00701E08"/>
    <w:rsid w:val="00713270"/>
    <w:rsid w:val="00713BEF"/>
    <w:rsid w:val="00720322"/>
    <w:rsid w:val="00726B76"/>
    <w:rsid w:val="00731248"/>
    <w:rsid w:val="0075197E"/>
    <w:rsid w:val="007563CB"/>
    <w:rsid w:val="00761208"/>
    <w:rsid w:val="007756BE"/>
    <w:rsid w:val="00790E1D"/>
    <w:rsid w:val="00797B37"/>
    <w:rsid w:val="007A3739"/>
    <w:rsid w:val="007B40C1"/>
    <w:rsid w:val="007C5312"/>
    <w:rsid w:val="007D4A0E"/>
    <w:rsid w:val="007D6F2C"/>
    <w:rsid w:val="007F587A"/>
    <w:rsid w:val="0080042A"/>
    <w:rsid w:val="00803DDA"/>
    <w:rsid w:val="00805463"/>
    <w:rsid w:val="00837C72"/>
    <w:rsid w:val="00865E81"/>
    <w:rsid w:val="008674DC"/>
    <w:rsid w:val="008801B5"/>
    <w:rsid w:val="00881E07"/>
    <w:rsid w:val="008B222D"/>
    <w:rsid w:val="008B741B"/>
    <w:rsid w:val="008C79B7"/>
    <w:rsid w:val="008F3C70"/>
    <w:rsid w:val="0093236C"/>
    <w:rsid w:val="0094189C"/>
    <w:rsid w:val="009418BC"/>
    <w:rsid w:val="009431E3"/>
    <w:rsid w:val="00945AF0"/>
    <w:rsid w:val="009475F5"/>
    <w:rsid w:val="009717F5"/>
    <w:rsid w:val="00980B0C"/>
    <w:rsid w:val="0098472E"/>
    <w:rsid w:val="00985200"/>
    <w:rsid w:val="009A347A"/>
    <w:rsid w:val="009C424C"/>
    <w:rsid w:val="009E09F7"/>
    <w:rsid w:val="009F276B"/>
    <w:rsid w:val="009F4832"/>
    <w:rsid w:val="00A03B05"/>
    <w:rsid w:val="00A03D75"/>
    <w:rsid w:val="00A340BB"/>
    <w:rsid w:val="00A60413"/>
    <w:rsid w:val="00A7788F"/>
    <w:rsid w:val="00A81A06"/>
    <w:rsid w:val="00A9679E"/>
    <w:rsid w:val="00AA16B6"/>
    <w:rsid w:val="00AA38BE"/>
    <w:rsid w:val="00AC30D6"/>
    <w:rsid w:val="00AD0BC8"/>
    <w:rsid w:val="00AD6A41"/>
    <w:rsid w:val="00AE75B3"/>
    <w:rsid w:val="00B00B6E"/>
    <w:rsid w:val="00B05272"/>
    <w:rsid w:val="00B547F5"/>
    <w:rsid w:val="00B84F87"/>
    <w:rsid w:val="00BA2BF4"/>
    <w:rsid w:val="00BE3357"/>
    <w:rsid w:val="00C05873"/>
    <w:rsid w:val="00C619AE"/>
    <w:rsid w:val="00C627A4"/>
    <w:rsid w:val="00C6485B"/>
    <w:rsid w:val="00C71E54"/>
    <w:rsid w:val="00C72389"/>
    <w:rsid w:val="00C86714"/>
    <w:rsid w:val="00C94E4E"/>
    <w:rsid w:val="00CA554A"/>
    <w:rsid w:val="00CB08AE"/>
    <w:rsid w:val="00CB637B"/>
    <w:rsid w:val="00CC0256"/>
    <w:rsid w:val="00CC3E1A"/>
    <w:rsid w:val="00CC478D"/>
    <w:rsid w:val="00CC7434"/>
    <w:rsid w:val="00CC785D"/>
    <w:rsid w:val="00CD6E04"/>
    <w:rsid w:val="00CE651F"/>
    <w:rsid w:val="00CE6AAE"/>
    <w:rsid w:val="00CF1A25"/>
    <w:rsid w:val="00CF33FE"/>
    <w:rsid w:val="00D2313B"/>
    <w:rsid w:val="00D42F1E"/>
    <w:rsid w:val="00D50F1E"/>
    <w:rsid w:val="00D70DAA"/>
    <w:rsid w:val="00DB74B2"/>
    <w:rsid w:val="00DF357C"/>
    <w:rsid w:val="00E040C9"/>
    <w:rsid w:val="00E2333C"/>
    <w:rsid w:val="00E440B4"/>
    <w:rsid w:val="00E73651"/>
    <w:rsid w:val="00EC53BA"/>
    <w:rsid w:val="00ED165A"/>
    <w:rsid w:val="00ED1AC0"/>
    <w:rsid w:val="00F44C36"/>
    <w:rsid w:val="00F50A84"/>
    <w:rsid w:val="00F50E63"/>
    <w:rsid w:val="00F66F65"/>
    <w:rsid w:val="00F73B0D"/>
    <w:rsid w:val="00F87681"/>
    <w:rsid w:val="00F92E7F"/>
    <w:rsid w:val="00FA02DB"/>
    <w:rsid w:val="00FA1CC0"/>
    <w:rsid w:val="00FC5215"/>
    <w:rsid w:val="00FD1244"/>
    <w:rsid w:val="00FF18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DF0F"/>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4054F8"/>
    <w:pPr>
      <w:ind w:left="720"/>
      <w:contextualSpacing/>
    </w:pPr>
  </w:style>
  <w:style w:type="paragraph" w:styleId="Bezriadkovania">
    <w:name w:val="No Spacing"/>
    <w:uiPriority w:val="1"/>
    <w:qFormat/>
    <w:rsid w:val="00837C72"/>
    <w:pPr>
      <w:spacing w:after="0" w:line="240" w:lineRule="auto"/>
    </w:pPr>
    <w:rPr>
      <w:rFonts w:ascii="Calibri" w:eastAsia="Times New Roman" w:hAnsi="Calibri" w:cs="Times New Roman"/>
    </w:rPr>
  </w:style>
  <w:style w:type="character" w:styleId="Hypertextovprepojenie">
    <w:name w:val="Hyperlink"/>
    <w:basedOn w:val="Predvolenpsmoodseku"/>
    <w:uiPriority w:val="99"/>
    <w:unhideWhenUsed/>
    <w:rsid w:val="002A0B2D"/>
    <w:rPr>
      <w:color w:val="0563C1" w:themeColor="hyperlink"/>
      <w:u w:val="single"/>
    </w:rPr>
  </w:style>
  <w:style w:type="paragraph" w:customStyle="1" w:styleId="norm00e1lny">
    <w:name w:val="norm_00e1lny"/>
    <w:basedOn w:val="Normlny"/>
    <w:rsid w:val="00F92E7F"/>
    <w:pPr>
      <w:spacing w:after="0" w:line="200" w:lineRule="atLeast"/>
    </w:pPr>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103D18"/>
    <w:rPr>
      <w:rFonts w:cs="Times New Roman"/>
    </w:rPr>
  </w:style>
  <w:style w:type="paragraph" w:customStyle="1" w:styleId="Zkladntext">
    <w:name w:val="Základní text"/>
    <w:aliases w:val="Základný text Char Char"/>
    <w:uiPriority w:val="99"/>
    <w:rsid w:val="00103D18"/>
    <w:pPr>
      <w:widowControl w:val="0"/>
      <w:autoSpaceDE w:val="0"/>
      <w:autoSpaceDN w:val="0"/>
      <w:spacing w:after="0" w:line="240" w:lineRule="auto"/>
    </w:pPr>
    <w:rPr>
      <w:rFonts w:ascii="Arial Narrow" w:eastAsia="Times New Roman" w:hAnsi="Arial Narrow" w:cs="Arial Narrow"/>
      <w:color w:val="000000"/>
      <w:sz w:val="24"/>
      <w:szCs w:val="24"/>
      <w:lang w:eastAsia="sk-SK"/>
    </w:rPr>
  </w:style>
  <w:style w:type="paragraph" w:styleId="Normlnywebov">
    <w:name w:val="Normal (Web)"/>
    <w:basedOn w:val="Normlny"/>
    <w:uiPriority w:val="99"/>
    <w:unhideWhenUsed/>
    <w:rsid w:val="00EC53BA"/>
    <w:pPr>
      <w:spacing w:after="0"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EC53B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C53BA"/>
    <w:rPr>
      <w:sz w:val="20"/>
      <w:szCs w:val="20"/>
    </w:rPr>
  </w:style>
  <w:style w:type="character" w:styleId="Odkaznapoznmkupodiarou">
    <w:name w:val="footnote reference"/>
    <w:basedOn w:val="Predvolenpsmoodseku"/>
    <w:uiPriority w:val="99"/>
    <w:semiHidden/>
    <w:unhideWhenUsed/>
    <w:rsid w:val="00EC5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6233">
      <w:bodyDiv w:val="1"/>
      <w:marLeft w:val="0"/>
      <w:marRight w:val="0"/>
      <w:marTop w:val="0"/>
      <w:marBottom w:val="0"/>
      <w:divBdr>
        <w:top w:val="none" w:sz="0" w:space="0" w:color="auto"/>
        <w:left w:val="none" w:sz="0" w:space="0" w:color="auto"/>
        <w:bottom w:val="none" w:sz="0" w:space="0" w:color="auto"/>
        <w:right w:val="none" w:sz="0" w:space="0" w:color="auto"/>
      </w:divBdr>
    </w:div>
    <w:div w:id="765078858">
      <w:bodyDiv w:val="1"/>
      <w:marLeft w:val="0"/>
      <w:marRight w:val="0"/>
      <w:marTop w:val="0"/>
      <w:marBottom w:val="0"/>
      <w:divBdr>
        <w:top w:val="none" w:sz="0" w:space="0" w:color="auto"/>
        <w:left w:val="none" w:sz="0" w:space="0" w:color="auto"/>
        <w:bottom w:val="none" w:sz="0" w:space="0" w:color="auto"/>
        <w:right w:val="none" w:sz="0" w:space="0" w:color="auto"/>
      </w:divBdr>
    </w:div>
    <w:div w:id="1344671218">
      <w:bodyDiv w:val="1"/>
      <w:marLeft w:val="0"/>
      <w:marRight w:val="0"/>
      <w:marTop w:val="0"/>
      <w:marBottom w:val="0"/>
      <w:divBdr>
        <w:top w:val="none" w:sz="0" w:space="0" w:color="auto"/>
        <w:left w:val="none" w:sz="0" w:space="0" w:color="auto"/>
        <w:bottom w:val="none" w:sz="0" w:space="0" w:color="auto"/>
        <w:right w:val="none" w:sz="0" w:space="0" w:color="auto"/>
      </w:divBdr>
    </w:div>
    <w:div w:id="1433744913">
      <w:bodyDiv w:val="1"/>
      <w:marLeft w:val="0"/>
      <w:marRight w:val="0"/>
      <w:marTop w:val="0"/>
      <w:marBottom w:val="0"/>
      <w:divBdr>
        <w:top w:val="none" w:sz="0" w:space="0" w:color="auto"/>
        <w:left w:val="none" w:sz="0" w:space="0" w:color="auto"/>
        <w:bottom w:val="none" w:sz="0" w:space="0" w:color="auto"/>
        <w:right w:val="none" w:sz="0" w:space="0" w:color="auto"/>
      </w:divBdr>
    </w:div>
    <w:div w:id="1729842909">
      <w:bodyDiv w:val="1"/>
      <w:marLeft w:val="0"/>
      <w:marRight w:val="0"/>
      <w:marTop w:val="0"/>
      <w:marBottom w:val="0"/>
      <w:divBdr>
        <w:top w:val="none" w:sz="0" w:space="0" w:color="auto"/>
        <w:left w:val="none" w:sz="0" w:space="0" w:color="auto"/>
        <w:bottom w:val="none" w:sz="0" w:space="0" w:color="auto"/>
        <w:right w:val="none" w:sz="0" w:space="0" w:color="auto"/>
      </w:divBdr>
    </w:div>
    <w:div w:id="19427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zuzana.fuleova@mfsr.sk" TargetMode="External"/><Relationship Id="rId19" Type="http://schemas.openxmlformats.org/officeDocument/2006/relationships/hyperlink" Target="https://www.mhsr.sk/podnikatelske-prostredie/lepsia-regulacia/regulacne-zatazenie/kalkulacka-nakladov-regulacie" TargetMode="External"/><Relationship Id="rId4" Type="http://schemas.openxmlformats.org/officeDocument/2006/relationships/styles" Target="styles.xml"/><Relationship Id="rId9" Type="http://schemas.openxmlformats.org/officeDocument/2006/relationships/hyperlink" Target="mailto:martina.hicakova@mfsr.sk"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BAF9827-42A5-44BB-9DC8-2D56B671B57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13540</Words>
  <Characters>77182</Characters>
  <Application>Microsoft Office Word</Application>
  <DocSecurity>0</DocSecurity>
  <Lines>643</Lines>
  <Paragraphs>181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Metodika@skdp.sk</cp:lastModifiedBy>
  <cp:revision>2</cp:revision>
  <cp:lastPrinted>2025-01-14T13:13:00Z</cp:lastPrinted>
  <dcterms:created xsi:type="dcterms:W3CDTF">2025-01-20T12:35:00Z</dcterms:created>
  <dcterms:modified xsi:type="dcterms:W3CDTF">2025-01-20T12:35:00Z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