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SKÚŠOBNÝ PORIADOK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overenie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spôsobilosti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fyzických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osôb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výkon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činnosti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preskúšanie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zo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zmien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noviel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zákonov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§ 6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3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SNR č. 78/1992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Zb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Slovenskej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neskorších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predpisov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„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>“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vydáva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Slovenská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„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“)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dohode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Ministerstvom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financií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Slovenskej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republiky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„MF SR“)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tento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I. OVERENIE ODBORNEJ SPÔSOBILOSTI FYZICKÝCH OSÔB NA VÝKON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ČINNOSTI DAŇOVÉHO PORADCU 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Účel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Účelom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žiadateľ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požiadal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„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>“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spôsobilosť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činnosť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Default="00E74A66" w:rsidP="00E74A6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Zápis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skúšku</w:t>
      </w:r>
      <w:proofErr w:type="spellEnd"/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pozve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iba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spĺňajú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vyplývajúce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§ 5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a)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až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c)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zapíše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prostredníctvom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prihlášky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vyžiada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kancelárii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prihláške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priloží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prílohy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vyžadované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prihláškou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preukazujú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splnenie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písmena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paragrafu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poštovú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poukážku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preukazujúcu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zaplatenie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úhrady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zmysle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Pokiaľ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predložené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doklady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nespĺňajú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požadované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týmto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požadovať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ich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doplnenie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nepredloží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doklady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preukazujúce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splnenie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pre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absolvovanie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ho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vyzve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aby ich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doplnil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30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doručenia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výzvy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d)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splnení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uvedených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tomto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paragrafe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prihlásený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zmysle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§ 6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2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zaevidovaní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registra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zaeviduje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lehote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§ 11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a)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následne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mu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dostatočnom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predstihu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e)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závažných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dôvodov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zúčastniť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určenom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preukázateľne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ospravedlniť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prijatí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ospravedlnenia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rozhodne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príslušná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prezídia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opätovne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nepožiada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zápis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ďalší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vráti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úhradu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prihlášku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prílohami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dvoch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mesiacov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f)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Neospravedlnená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neúčasť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nekvalifikované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nepreukázateľné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ospravedlnenie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Úhrada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tomto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prepadá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prospech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vráti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prihlášku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prílohami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dvoch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mesiacov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Obsah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získanie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spôsobilosti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samostatne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povolanie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skladá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výkonu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najmä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úroveň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hmotnoprávne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poplatkov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postavení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asistentov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ich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činnosti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poskytovaní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občianskeho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obchodného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financovania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ekonomiky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účtovníctva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vrátane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schopností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praktických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aplikácií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vymedzenom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rozsahu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ekonomiky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účtovníctva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uvedenom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rozsahu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prostredníctvom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praktických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aplikácií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forme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tomto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rozsahu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predpokladu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úspešne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písmena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b)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paragrafu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Obsahom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hmotnoprávne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poplatkov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postavení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asistentov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ich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činnosti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poskytovaní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tiež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občianskeho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obchodného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financovania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ekonomiky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formou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odpovede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päť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Úhrady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vykonanie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opakovanie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a za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vydanie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osvedčenia</w:t>
      </w:r>
      <w:proofErr w:type="spellEnd"/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a)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úhrady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sumou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330,-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eur.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každé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opakovanie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dôvodu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neúspešnosti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úhrady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sumou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330,-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eur.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úhrady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vydanie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osvedčenia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spôsobilosti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výkon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sumou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660,-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</w:rPr>
        <w:t>€</w:t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5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Priebeh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a forma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neverejné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výnimkou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ostatných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výsledkami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oboznámení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rozhodnutia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budú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oznámené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následne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formou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zahájením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predloží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platný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občiansky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preukaz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platný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pas.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identifikácii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všetkých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zmysle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§ 5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pristúpiť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Občiansky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preukaz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pas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predloží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kontrolu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d)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priebehu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viacerých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nasledovať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sebe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samostatných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seba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oddelených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Ak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viacerých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dňoch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nesmie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prekročiť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dni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trvania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6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hodín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e)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dozor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začiatkom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musia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byť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oboznámení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priebehom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f)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oznámi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dni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6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minimálne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5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hodín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Ak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viacerých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dňoch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dĺžku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trvania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náročnosti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maximálne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40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minút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samostatne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prípadnými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otázkami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obracať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dozor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Ak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poruší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odoberie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mu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práca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týchto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skutočnostiach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záznam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protokolu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vykáže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priestorov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vyhodnotí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takom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známkou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používať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nasledovné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pomôcky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-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písacie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kalkulačku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jednoduché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matematické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úkony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–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vyhlášky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výnosy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opatrenia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ústredných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orgánov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štátnej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bez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výkladu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povolenou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pomôckou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písacie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d)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ukončení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limitu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pre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odovzdajú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práce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vykonávajúcim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dozor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7</w:t>
      </w:r>
    </w:p>
    <w:p w:rsidR="00E74A66" w:rsidRPr="00E74A66" w:rsidRDefault="00E74A66" w:rsidP="00E74A66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Ústna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vyhovel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bude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podrobený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systémom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náhodného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výberu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vyberie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obálku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pripravenými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otázkami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rámci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položiť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doplňujúce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Na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prípravu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odpovedí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vyhradený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minimálne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dvadsať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minút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d)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zodpovedania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položených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8</w:t>
      </w:r>
    </w:p>
    <w:p w:rsidR="00E74A66" w:rsidRPr="00E74A66" w:rsidRDefault="00E74A66" w:rsidP="00E74A66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Hodnotenie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</w:p>
    <w:p w:rsidR="00E74A66" w:rsidRDefault="00E74A66" w:rsidP="00E74A66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skladá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minimálne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dvoch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Prvú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tvorí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test,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občianskeho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obchodného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financovania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ekonomiky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účtovníctva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Test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obsahuje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20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odpoveďou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Druhú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tvorí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súbor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zameraných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druhy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miestnych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poplatkov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účtovných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súvisiacich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ekonomických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úloh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byť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zamerané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štúdií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poplatkov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vyplývajú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definície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rozsahu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§ 3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b)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884ECA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počtom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získaných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Maximálny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dosiahnuteľný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prvú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- test je 10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pričom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každú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vyriešenú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testovú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dostane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0,5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lastRenderedPageBreak/>
        <w:t>Druhú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tvorí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množina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úloh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celková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40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jednotlivých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vyhlasuje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884ECA" w:rsidRDefault="00E74A66" w:rsidP="00884ECA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Aby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mohol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postúpiť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musí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dosiahnuť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minimálne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50%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každého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celkovo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oboch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najmenej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35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ukončení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rozhodne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neprítomnosti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hlasovaním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Na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prijatie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rozhodnutia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nadpolovičná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väčšina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rovnosti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hlasov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rozhoduje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hlas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prítomného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neprítomnosti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9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Zloženie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komisie</w:t>
      </w:r>
      <w:proofErr w:type="spellEnd"/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skladá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deviatich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riadi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menovaný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ministrom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financií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SR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vymenúva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dohode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návrh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menuje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ako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zástupcu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prechádzajú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neprítomnosti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poverenia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uznášaniaschopná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vtedy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nižší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ako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5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884ECA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10</w:t>
      </w:r>
    </w:p>
    <w:p w:rsidR="00E74A66" w:rsidRPr="00E74A66" w:rsidRDefault="00E74A66" w:rsidP="00884ECA">
      <w:pPr>
        <w:pStyle w:val="Default"/>
        <w:ind w:left="284" w:hanging="28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Odmeňovanie</w:t>
      </w:r>
      <w:proofErr w:type="spellEnd"/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prináleží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náhrada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výdavkov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odmena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výkon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činnosti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určenej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prezídiom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Na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náhradu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výdavkov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odmien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nárok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nečlenovia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požiadanie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vypracovali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podklady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určené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odmien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náhrad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riadi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Zásad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vyplácania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náhrady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výdavkov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súvisiacich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výkonom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funkcie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odmeny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schvaľuje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vydáva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11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Organizácia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riadenie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práce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komisie</w:t>
      </w:r>
      <w:proofErr w:type="spellEnd"/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organizované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evidovaných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žiadostí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najmenej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dvakrát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ročne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tak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aby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splnila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ustanovenia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6 –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mesačnej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lehote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a to: </w:t>
      </w:r>
    </w:p>
    <w:p w:rsidR="00E74A66" w:rsidRPr="00E74A66" w:rsidRDefault="00E74A66" w:rsidP="00884ECA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čakatelia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zapísaní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zoznamu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čakateľov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od 1.1. do 30.4.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30.6.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príslušného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</w:p>
    <w:p w:rsidR="00E74A66" w:rsidRPr="00E74A66" w:rsidRDefault="00E74A66" w:rsidP="00884ECA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čakatelia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zapísaní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zoznamu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čakateľov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od 1.7. do 31.10.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31.12.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príslušného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Žiadosti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čakateľov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zaevidované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období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od 1.11. do 31.12.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zapíšu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zoznamu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čakateľov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dňa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1.1.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nasledujúceho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30.6.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príslušného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žiadosti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čakateľov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zaevidované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období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od 1.5. do 30.6.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zapíšu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zoznamu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čakateľov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dňa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1.7.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31.12.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príslušného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Výnimku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zápisu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zoznamu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čakateľov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schvaľuje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>. Na zá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návrhu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Zástupcovia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zabezpečujú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organizáciu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dohliadnuť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to, aby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pozvaní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spĺňali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Zároveň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poverení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pracovníci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zodpovedajú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vyplnenie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protokolov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kvalifikačných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hárkov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Protokol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klasifikačný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hárok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podpisujú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prítomní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d)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poverí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vybraných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dohode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–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syláb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(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ďalej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„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vypracovateľ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“ ).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Zároveň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oponentov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materiálov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Oponent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musí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byť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884ECA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e)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Poverený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vypracovateľ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oponent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zodpovedajú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zrozumiteľnosť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úplnosť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jednoznačnosť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doručenie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2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dni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zabezpečuje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prinesie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osobne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poverený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rúk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organizačných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pracovníkov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884ECA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f)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úplnosť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vylosuje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dohode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protokolu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zapíše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jednotlivých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Organizační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pracovníci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ako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podkladov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uložia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riešenia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včítane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autorizácie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vypracovateľmi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oponentmi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archívu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sídle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884ECA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g)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dôsledne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oboznámiť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príkladmi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spôsobom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ich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h)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ohodnotí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úspešnosť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výslednými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stupňami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vyhovel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dbá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aby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bola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zachovaná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objektívnosť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hlasovaní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celkovej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úspešnosti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zastupujúci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rozhodujúci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hlas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preukázateľne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ukončiť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náhlych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zdravotných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závažných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dôvodov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nehodnotí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protokolu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klasifikačného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hárku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zapíše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prerušenie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najbližšom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riadnom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bez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úhrady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ďalšieho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poplatku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j)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od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odstúpi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priebehu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klasifikačným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stupňom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k)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vylúčený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pre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porušenie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klasifikačným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stupňom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l)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úspešne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preukázateľne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obzvlášť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závažných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dôvodov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zúčastniť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žiadosti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schvaľuje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najbližšom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riadnom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však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od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kedy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úspešne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m)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vedie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dokumentáciu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oznamuje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počet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spôsobilosti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pre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činnosti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n)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ako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dokumentácie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archivuje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všetky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podklady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tvoria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dokumentácie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udeľuje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osvedčenie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dobu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platnosti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o)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Výdavky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súvisiace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odmeny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náhrady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§ 9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výdavky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uhrádza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predovšetkým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zdrojov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§ 4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a) a b)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12</w:t>
      </w:r>
    </w:p>
    <w:p w:rsidR="00884ECA" w:rsidRDefault="00E74A66" w:rsidP="00884ECA">
      <w:pPr>
        <w:pStyle w:val="Default"/>
        <w:tabs>
          <w:tab w:val="left" w:pos="284"/>
        </w:tabs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záujme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zabezpečiť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objektívnosť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vylúčiť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zaujatosť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poverenia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prezídia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dozornej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dohľad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dodržiavaním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ustanovení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tabs>
          <w:tab w:val="left" w:pos="284"/>
        </w:tabs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dohľad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musí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poverenie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prezidenta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dozornej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rady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túto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skutočnosť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oznámi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13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Sťažnosť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priebeh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skúšky</w:t>
      </w:r>
      <w:proofErr w:type="spellEnd"/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Sťažnosti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pre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porušenie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podávajú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predsedovi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uvedením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konkrétneho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dôvodu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8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§14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Prístup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k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informáciám</w:t>
      </w:r>
      <w:proofErr w:type="spellEnd"/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platným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slobodnom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prístupe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informáciám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umožní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nahliadnuť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ich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materiálov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boli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súčasťou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Prístup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uvedeným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dokumentom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časovo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ohraničený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1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mesiacom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dňa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kedy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bola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vykonaná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Materiály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budú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žiadosti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podanej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po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dohode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tajomníkom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sprístupnené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sídle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časovom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rozpätí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30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minút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II. PRESKÚŠANIE DAŇOVÝCH PORADCOV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15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Účel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preskúšania</w:t>
      </w:r>
      <w:proofErr w:type="spellEnd"/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Účelom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overiť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zapísaný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zozname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Slovenskej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znalosti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boli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novelizované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keď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nevykonával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§ 16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Organizácia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preskúšania</w:t>
      </w:r>
      <w:proofErr w:type="spellEnd"/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Ak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nevykonával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viac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ako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tri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roky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(§ 10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5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),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podrobiť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zákonom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pozve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podľa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písmena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a)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paragrafu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pozvánkou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budú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skladá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Skúšaných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oboznámi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výsledkami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týždňa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Úspešné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absolvovanie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zapíše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evidencie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súčasne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mu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komora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vráti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osvedčenie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výkon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d)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začiatkom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musia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byť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oboznámení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skúšobným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systémom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priebehom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e)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a to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vyriešenie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Test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obsahuje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maximálne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50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ich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90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minút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f)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vypracovať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zadanú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samostatne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S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prípadnými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otázkami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obracať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len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osobu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vykonáva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dozor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Závažné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porušenie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povinností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môže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následok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vylúčenie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</w:t>
      </w:r>
      <w:proofErr w:type="spellStart"/>
      <w:proofErr w:type="gram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”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proofErr w:type="gram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”.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g)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Testy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vyhodnotí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nasledujúci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deň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Výsledky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bodovacím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systémom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Aby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vyhovel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potrebné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aby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zodpovedal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minimálne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70%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celkového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počtu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možných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testových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otázok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z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každá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odpoveď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teste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hodnotená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1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bodom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h)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pozve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opravnú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bude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konať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najbližšom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poradenstvo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Určujú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dva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opravné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termíny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17</w:t>
      </w: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Skúšobná</w:t>
      </w:r>
      <w:proofErr w:type="spellEnd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komisia</w:t>
      </w:r>
      <w:proofErr w:type="spellEnd"/>
    </w:p>
    <w:p w:rsid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Zloženie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pre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poradcov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je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totožné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s § 9 v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I.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E74A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74A66" w:rsidRPr="00E74A66" w:rsidRDefault="00E74A66" w:rsidP="00E74A66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b/>
          <w:bCs/>
          <w:color w:val="auto"/>
          <w:sz w:val="20"/>
          <w:szCs w:val="20"/>
        </w:rPr>
        <w:t>III. VŠEOBECNÉ A ZÁVEREČNÉ USTANOVENIA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Členovia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stretnú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pripravia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základe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včas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doručenej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pozvánky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najneskôr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hodinu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začiatkom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mieste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určenia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b)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Prácu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riadi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zodpovedá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za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jednotný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vecne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správny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postup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odborných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skúškach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zabezpečí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aby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písomná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ústna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časť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bola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vyhodnotená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objektívne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c)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Uchádzača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daňového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poradcu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nevyhovel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poučí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podpredseda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skúšobnej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komisie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možnosti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a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podmienkach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opakovania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skúšky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alebo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preskúšania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74A66" w:rsidRPr="00E74A66" w:rsidRDefault="00E74A66" w:rsidP="00884ECA">
      <w:pPr>
        <w:pStyle w:val="Default"/>
        <w:spacing w:after="35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d)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Ustanoveniami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tohto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skúšobného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poriadku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ruší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ktorý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mal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účinnosť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od 20.10.2009. </w:t>
      </w:r>
    </w:p>
    <w:p w:rsidR="00E74A66" w:rsidRPr="00E74A66" w:rsidRDefault="00E74A66" w:rsidP="00884ECA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e) </w:t>
      </w:r>
      <w:r w:rsidR="00884ECA">
        <w:rPr>
          <w:rFonts w:asciiTheme="minorHAnsi" w:hAnsiTheme="minorHAnsi" w:cstheme="minorHAnsi"/>
          <w:color w:val="auto"/>
          <w:sz w:val="20"/>
          <w:szCs w:val="20"/>
        </w:rPr>
        <w:tab/>
      </w:r>
      <w:bookmarkStart w:id="0" w:name="_GoBack"/>
      <w:bookmarkEnd w:id="0"/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Tento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skúšobný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poriadok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nadobúda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účinnosť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E74A66">
        <w:rPr>
          <w:rFonts w:asciiTheme="minorHAnsi" w:hAnsiTheme="minorHAnsi" w:cstheme="minorHAnsi"/>
          <w:color w:val="auto"/>
          <w:sz w:val="20"/>
          <w:szCs w:val="20"/>
        </w:rPr>
        <w:t>dňa</w:t>
      </w:r>
      <w:proofErr w:type="spellEnd"/>
      <w:r w:rsidRPr="00E74A66">
        <w:rPr>
          <w:rFonts w:asciiTheme="minorHAnsi" w:hAnsiTheme="minorHAnsi" w:cstheme="minorHAnsi"/>
          <w:color w:val="auto"/>
          <w:sz w:val="20"/>
          <w:szCs w:val="20"/>
        </w:rPr>
        <w:t xml:space="preserve"> 01.01.2011 </w:t>
      </w:r>
    </w:p>
    <w:sectPr w:rsidR="00E74A66" w:rsidRPr="00E74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39674B"/>
    <w:multiLevelType w:val="hybridMultilevel"/>
    <w:tmpl w:val="CC31B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A0F6BC"/>
    <w:multiLevelType w:val="hybridMultilevel"/>
    <w:tmpl w:val="DDD134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9A0C8D"/>
    <w:multiLevelType w:val="hybridMultilevel"/>
    <w:tmpl w:val="0F73A7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1DC2F9"/>
    <w:multiLevelType w:val="hybridMultilevel"/>
    <w:tmpl w:val="E8912A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1B5FD1"/>
    <w:multiLevelType w:val="hybridMultilevel"/>
    <w:tmpl w:val="659CA3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6D7CEC1"/>
    <w:multiLevelType w:val="hybridMultilevel"/>
    <w:tmpl w:val="41471F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5448812"/>
    <w:multiLevelType w:val="hybridMultilevel"/>
    <w:tmpl w:val="8F6357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8F6B17"/>
    <w:multiLevelType w:val="hybridMultilevel"/>
    <w:tmpl w:val="106FD2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9CC4E4"/>
    <w:multiLevelType w:val="hybridMultilevel"/>
    <w:tmpl w:val="0B9864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805085"/>
    <w:multiLevelType w:val="hybridMultilevel"/>
    <w:tmpl w:val="8E96E0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444C12"/>
    <w:multiLevelType w:val="hybridMultilevel"/>
    <w:tmpl w:val="B017BB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CDBA523"/>
    <w:multiLevelType w:val="hybridMultilevel"/>
    <w:tmpl w:val="357F0A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16FEF5"/>
    <w:multiLevelType w:val="hybridMultilevel"/>
    <w:tmpl w:val="CC0372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911BC21"/>
    <w:multiLevelType w:val="hybridMultilevel"/>
    <w:tmpl w:val="31C7BE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387DD02"/>
    <w:multiLevelType w:val="hybridMultilevel"/>
    <w:tmpl w:val="788898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328C05"/>
    <w:multiLevelType w:val="hybridMultilevel"/>
    <w:tmpl w:val="F76C97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D5AE9A"/>
    <w:multiLevelType w:val="hybridMultilevel"/>
    <w:tmpl w:val="9D6450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E5CDC01"/>
    <w:multiLevelType w:val="hybridMultilevel"/>
    <w:tmpl w:val="53491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46F2B0"/>
    <w:multiLevelType w:val="hybridMultilevel"/>
    <w:tmpl w:val="90321B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6"/>
  </w:num>
  <w:num w:numId="5">
    <w:abstractNumId w:val="12"/>
  </w:num>
  <w:num w:numId="6">
    <w:abstractNumId w:val="5"/>
  </w:num>
  <w:num w:numId="7">
    <w:abstractNumId w:val="9"/>
  </w:num>
  <w:num w:numId="8">
    <w:abstractNumId w:val="17"/>
  </w:num>
  <w:num w:numId="9">
    <w:abstractNumId w:val="11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6"/>
  </w:num>
  <w:num w:numId="16">
    <w:abstractNumId w:val="14"/>
  </w:num>
  <w:num w:numId="17">
    <w:abstractNumId w:val="0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66"/>
    <w:rsid w:val="00884ECA"/>
    <w:rsid w:val="00C63BD7"/>
    <w:rsid w:val="00D66F5D"/>
    <w:rsid w:val="00E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069A"/>
  <w15:chartTrackingRefBased/>
  <w15:docId w15:val="{3FC277EF-7D38-4DCB-BB16-21CDD8D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customStyle="1" w:styleId="Default">
    <w:name w:val="Default"/>
    <w:rsid w:val="00E74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Adriana Horváthová</cp:lastModifiedBy>
  <cp:revision>1</cp:revision>
  <cp:lastPrinted>2019-05-14T12:25:00Z</cp:lastPrinted>
  <dcterms:created xsi:type="dcterms:W3CDTF">2019-07-04T06:21:00Z</dcterms:created>
  <dcterms:modified xsi:type="dcterms:W3CDTF">2019-07-04T06:35:00Z</dcterms:modified>
</cp:coreProperties>
</file>