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9B18F5" w14:textId="3CE5797C" w:rsidR="00BC54D6" w:rsidRPr="001B2492" w:rsidRDefault="00454C1D" w:rsidP="00A37282">
      <w:pPr>
        <w:spacing w:after="0"/>
        <w:ind w:left="120"/>
        <w:jc w:val="center"/>
        <w:rPr>
          <w:lang w:val="sk-SK"/>
        </w:rPr>
      </w:pPr>
      <w:r>
        <w:rPr>
          <w:noProof/>
        </w:rPr>
        <w:drawing>
          <wp:inline distT="0" distB="0" distL="0" distR="0" wp14:anchorId="4A72502E" wp14:editId="1E7ACF27">
            <wp:extent cx="3623941" cy="590357"/>
            <wp:effectExtent l="0" t="0" r="0" b="635"/>
            <wp:docPr id="11" name="Obrázok 1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1" descr="Obrázok, na ktorom je text&#10;&#10;Automaticky generovaný pop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7159" cy="608801"/>
                    </a:xfrm>
                    <a:prstGeom prst="rect">
                      <a:avLst/>
                    </a:prstGeom>
                    <a:noFill/>
                    <a:ln>
                      <a:noFill/>
                    </a:ln>
                  </pic:spPr>
                </pic:pic>
              </a:graphicData>
            </a:graphic>
          </wp:inline>
        </w:drawing>
      </w:r>
    </w:p>
    <w:p w14:paraId="5437BC24" w14:textId="79399B53" w:rsidR="007276CB" w:rsidRPr="001B2492" w:rsidRDefault="007276CB" w:rsidP="00A37282">
      <w:pPr>
        <w:spacing w:after="0"/>
        <w:ind w:left="120"/>
        <w:jc w:val="center"/>
        <w:rPr>
          <w:lang w:val="sk-SK"/>
        </w:rPr>
      </w:pPr>
    </w:p>
    <w:p w14:paraId="3208AEB9" w14:textId="595936E2" w:rsidR="007276CB" w:rsidRPr="001B2492" w:rsidRDefault="007276CB" w:rsidP="00A37282">
      <w:pPr>
        <w:spacing w:after="0"/>
        <w:ind w:left="120"/>
        <w:jc w:val="center"/>
        <w:rPr>
          <w:color w:val="A6A6A6" w:themeColor="background1" w:themeShade="A6"/>
          <w:sz w:val="44"/>
          <w:szCs w:val="44"/>
          <w:lang w:val="sk-SK"/>
        </w:rPr>
      </w:pPr>
      <w:r w:rsidRPr="001B2492">
        <w:rPr>
          <w:color w:val="A6A6A6" w:themeColor="background1" w:themeShade="A6"/>
          <w:sz w:val="44"/>
          <w:szCs w:val="44"/>
          <w:lang w:val="sk-SK"/>
        </w:rPr>
        <w:t>Tlačová správa SKDP</w:t>
      </w:r>
    </w:p>
    <w:p w14:paraId="78C51F14" w14:textId="786D0701" w:rsidR="006B10EB" w:rsidRPr="004437BA" w:rsidRDefault="00B60FF9" w:rsidP="00626F39">
      <w:pPr>
        <w:pStyle w:val="Zvraznencitcia"/>
        <w:ind w:left="0" w:right="4"/>
        <w:rPr>
          <w:b/>
          <w:bCs/>
          <w:color w:val="2F5496" w:themeColor="accent1" w:themeShade="BF"/>
          <w:sz w:val="180"/>
          <w:szCs w:val="180"/>
          <w:lang w:val="sk-SK"/>
        </w:rPr>
      </w:pPr>
      <w:r w:rsidRPr="00B60FF9">
        <w:rPr>
          <w:b/>
          <w:bCs/>
          <w:color w:val="2F5496" w:themeColor="accent1" w:themeShade="BF"/>
          <w:sz w:val="48"/>
          <w:szCs w:val="48"/>
          <w:lang w:val="sk-SK"/>
        </w:rPr>
        <w:t>Termíny pre podanie daňového priznania fyzických a právnických osôb</w:t>
      </w:r>
    </w:p>
    <w:p w14:paraId="1058E22A" w14:textId="6B1B0719" w:rsidR="00BC54D6" w:rsidRPr="001B2492" w:rsidRDefault="00EA1084" w:rsidP="007276CB">
      <w:pPr>
        <w:spacing w:after="0"/>
        <w:ind w:left="120"/>
        <w:jc w:val="right"/>
        <w:rPr>
          <w:rFonts w:cstheme="minorHAnsi"/>
          <w:lang w:val="sk-SK"/>
        </w:rPr>
      </w:pPr>
      <w:r w:rsidRPr="001B2492">
        <w:rPr>
          <w:rFonts w:cstheme="minorHAnsi"/>
          <w:b/>
          <w:lang w:val="sk-SK"/>
        </w:rPr>
        <w:t xml:space="preserve">Bratislava, </w:t>
      </w:r>
      <w:r w:rsidR="00B60FF9">
        <w:rPr>
          <w:rFonts w:cstheme="minorHAnsi"/>
          <w:b/>
          <w:lang w:val="sk-SK"/>
        </w:rPr>
        <w:t>25</w:t>
      </w:r>
      <w:r w:rsidRPr="001B2492">
        <w:rPr>
          <w:rFonts w:cstheme="minorHAnsi"/>
          <w:b/>
          <w:lang w:val="sk-SK"/>
        </w:rPr>
        <w:t xml:space="preserve">. </w:t>
      </w:r>
      <w:r w:rsidR="00B60FF9">
        <w:rPr>
          <w:rFonts w:cstheme="minorHAnsi"/>
          <w:b/>
          <w:lang w:val="sk-SK"/>
        </w:rPr>
        <w:t>septembra</w:t>
      </w:r>
      <w:r w:rsidRPr="001B2492">
        <w:rPr>
          <w:rFonts w:cstheme="minorHAnsi"/>
          <w:b/>
          <w:lang w:val="sk-SK"/>
        </w:rPr>
        <w:t xml:space="preserve"> 202</w:t>
      </w:r>
      <w:r w:rsidR="00B60FF9">
        <w:rPr>
          <w:rFonts w:cstheme="minorHAnsi"/>
          <w:b/>
          <w:lang w:val="sk-SK"/>
        </w:rPr>
        <w:t>4</w:t>
      </w:r>
    </w:p>
    <w:p w14:paraId="3CE911D7" w14:textId="5C7BB028" w:rsidR="00BC54D6" w:rsidRPr="001B2492" w:rsidRDefault="00EA1084" w:rsidP="00773AD5">
      <w:pPr>
        <w:spacing w:after="0"/>
        <w:jc w:val="both"/>
        <w:rPr>
          <w:rFonts w:cstheme="minorHAnsi"/>
          <w:lang w:val="sk-SK"/>
        </w:rPr>
      </w:pPr>
      <w:r w:rsidRPr="001B2492">
        <w:rPr>
          <w:rFonts w:cstheme="minorHAnsi"/>
          <w:lang w:val="sk-SK"/>
        </w:rPr>
        <w:br/>
      </w:r>
    </w:p>
    <w:p w14:paraId="252D7127" w14:textId="0371D010" w:rsidR="00B60FF9" w:rsidRDefault="00B60FF9" w:rsidP="00B60FF9">
      <w:pPr>
        <w:jc w:val="both"/>
        <w:rPr>
          <w:b/>
          <w:bCs/>
          <w:lang w:val="sk-SK"/>
        </w:rPr>
      </w:pPr>
      <w:r w:rsidRPr="00B60FF9">
        <w:rPr>
          <w:b/>
          <w:bCs/>
          <w:lang w:val="sk-SK"/>
        </w:rPr>
        <w:t>V rámci zlepšovania informovanosti verejnosti o daňových povinnostiach, Slovenská komora daňových poradcov prináša komplexný prehľad o procese podávania daňových priznaní pre fyzické a právnické osoby. Tlačová správa sa sústreďuje na vysvetlenie základných zásad a lehôt, ktoré sú s týmto procesom spojené. Cieľom je zabezpečiť, aby všetci daňovníci mali prístup k aktuálnym informáciám a vyhli sa možným komplikáciám spojeným s podaním daňových priznaní. Zaujímavosťou je aj zahrnutie pravidiel pre podávanie daňového priznania za zomrelého daňovníka, čo môže byť pre mnohých dedičov nová a neznáma téma, ktorá je však dôležitá pre splnenie všetkých zákonných povinností.</w:t>
      </w:r>
    </w:p>
    <w:p w14:paraId="619F2D0B" w14:textId="56445B78" w:rsidR="00B60FF9" w:rsidRDefault="00B60FF9" w:rsidP="00344E2D">
      <w:pPr>
        <w:jc w:val="both"/>
        <w:rPr>
          <w:lang w:val="sk-SK"/>
        </w:rPr>
      </w:pPr>
      <w:r w:rsidRPr="00B60FF9">
        <w:rPr>
          <w:lang w:val="sk-SK"/>
        </w:rPr>
        <w:t>V súlade s § 49 ods. 2 zákona o dani z príjmov sa daňové priznanie podáva do troch kalendárnych mesiacov po uplynutí zdaňovacieho obdobia, ak zákon neustanovuje inak. V tejto lehote je daňovník povinný daň aj zaplatiť. Riadny termín na podanie slovenského daňového priznania za predošlý rok je štandardne 31. marec kalendárneho roka. Ak koniec lehoty pripadne na sobotu, nedeľu alebo deň pracovného pokoja, podľa § 27 ods. 4 daňového poriadku posledným dňom lehoty je najbližší nasledujúci pracovný deň.</w:t>
      </w:r>
    </w:p>
    <w:p w14:paraId="1775F5E5" w14:textId="42F23B8D" w:rsidR="00B60FF9" w:rsidRPr="00B60FF9" w:rsidRDefault="00B60FF9" w:rsidP="00344E2D">
      <w:pPr>
        <w:jc w:val="both"/>
        <w:rPr>
          <w:b/>
          <w:bCs/>
          <w:sz w:val="28"/>
          <w:szCs w:val="28"/>
          <w:lang w:val="sk-SK"/>
        </w:rPr>
      </w:pPr>
      <w:r w:rsidRPr="00B60FF9">
        <w:rPr>
          <w:b/>
          <w:bCs/>
          <w:sz w:val="28"/>
          <w:szCs w:val="28"/>
          <w:lang w:val="sk-SK"/>
        </w:rPr>
        <w:t>Daňové priznanie k dani z príjmu fyzických osôb (DPFO)</w:t>
      </w:r>
    </w:p>
    <w:p w14:paraId="686DA4A4" w14:textId="1AF83F87" w:rsidR="00B60FF9" w:rsidRDefault="00B60FF9" w:rsidP="00B60FF9">
      <w:pPr>
        <w:spacing w:after="0"/>
        <w:jc w:val="both"/>
        <w:rPr>
          <w:rFonts w:cstheme="minorHAnsi"/>
          <w:lang w:val="sk-SK"/>
        </w:rPr>
      </w:pPr>
      <w:r w:rsidRPr="00B60FF9">
        <w:rPr>
          <w:rFonts w:cstheme="minorHAnsi"/>
          <w:lang w:val="sk-SK"/>
        </w:rPr>
        <w:t>DPFO sa podáva vždy spätne, za už ukončený kalendárny rok, ktorý je na Slovensku totožný so zdaňovacím obdobím. Zdaňovacie obdobie fyzickej osoby je vždy kalendárny rok (s výnimkou úmrtia). Daňové priznanie majú povinnosť podať všetky osoby, ktoré mali v predchádzajúcom roku zdaniteľné príjmy vyššie ako 2 461,41 €, vykázali daňovú stratu alebo ich k tomu vyzval daňový úrad.</w:t>
      </w:r>
    </w:p>
    <w:p w14:paraId="43CB81F5" w14:textId="77777777" w:rsidR="00B60FF9" w:rsidRPr="00B60FF9" w:rsidRDefault="00B60FF9" w:rsidP="00B60FF9">
      <w:pPr>
        <w:spacing w:after="0"/>
        <w:jc w:val="both"/>
        <w:rPr>
          <w:rFonts w:cstheme="minorHAnsi"/>
          <w:lang w:val="sk-SK"/>
        </w:rPr>
      </w:pPr>
    </w:p>
    <w:p w14:paraId="51521B7E" w14:textId="0B8A1654" w:rsidR="00B60FF9" w:rsidRDefault="00B60FF9" w:rsidP="00B60FF9">
      <w:pPr>
        <w:spacing w:after="0"/>
        <w:jc w:val="both"/>
        <w:rPr>
          <w:rFonts w:cstheme="minorHAnsi"/>
          <w:lang w:val="sk-SK"/>
        </w:rPr>
      </w:pPr>
      <w:r w:rsidRPr="00B60FF9">
        <w:rPr>
          <w:rFonts w:cstheme="minorHAnsi"/>
          <w:lang w:val="sk-SK"/>
        </w:rPr>
        <w:t xml:space="preserve">Daňovníci, ktorí si podajú oznámenie o predĺžení lehoty, môžu termín posunúť maximálne do 30. júna, resp. do 30. apríla alebo 31. mája. Pre tých daňovníkov, ktorí mali príjmy zo zahraničia, je maximálna predĺžená lehota na podanie daňového priznania do 30. septembra. Pozor, ak daňovník podá priznanie až v tomto termíne a Finančná správa zistí, že nepriznal žiadne príjmy zo zahraničia, bude naň nazerať ako </w:t>
      </w:r>
      <w:r w:rsidRPr="00B60FF9">
        <w:rPr>
          <w:rFonts w:cstheme="minorHAnsi"/>
          <w:lang w:val="sk-SK"/>
        </w:rPr>
        <w:lastRenderedPageBreak/>
        <w:t xml:space="preserve">na priznanie podané po termíne, za čo hrozia sankcie z omeškania. Daňové priznanie je potrebné podať elektronicky alebo na miestne príslušný daňový úrad.   </w:t>
      </w:r>
    </w:p>
    <w:p w14:paraId="4B874AB0" w14:textId="77777777" w:rsidR="00770CCF" w:rsidRPr="00B60FF9" w:rsidRDefault="00770CCF" w:rsidP="00B60FF9">
      <w:pPr>
        <w:spacing w:after="0"/>
        <w:jc w:val="both"/>
        <w:rPr>
          <w:rFonts w:cstheme="minorHAnsi"/>
          <w:lang w:val="sk-SK"/>
        </w:rPr>
      </w:pPr>
    </w:p>
    <w:p w14:paraId="55F58A89" w14:textId="66F541A1" w:rsidR="00B60FF9" w:rsidRDefault="00B60FF9" w:rsidP="00B60FF9">
      <w:pPr>
        <w:spacing w:after="0"/>
        <w:jc w:val="both"/>
        <w:rPr>
          <w:rFonts w:cstheme="minorHAnsi"/>
          <w:lang w:val="sk-SK"/>
        </w:rPr>
      </w:pPr>
      <w:r w:rsidRPr="00B60FF9">
        <w:rPr>
          <w:rFonts w:cstheme="minorHAnsi"/>
          <w:lang w:val="sk-SK"/>
        </w:rPr>
        <w:t>V prípade ak daňovník v priebehu zdaňovacieho obdobia zomrie, povinnosť podať za neho daňové priznanie sa presúva na jeho dediča, resp. osobu vyplývajúcu z dohody dedičov alebo osobu, ktorú určil za zosnulého daňovníka správca dane. Daňové priznanie je nutné podať do troch mesiacov od smrti daňovníka, ak správca dane nevyužije možnosť lehotu na podávanie daňového priznania predĺžiť na základe žiadosti dediča.</w:t>
      </w:r>
    </w:p>
    <w:p w14:paraId="69E39AB2" w14:textId="77777777" w:rsidR="00B60FF9" w:rsidRPr="00B60FF9" w:rsidRDefault="00B60FF9" w:rsidP="00B60FF9">
      <w:pPr>
        <w:spacing w:after="0"/>
        <w:jc w:val="both"/>
        <w:rPr>
          <w:rFonts w:cstheme="minorHAnsi"/>
          <w:lang w:val="sk-SK"/>
        </w:rPr>
      </w:pPr>
    </w:p>
    <w:p w14:paraId="47D09AD6" w14:textId="42DE630C" w:rsidR="00B60FF9" w:rsidRPr="00B60FF9" w:rsidRDefault="00B60FF9" w:rsidP="00B60FF9">
      <w:pPr>
        <w:spacing w:after="0"/>
        <w:jc w:val="both"/>
        <w:rPr>
          <w:rFonts w:cstheme="minorHAnsi"/>
          <w:b/>
          <w:bCs/>
          <w:lang w:val="sk-SK"/>
        </w:rPr>
      </w:pPr>
      <w:r w:rsidRPr="00B60FF9">
        <w:rPr>
          <w:rFonts w:cstheme="minorHAnsi"/>
          <w:b/>
          <w:bCs/>
          <w:lang w:val="sk-SK"/>
        </w:rPr>
        <w:t xml:space="preserve">Okrem daňové priznania je nutné predložiť aj požadované prílohy: </w:t>
      </w:r>
    </w:p>
    <w:p w14:paraId="6E4BFEE7" w14:textId="69B4FB67" w:rsidR="00B60FF9" w:rsidRDefault="00B60FF9" w:rsidP="00B60FF9">
      <w:pPr>
        <w:spacing w:after="0"/>
        <w:jc w:val="both"/>
        <w:rPr>
          <w:rFonts w:cstheme="minorHAnsi"/>
          <w:lang w:val="sk-SK"/>
        </w:rPr>
      </w:pPr>
    </w:p>
    <w:p w14:paraId="356CBA05" w14:textId="77777777" w:rsidR="00B60FF9" w:rsidRPr="00B60FF9" w:rsidRDefault="00B60FF9" w:rsidP="00B60FF9">
      <w:pPr>
        <w:pStyle w:val="Odsekzoznamu"/>
        <w:numPr>
          <w:ilvl w:val="0"/>
          <w:numId w:val="9"/>
        </w:numPr>
        <w:spacing w:after="0"/>
        <w:jc w:val="both"/>
        <w:rPr>
          <w:rFonts w:cstheme="minorHAnsi"/>
          <w:lang w:val="sk-SK"/>
        </w:rPr>
      </w:pPr>
      <w:r w:rsidRPr="00B60FF9">
        <w:rPr>
          <w:rFonts w:cstheme="minorHAnsi"/>
          <w:lang w:val="sk-SK"/>
        </w:rPr>
        <w:t xml:space="preserve">kópia potvrdenia o zdaniteľných príjmoch od Vášho zamestnávateľa; </w:t>
      </w:r>
    </w:p>
    <w:p w14:paraId="27293326" w14:textId="77777777" w:rsidR="00B60FF9" w:rsidRPr="00B60FF9" w:rsidRDefault="00B60FF9" w:rsidP="00B60FF9">
      <w:pPr>
        <w:pStyle w:val="Odsekzoznamu"/>
        <w:numPr>
          <w:ilvl w:val="0"/>
          <w:numId w:val="9"/>
        </w:numPr>
        <w:spacing w:after="0"/>
        <w:jc w:val="both"/>
        <w:rPr>
          <w:rFonts w:cstheme="minorHAnsi"/>
          <w:lang w:val="sk-SK"/>
        </w:rPr>
      </w:pPr>
      <w:r w:rsidRPr="00B60FF9">
        <w:rPr>
          <w:rFonts w:cstheme="minorHAnsi"/>
          <w:lang w:val="sk-SK"/>
        </w:rPr>
        <w:t xml:space="preserve">kópia rodného listu Vášho dieťaťa, ak si chcete uplatniť daňový bonus na deti a ak nebola predložená už v minulosti; </w:t>
      </w:r>
    </w:p>
    <w:p w14:paraId="729C10C5" w14:textId="77777777" w:rsidR="00B60FF9" w:rsidRPr="00B60FF9" w:rsidRDefault="00B60FF9" w:rsidP="00B60FF9">
      <w:pPr>
        <w:pStyle w:val="Odsekzoznamu"/>
        <w:numPr>
          <w:ilvl w:val="0"/>
          <w:numId w:val="9"/>
        </w:numPr>
        <w:spacing w:after="0"/>
        <w:jc w:val="both"/>
        <w:rPr>
          <w:rFonts w:cstheme="minorHAnsi"/>
          <w:lang w:val="sk-SK"/>
        </w:rPr>
      </w:pPr>
      <w:r w:rsidRPr="00B60FF9">
        <w:rPr>
          <w:rFonts w:cstheme="minorHAnsi"/>
          <w:lang w:val="sk-SK"/>
        </w:rPr>
        <w:t xml:space="preserve">kópia potvrdenia o návšteve zahraničnej školy, ak si chcete uplatniť daňový bonus na deti; </w:t>
      </w:r>
    </w:p>
    <w:p w14:paraId="683C38D8" w14:textId="77777777" w:rsidR="00B60FF9" w:rsidRPr="00B60FF9" w:rsidRDefault="00B60FF9" w:rsidP="00B60FF9">
      <w:pPr>
        <w:pStyle w:val="Odsekzoznamu"/>
        <w:numPr>
          <w:ilvl w:val="0"/>
          <w:numId w:val="9"/>
        </w:numPr>
        <w:spacing w:after="0"/>
        <w:jc w:val="both"/>
        <w:rPr>
          <w:rFonts w:cstheme="minorHAnsi"/>
          <w:lang w:val="sk-SK"/>
        </w:rPr>
      </w:pPr>
      <w:r w:rsidRPr="00B60FF9">
        <w:rPr>
          <w:rFonts w:cstheme="minorHAnsi"/>
          <w:lang w:val="sk-SK"/>
        </w:rPr>
        <w:t xml:space="preserve">kópia potvrdenia banky v prípade, že si chcete uplatniť daňový bonus za zaplatené úroky; </w:t>
      </w:r>
    </w:p>
    <w:p w14:paraId="695DAA3B" w14:textId="77777777" w:rsidR="00B60FF9" w:rsidRPr="00B60FF9" w:rsidRDefault="00B60FF9" w:rsidP="00B60FF9">
      <w:pPr>
        <w:pStyle w:val="Odsekzoznamu"/>
        <w:numPr>
          <w:ilvl w:val="0"/>
          <w:numId w:val="9"/>
        </w:numPr>
        <w:spacing w:after="0"/>
        <w:jc w:val="both"/>
        <w:rPr>
          <w:rFonts w:cstheme="minorHAnsi"/>
          <w:lang w:val="sk-SK"/>
        </w:rPr>
      </w:pPr>
      <w:r w:rsidRPr="00B60FF9">
        <w:rPr>
          <w:rFonts w:cstheme="minorHAnsi"/>
          <w:lang w:val="sk-SK"/>
        </w:rPr>
        <w:t xml:space="preserve">kópia potvrdenia z doplnkového dôchodkového sporenia, ak si naň sporíte; </w:t>
      </w:r>
    </w:p>
    <w:p w14:paraId="58416BE2" w14:textId="78A173D9" w:rsidR="00B60FF9" w:rsidRDefault="00B60FF9" w:rsidP="00B60FF9">
      <w:pPr>
        <w:pStyle w:val="Odsekzoznamu"/>
        <w:numPr>
          <w:ilvl w:val="0"/>
          <w:numId w:val="9"/>
        </w:numPr>
        <w:spacing w:after="0"/>
        <w:jc w:val="both"/>
        <w:rPr>
          <w:rFonts w:cstheme="minorHAnsi"/>
          <w:lang w:val="sk-SK"/>
        </w:rPr>
      </w:pPr>
      <w:r w:rsidRPr="00B60FF9">
        <w:rPr>
          <w:rFonts w:cstheme="minorHAnsi"/>
          <w:lang w:val="sk-SK"/>
        </w:rPr>
        <w:t>potvrdenie o výkone dobrovoľníckej činnosti (vydané prijímateľom dobrovoľníckej činnosti alebo vysielajúcou organizáciou), ak chcete darovať 3 % z dane a vykonávali ste dobrovoľnícku činnosť podľa zákona č. 406/2011 Z. z. o dobrovoľníctve v znení neskorších predpisov počas najmenej 40 hodín.</w:t>
      </w:r>
    </w:p>
    <w:p w14:paraId="64E65540" w14:textId="77777777" w:rsidR="00B60FF9" w:rsidRPr="00B60FF9" w:rsidRDefault="00B60FF9" w:rsidP="00B60FF9">
      <w:pPr>
        <w:spacing w:after="0"/>
        <w:jc w:val="both"/>
        <w:rPr>
          <w:rFonts w:cstheme="minorHAnsi"/>
          <w:lang w:val="sk-SK"/>
        </w:rPr>
      </w:pPr>
    </w:p>
    <w:p w14:paraId="3F0AC5F0" w14:textId="41245B16" w:rsidR="00B60FF9" w:rsidRDefault="00B60FF9" w:rsidP="00B60FF9">
      <w:pPr>
        <w:jc w:val="both"/>
        <w:rPr>
          <w:b/>
          <w:bCs/>
          <w:sz w:val="28"/>
          <w:szCs w:val="28"/>
          <w:lang w:val="sk-SK"/>
        </w:rPr>
      </w:pPr>
      <w:r w:rsidRPr="00B60FF9">
        <w:rPr>
          <w:b/>
          <w:bCs/>
          <w:sz w:val="28"/>
          <w:szCs w:val="28"/>
          <w:lang w:val="sk-SK"/>
        </w:rPr>
        <w:t>Daňové priznanie k dani z príjmu právnických osôb</w:t>
      </w:r>
    </w:p>
    <w:p w14:paraId="770DFDCE" w14:textId="77777777" w:rsidR="00B60FF9" w:rsidRPr="00B60FF9" w:rsidRDefault="00B60FF9" w:rsidP="00B60FF9">
      <w:pPr>
        <w:jc w:val="both"/>
        <w:rPr>
          <w:lang w:val="sk-SK"/>
        </w:rPr>
      </w:pPr>
      <w:r w:rsidRPr="00B60FF9">
        <w:rPr>
          <w:lang w:val="sk-SK"/>
        </w:rPr>
        <w:t xml:space="preserve">Zdaňovacím obdobím právnických osôb je štandardne kalendárny rok. Právnická osoba môže zmeniť účtovné obdobie na hospodársky rok. V taktom prípade sa obdobie od začiatku kalendárneho roka do dňa predchádzajúceho zmene zdaňovacieho obdobia na hospodársky rok považuje za samostatné zdaňovacie obdobie. Účtovné obdobie, ktoré je hospodárskym rokom, uplatní účtovná jednotka písomným oznámením daňovému úradu najmenej 15 dní pred zmenou účtovného obdobia, resp. ak ide o nového daňovníka (účtovnú jednotku), do 30 dní odo dňa vzniku účtovnej jednotky. </w:t>
      </w:r>
    </w:p>
    <w:p w14:paraId="6ECEBEE5" w14:textId="77777777" w:rsidR="00B60FF9" w:rsidRPr="00B60FF9" w:rsidRDefault="00B60FF9" w:rsidP="00B60FF9">
      <w:pPr>
        <w:jc w:val="both"/>
        <w:rPr>
          <w:lang w:val="sk-SK"/>
        </w:rPr>
      </w:pPr>
      <w:r w:rsidRPr="00B60FF9">
        <w:rPr>
          <w:lang w:val="sk-SK"/>
        </w:rPr>
        <w:t>Podať  daňové priznanie je povinná každá právnická osoba, ktorá bola založená so zámerom podnikania, ako napríklad obchodné spoločnosti či družstvá, a to aj v prípade, že za zdaňovacie obdobie nevykázala žiadne príjmy. Výnimky z tejto povinnosti majú iba neziskové organizácie a subjekty, ktoré neboli založené na účely podnikania, pokiaľ za zdaňovacie obdobie dosiahli len zákonom vymedzené príjmy.</w:t>
      </w:r>
    </w:p>
    <w:p w14:paraId="2AC74312" w14:textId="08CDBBF1" w:rsidR="00B60FF9" w:rsidRDefault="00B60FF9" w:rsidP="00B60FF9">
      <w:pPr>
        <w:jc w:val="both"/>
        <w:rPr>
          <w:lang w:val="sk-SK"/>
        </w:rPr>
      </w:pPr>
      <w:r w:rsidRPr="00B60FF9">
        <w:rPr>
          <w:lang w:val="sk-SK"/>
        </w:rPr>
        <w:t>Daňové priznanie sa podáva elektronicky a v rámci podania je potrebné priložiť aj účtovnú závierku. Daňové priznanie v listinnej podobe môžu predložiť len pozemkové spoločenstvá, neziskové organizácie, nadácie, cirkvi, náboženské spoločnosti, cirkevné organizácie, občianske združenia, záujmové združenie právnických osôb, ak nie sú platiteľmi dane z pridanej hodnoty a ak ich pri správe daní nezastupuje daňový poradca alebo advokát.</w:t>
      </w:r>
    </w:p>
    <w:p w14:paraId="120BA4C9" w14:textId="77777777" w:rsidR="00B60FF9" w:rsidRDefault="00B60FF9" w:rsidP="00B60FF9">
      <w:pPr>
        <w:jc w:val="both"/>
        <w:rPr>
          <w:lang w:val="sk-SK"/>
        </w:rPr>
      </w:pPr>
    </w:p>
    <w:p w14:paraId="69227331" w14:textId="1015091F" w:rsidR="00B60FF9" w:rsidRPr="00B60FF9" w:rsidRDefault="00B60FF9" w:rsidP="00B60FF9">
      <w:pPr>
        <w:jc w:val="both"/>
        <w:rPr>
          <w:b/>
          <w:bCs/>
          <w:lang w:val="sk-SK"/>
        </w:rPr>
      </w:pPr>
      <w:r w:rsidRPr="00B60FF9">
        <w:rPr>
          <w:b/>
          <w:bCs/>
          <w:lang w:val="sk-SK"/>
        </w:rPr>
        <w:lastRenderedPageBreak/>
        <w:t xml:space="preserve">Daňovník môže mať kratšie zdaňovacie obdobie ako kalendárny rok v niekoľkých prípadoch: </w:t>
      </w:r>
    </w:p>
    <w:p w14:paraId="48D32C76" w14:textId="77777777" w:rsidR="00B60FF9" w:rsidRPr="00B60FF9" w:rsidRDefault="00B60FF9" w:rsidP="00B60FF9">
      <w:pPr>
        <w:pStyle w:val="Odsekzoznamu"/>
        <w:numPr>
          <w:ilvl w:val="0"/>
          <w:numId w:val="10"/>
        </w:numPr>
        <w:jc w:val="both"/>
        <w:rPr>
          <w:lang w:val="sk-SK"/>
        </w:rPr>
      </w:pPr>
      <w:r w:rsidRPr="00B60FF9">
        <w:rPr>
          <w:lang w:val="sk-SK"/>
        </w:rPr>
        <w:t>Ak daňovník vznikne počas kalendárneho roka, jeho zdaňovacie obdobie sa končí 31. 12. alebo posledným dňom hospodárskeho roka, ak ho uplatňuje.</w:t>
      </w:r>
    </w:p>
    <w:p w14:paraId="3BAB5B1C" w14:textId="4D838005" w:rsidR="00B60FF9" w:rsidRPr="00B60FF9" w:rsidRDefault="00B60FF9" w:rsidP="00B60FF9">
      <w:pPr>
        <w:pStyle w:val="Odsekzoznamu"/>
        <w:numPr>
          <w:ilvl w:val="0"/>
          <w:numId w:val="10"/>
        </w:numPr>
        <w:jc w:val="both"/>
        <w:rPr>
          <w:lang w:val="sk-SK"/>
        </w:rPr>
      </w:pPr>
      <w:r w:rsidRPr="00B60FF9">
        <w:rPr>
          <w:lang w:val="sk-SK"/>
        </w:rPr>
        <w:t>Pred vstupom do likvidácie, zdaňovacie obdobie končí deň pred vstupom do likvidácie.</w:t>
      </w:r>
    </w:p>
    <w:p w14:paraId="37D30CC6" w14:textId="7C7B6200" w:rsidR="00B60FF9" w:rsidRPr="00B60FF9" w:rsidRDefault="00B60FF9" w:rsidP="00B60FF9">
      <w:pPr>
        <w:pStyle w:val="Odsekzoznamu"/>
        <w:numPr>
          <w:ilvl w:val="0"/>
          <w:numId w:val="10"/>
        </w:numPr>
        <w:jc w:val="both"/>
        <w:rPr>
          <w:lang w:val="sk-SK"/>
        </w:rPr>
      </w:pPr>
      <w:r w:rsidRPr="00B60FF9">
        <w:rPr>
          <w:lang w:val="sk-SK"/>
        </w:rPr>
        <w:t>Pred vyhlásením konkurzu, zdaňovacie obdobie končí deň pred vyhlásením konkurzu.</w:t>
      </w:r>
    </w:p>
    <w:p w14:paraId="369DEC56" w14:textId="68E68C56" w:rsidR="00B60FF9" w:rsidRPr="00B60FF9" w:rsidRDefault="00B60FF9" w:rsidP="00B60FF9">
      <w:pPr>
        <w:pStyle w:val="Odsekzoznamu"/>
        <w:numPr>
          <w:ilvl w:val="0"/>
          <w:numId w:val="10"/>
        </w:numPr>
        <w:jc w:val="both"/>
        <w:rPr>
          <w:lang w:val="sk-SK"/>
        </w:rPr>
      </w:pPr>
      <w:r w:rsidRPr="00B60FF9">
        <w:rPr>
          <w:lang w:val="sk-SK"/>
        </w:rPr>
        <w:t>Pri zrušení bez likvidácie s právnym nástupcom, zdaňovacie obdobie končí deň pred rozhodným dňom, pričom je daňovník zrušený bez likvidácie alebo jeho právny nástupca povinný podať daňové priznanie za zdaňovacie obdobie ukončené dňom predchádzajúcim rozhodnému dňu.</w:t>
      </w:r>
    </w:p>
    <w:p w14:paraId="63806200" w14:textId="4CB20279" w:rsidR="00B60FF9" w:rsidRPr="00B60FF9" w:rsidRDefault="00B60FF9" w:rsidP="00B60FF9">
      <w:pPr>
        <w:pStyle w:val="Odsekzoznamu"/>
        <w:numPr>
          <w:ilvl w:val="0"/>
          <w:numId w:val="10"/>
        </w:numPr>
        <w:jc w:val="both"/>
        <w:rPr>
          <w:lang w:val="sk-SK"/>
        </w:rPr>
      </w:pPr>
      <w:r w:rsidRPr="00B60FF9">
        <w:rPr>
          <w:lang w:val="sk-SK"/>
        </w:rPr>
        <w:t>Pri zmene kalendárneho roka na hospodársky rok, obdobie končí deň pred zmenou.</w:t>
      </w:r>
    </w:p>
    <w:p w14:paraId="57AFC33F" w14:textId="4E9056EF" w:rsidR="00B60FF9" w:rsidRDefault="00B60FF9" w:rsidP="00B60FF9">
      <w:pPr>
        <w:pStyle w:val="Odsekzoznamu"/>
        <w:numPr>
          <w:ilvl w:val="0"/>
          <w:numId w:val="10"/>
        </w:numPr>
        <w:jc w:val="both"/>
        <w:rPr>
          <w:lang w:val="sk-SK"/>
        </w:rPr>
      </w:pPr>
      <w:r w:rsidRPr="00B60FF9">
        <w:rPr>
          <w:lang w:val="sk-SK"/>
        </w:rPr>
        <w:t>Pri zmene právnej formy spoločnosti, zdaňovacie obdobie končí deň pred zápisom zmeny do obchodného registra.</w:t>
      </w:r>
    </w:p>
    <w:p w14:paraId="331149F3" w14:textId="77777777" w:rsidR="00B60FF9" w:rsidRPr="00B60FF9" w:rsidRDefault="00B60FF9" w:rsidP="00B60FF9">
      <w:pPr>
        <w:jc w:val="both"/>
        <w:rPr>
          <w:b/>
          <w:bCs/>
          <w:lang w:val="sk-SK"/>
        </w:rPr>
      </w:pPr>
      <w:r w:rsidRPr="00B60FF9">
        <w:rPr>
          <w:b/>
          <w:bCs/>
          <w:lang w:val="sk-SK"/>
        </w:rPr>
        <w:t>Daňovník môže mať dlhšie zdaňovacie obdobie ako kalendárny rok v týchto prípadoch:</w:t>
      </w:r>
    </w:p>
    <w:p w14:paraId="1BA676AE" w14:textId="77777777" w:rsidR="00B60FF9" w:rsidRPr="00B60FF9" w:rsidRDefault="00B60FF9" w:rsidP="00B60FF9">
      <w:pPr>
        <w:pStyle w:val="Odsekzoznamu"/>
        <w:numPr>
          <w:ilvl w:val="0"/>
          <w:numId w:val="11"/>
        </w:numPr>
        <w:jc w:val="both"/>
        <w:rPr>
          <w:lang w:val="sk-SK"/>
        </w:rPr>
      </w:pPr>
      <w:r w:rsidRPr="00B60FF9">
        <w:rPr>
          <w:lang w:val="sk-SK"/>
        </w:rPr>
        <w:t>Ak daňovník vstúpil do likvidácie, zdaňovacie obdobie končí 31. 12. druhého roka po roku, v ktorom vstúpil do likvidácie, ak sa likvidácia dovtedy neskončí. Po tomto termíne je zdaňovacím obdobím každý kalendárny rok.</w:t>
      </w:r>
    </w:p>
    <w:p w14:paraId="5C23B76B" w14:textId="77777777" w:rsidR="00B60FF9" w:rsidRPr="00B60FF9" w:rsidRDefault="00B60FF9" w:rsidP="00B60FF9">
      <w:pPr>
        <w:pStyle w:val="Odsekzoznamu"/>
        <w:numPr>
          <w:ilvl w:val="0"/>
          <w:numId w:val="11"/>
        </w:numPr>
        <w:jc w:val="both"/>
        <w:rPr>
          <w:lang w:val="sk-SK"/>
        </w:rPr>
      </w:pPr>
      <w:r w:rsidRPr="00B60FF9">
        <w:rPr>
          <w:lang w:val="sk-SK"/>
        </w:rPr>
        <w:t>Pri vyhlásení konkurzu sa zdaňovacie obdobie končí 31. 12. druhého roka po vyhlásení konkurzu, ak konkurz nebol zrušený. Po tomto termíne je zdaňovacím obdobím kalendárny rok.</w:t>
      </w:r>
    </w:p>
    <w:p w14:paraId="1263DB08" w14:textId="6E58566A" w:rsidR="00B60FF9" w:rsidRDefault="00B60FF9" w:rsidP="00B60FF9">
      <w:pPr>
        <w:pStyle w:val="Odsekzoznamu"/>
        <w:numPr>
          <w:ilvl w:val="0"/>
          <w:numId w:val="11"/>
        </w:numPr>
        <w:jc w:val="both"/>
        <w:rPr>
          <w:lang w:val="sk-SK"/>
        </w:rPr>
      </w:pPr>
      <w:r w:rsidRPr="00B60FF9">
        <w:rPr>
          <w:lang w:val="sk-SK"/>
        </w:rPr>
        <w:t>Pri zrušení daňovníka bez likvidácie, ak právny nástupca už existuje, zdaňovacie obdobie pokračuje u nástupcu. Ak právny nástupca ešte nevznikol, obdobie trvá do 31. 12. nasledujúceho roka po rozhodnom dni.</w:t>
      </w:r>
    </w:p>
    <w:p w14:paraId="59C083BB" w14:textId="77777777" w:rsidR="00B60FF9" w:rsidRPr="00B60FF9" w:rsidRDefault="00B60FF9" w:rsidP="00B60FF9">
      <w:pPr>
        <w:jc w:val="both"/>
        <w:rPr>
          <w:b/>
          <w:bCs/>
          <w:lang w:val="sk-SK"/>
        </w:rPr>
      </w:pPr>
      <w:r w:rsidRPr="00B60FF9">
        <w:rPr>
          <w:b/>
          <w:bCs/>
          <w:lang w:val="sk-SK"/>
        </w:rPr>
        <w:t>Ďalšie zdaňovacie obdobia môžu vzniknúť v týchto situáciách:</w:t>
      </w:r>
    </w:p>
    <w:p w14:paraId="625140B3" w14:textId="77777777" w:rsidR="00B60FF9" w:rsidRPr="00B60FF9" w:rsidRDefault="00B60FF9" w:rsidP="00B60FF9">
      <w:pPr>
        <w:pStyle w:val="Odsekzoznamu"/>
        <w:numPr>
          <w:ilvl w:val="0"/>
          <w:numId w:val="12"/>
        </w:numPr>
        <w:jc w:val="both"/>
        <w:rPr>
          <w:lang w:val="sk-SK"/>
        </w:rPr>
      </w:pPr>
      <w:r w:rsidRPr="00B60FF9">
        <w:rPr>
          <w:lang w:val="sk-SK"/>
        </w:rPr>
        <w:t>Pri zmene sídla alebo miesta vedenia spoločnosti, ak daňovník prestáva byť daňovníkom s neobmedzenou daňovou povinnosťou a nevzniká mu stála prevádzkareň na Slovensku, zdaňovacie obdobie sa končí dňom pred touto zmenou.</w:t>
      </w:r>
    </w:p>
    <w:p w14:paraId="622C0597" w14:textId="77777777" w:rsidR="00B60FF9" w:rsidRPr="00B60FF9" w:rsidRDefault="00B60FF9" w:rsidP="00B60FF9">
      <w:pPr>
        <w:pStyle w:val="Odsekzoznamu"/>
        <w:numPr>
          <w:ilvl w:val="0"/>
          <w:numId w:val="12"/>
        </w:numPr>
        <w:jc w:val="both"/>
        <w:rPr>
          <w:lang w:val="sk-SK"/>
        </w:rPr>
      </w:pPr>
      <w:r w:rsidRPr="00B60FF9">
        <w:rPr>
          <w:lang w:val="sk-SK"/>
        </w:rPr>
        <w:t>Ak sídlo alebo miesto vedenia spoločnosti zostáva na Slovensku, zdaňovacie obdobie sa končí posledným dňom pôvodného zdaňovacieho obdobia.</w:t>
      </w:r>
    </w:p>
    <w:p w14:paraId="4DDF67A4" w14:textId="77777777" w:rsidR="00B60FF9" w:rsidRPr="00B60FF9" w:rsidRDefault="00B60FF9" w:rsidP="00B60FF9">
      <w:pPr>
        <w:pStyle w:val="Odsekzoznamu"/>
        <w:numPr>
          <w:ilvl w:val="0"/>
          <w:numId w:val="12"/>
        </w:numPr>
        <w:jc w:val="both"/>
        <w:rPr>
          <w:lang w:val="sk-SK"/>
        </w:rPr>
      </w:pPr>
      <w:r w:rsidRPr="00B60FF9">
        <w:rPr>
          <w:lang w:val="sk-SK"/>
        </w:rPr>
        <w:t>Pri zrušení daňovníka zamietnutím návrhu na konkurz pre nedostatok majetku sa zdaňovacie obdobie končí v deň zamietnutia.</w:t>
      </w:r>
    </w:p>
    <w:p w14:paraId="0E97ED1A" w14:textId="77777777" w:rsidR="00B60FF9" w:rsidRPr="00B60FF9" w:rsidRDefault="00B60FF9" w:rsidP="00B60FF9">
      <w:pPr>
        <w:pStyle w:val="Odsekzoznamu"/>
        <w:numPr>
          <w:ilvl w:val="0"/>
          <w:numId w:val="12"/>
        </w:numPr>
        <w:jc w:val="both"/>
        <w:rPr>
          <w:lang w:val="sk-SK"/>
        </w:rPr>
      </w:pPr>
      <w:r w:rsidRPr="00B60FF9">
        <w:rPr>
          <w:lang w:val="sk-SK"/>
        </w:rPr>
        <w:t>Ak sa konkurzné konanie zastaví pre nedostatok majetku, zdaňovacie obdobie končí dňom zverejnenia v Obchodnom vestníku.</w:t>
      </w:r>
    </w:p>
    <w:p w14:paraId="756FAED9" w14:textId="77777777" w:rsidR="00B60FF9" w:rsidRPr="00B60FF9" w:rsidRDefault="00B60FF9" w:rsidP="00B60FF9">
      <w:pPr>
        <w:pStyle w:val="Odsekzoznamu"/>
        <w:numPr>
          <w:ilvl w:val="0"/>
          <w:numId w:val="12"/>
        </w:numPr>
        <w:jc w:val="both"/>
        <w:rPr>
          <w:lang w:val="sk-SK"/>
        </w:rPr>
      </w:pPr>
      <w:r w:rsidRPr="00B60FF9">
        <w:rPr>
          <w:lang w:val="sk-SK"/>
        </w:rPr>
        <w:t>Pri rozhodnutí o zrušení daňovníka bez vyhlásenia konkurzu sa zdaňovacie obdobie končí dňom výmazu z obchodného registra.</w:t>
      </w:r>
    </w:p>
    <w:p w14:paraId="4DF800F1" w14:textId="3B749BE8" w:rsidR="00B60FF9" w:rsidRDefault="00B60FF9" w:rsidP="00B60FF9">
      <w:pPr>
        <w:pStyle w:val="Odsekzoznamu"/>
        <w:numPr>
          <w:ilvl w:val="0"/>
          <w:numId w:val="12"/>
        </w:numPr>
        <w:jc w:val="both"/>
        <w:rPr>
          <w:lang w:val="sk-SK"/>
        </w:rPr>
      </w:pPr>
      <w:r w:rsidRPr="00B60FF9">
        <w:rPr>
          <w:lang w:val="sk-SK"/>
        </w:rPr>
        <w:t>Ak je nariadená dodatočná likvidácia, obdobie sa začína obnovením zápisu v obchodnom registri a končí výmazom z dôvodu skončenia likvidácie.</w:t>
      </w:r>
    </w:p>
    <w:p w14:paraId="6F92C7A0" w14:textId="77777777" w:rsidR="00B60FF9" w:rsidRPr="00B60FF9" w:rsidRDefault="00B60FF9" w:rsidP="00B60FF9">
      <w:pPr>
        <w:jc w:val="both"/>
        <w:rPr>
          <w:lang w:val="sk-SK"/>
        </w:rPr>
      </w:pPr>
      <w:r w:rsidRPr="00B60FF9">
        <w:rPr>
          <w:lang w:val="sk-SK"/>
        </w:rPr>
        <w:t>Za tieto obdobia podáva daňové priznanie posledný štatutárny orgán pred výmazom z obchodného registra, pričom je povinný daň zaplatiť do príslušného termínu.</w:t>
      </w:r>
    </w:p>
    <w:p w14:paraId="653214CF" w14:textId="77777777" w:rsidR="00B60FF9" w:rsidRPr="00B60FF9" w:rsidRDefault="00B60FF9" w:rsidP="00B60FF9">
      <w:pPr>
        <w:jc w:val="both"/>
        <w:rPr>
          <w:lang w:val="sk-SK"/>
        </w:rPr>
      </w:pPr>
      <w:r w:rsidRPr="00B60FF9">
        <w:rPr>
          <w:lang w:val="sk-SK"/>
        </w:rPr>
        <w:lastRenderedPageBreak/>
        <w:t>Právnické osoby majú možnosť predĺžiť si lehotu na podanie daňového priznania o tri mesiace, teda najneskôr do 30. júna. Táto možnosť sa však vzťahuje len na právnické osoby, ktoré včas podajú oznámenie o predĺžení lehoty a Pre daňovníkov, ktorí majú príjmy zo zahraničia, sa môže lehota na podanie daňového priznania predĺžiť až na šesť mesiacov, teda do 30. septembra. Ak právnická osoba podá daňové priznanie neskoro alebo nesprávne, môže čeliť sankciám zo strany Finančnej správy SR.</w:t>
      </w:r>
    </w:p>
    <w:p w14:paraId="1B2F4669" w14:textId="2013F870" w:rsidR="00B60FF9" w:rsidRDefault="00B60FF9" w:rsidP="00B60FF9">
      <w:pPr>
        <w:jc w:val="both"/>
        <w:rPr>
          <w:rFonts w:cstheme="minorHAnsi"/>
          <w:lang w:val="sk-SK"/>
        </w:rPr>
      </w:pPr>
      <w:r w:rsidRPr="00B60FF9">
        <w:rPr>
          <w:lang w:val="sk-SK"/>
        </w:rPr>
        <w:t>V špecifických prípadoch, ako je napríklad likvidácia spoločnosti, konkurz alebo zrušenie spoločnosti bez likvidácie, platia osobitné pravidlá pre zdaňovacie obdobie. Ak spoločnosť vstúpila do likvidácie alebo jej bol vyhlásený konkurz, zdaňovacie obdobie končí v deň predchádzajúci vstupu do likvidácie alebo vyhláseniu konkurzu. V prípade zrušenia právnickej osoby s právnym nástupníctvom (zlúčenie, splynutie alebo rozdelenie spoločností), daňové priznanie podáva právny nástupca. Tento musí uviesť v daňovom priznaní identifikačné údaje spoločnosti, ktorá bola zrušená bez likvidácie. Právnické osoby v likvidácii, konkurze alebo inej špecifickej situácii majú povinnosť podať daňové priznanie do troch kalendárnych mesiacov od ukončenia ich zdaňovacieho obdobia, pokiaľ zákon neustanovuje inak.</w:t>
      </w:r>
    </w:p>
    <w:p w14:paraId="280F13CB" w14:textId="77777777" w:rsidR="00B60FF9" w:rsidRPr="00B60FF9" w:rsidRDefault="00B60FF9" w:rsidP="00B60FF9">
      <w:pPr>
        <w:pBdr>
          <w:bottom w:val="single" w:sz="4" w:space="1" w:color="auto"/>
        </w:pBdr>
        <w:spacing w:after="0"/>
        <w:jc w:val="both"/>
        <w:rPr>
          <w:rFonts w:cstheme="minorHAnsi"/>
          <w:lang w:val="sk-SK"/>
        </w:rPr>
      </w:pPr>
    </w:p>
    <w:p w14:paraId="624E2C2E" w14:textId="39597BDA" w:rsidR="00B60FF9" w:rsidRPr="00B60FF9" w:rsidRDefault="00B60FF9" w:rsidP="00B60FF9">
      <w:pPr>
        <w:pBdr>
          <w:bottom w:val="single" w:sz="4" w:space="1" w:color="auto"/>
        </w:pBdr>
        <w:spacing w:after="0"/>
        <w:jc w:val="both"/>
        <w:rPr>
          <w:rFonts w:cstheme="minorHAnsi"/>
          <w:b/>
          <w:bCs/>
          <w:lang w:val="sk-SK"/>
        </w:rPr>
      </w:pPr>
      <w:r w:rsidRPr="00B60FF9">
        <w:rPr>
          <w:rFonts w:cstheme="minorHAnsi"/>
          <w:b/>
          <w:bCs/>
          <w:lang w:val="sk-SK"/>
        </w:rPr>
        <w:t>Tlačová správa bola vypracovaná dňa 18. 8. 2024 podľa legislatívy platnej k tomuto dňu.</w:t>
      </w:r>
    </w:p>
    <w:p w14:paraId="248265D4" w14:textId="77777777" w:rsidR="00B60FF9" w:rsidRDefault="00B60FF9" w:rsidP="00B60FF9">
      <w:pPr>
        <w:pBdr>
          <w:bottom w:val="single" w:sz="4" w:space="1" w:color="auto"/>
        </w:pBdr>
        <w:spacing w:after="0"/>
        <w:jc w:val="both"/>
        <w:rPr>
          <w:rFonts w:cstheme="minorHAnsi"/>
          <w:lang w:val="sk-SK"/>
        </w:rPr>
      </w:pPr>
    </w:p>
    <w:p w14:paraId="1A305B75" w14:textId="77777777" w:rsidR="00B60FF9" w:rsidRPr="001B2492" w:rsidRDefault="00B60FF9" w:rsidP="00B60FF9">
      <w:pPr>
        <w:pBdr>
          <w:bottom w:val="single" w:sz="4" w:space="1" w:color="auto"/>
        </w:pBdr>
        <w:spacing w:after="0"/>
        <w:jc w:val="both"/>
        <w:rPr>
          <w:rFonts w:cstheme="minorHAnsi"/>
          <w:lang w:val="sk-SK"/>
        </w:rPr>
      </w:pPr>
    </w:p>
    <w:p w14:paraId="70E2FFF9" w14:textId="601F602B" w:rsidR="00BC54D6" w:rsidRPr="001B2492" w:rsidRDefault="006A05AE" w:rsidP="007D65B5">
      <w:pPr>
        <w:spacing w:after="0"/>
        <w:ind w:left="120"/>
        <w:jc w:val="both"/>
        <w:rPr>
          <w:rFonts w:cstheme="minorHAnsi"/>
          <w:lang w:val="sk-SK"/>
        </w:rPr>
      </w:pPr>
      <w:r w:rsidRPr="001B2492">
        <w:rPr>
          <w:noProof/>
          <w:lang w:val="sk-SK"/>
        </w:rPr>
        <w:drawing>
          <wp:anchor distT="0" distB="0" distL="114300" distR="114300" simplePos="0" relativeHeight="251659264" behindDoc="1" locked="0" layoutInCell="1" allowOverlap="1" wp14:anchorId="04358413" wp14:editId="7DD7881C">
            <wp:simplePos x="0" y="0"/>
            <wp:positionH relativeFrom="column">
              <wp:posOffset>93400</wp:posOffset>
            </wp:positionH>
            <wp:positionV relativeFrom="paragraph">
              <wp:posOffset>81482</wp:posOffset>
            </wp:positionV>
            <wp:extent cx="335915" cy="306705"/>
            <wp:effectExtent l="0" t="0" r="6985" b="0"/>
            <wp:wrapTight wrapText="bothSides">
              <wp:wrapPolygon edited="0">
                <wp:start x="0" y="0"/>
                <wp:lineTo x="0" y="20124"/>
                <wp:lineTo x="20824" y="20124"/>
                <wp:lineTo x="20824" y="0"/>
                <wp:lineTo x="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15" cy="306705"/>
                    </a:xfrm>
                    <a:prstGeom prst="rect">
                      <a:avLst/>
                    </a:prstGeom>
                  </pic:spPr>
                </pic:pic>
              </a:graphicData>
            </a:graphic>
            <wp14:sizeRelH relativeFrom="margin">
              <wp14:pctWidth>0</wp14:pctWidth>
            </wp14:sizeRelH>
            <wp14:sizeRelV relativeFrom="margin">
              <wp14:pctHeight>0</wp14:pctHeight>
            </wp14:sizeRelV>
          </wp:anchor>
        </w:drawing>
      </w:r>
    </w:p>
    <w:p w14:paraId="4F82EF8A" w14:textId="5EA44CB3" w:rsidR="00BC54D6" w:rsidRPr="001B2492" w:rsidRDefault="008D7DB7" w:rsidP="007D65B5">
      <w:pPr>
        <w:spacing w:after="0"/>
        <w:ind w:left="120"/>
        <w:jc w:val="both"/>
        <w:rPr>
          <w:rFonts w:cstheme="minorHAnsi"/>
          <w:lang w:val="sk-SK"/>
        </w:rPr>
      </w:pPr>
      <w:r w:rsidRPr="001B2492">
        <w:rPr>
          <w:rFonts w:cstheme="minorHAnsi"/>
          <w:b/>
          <w:lang w:val="sk-SK"/>
        </w:rPr>
        <w:t xml:space="preserve"> </w:t>
      </w:r>
      <w:r w:rsidR="00EA1084" w:rsidRPr="001B2492">
        <w:rPr>
          <w:rFonts w:cstheme="minorHAnsi"/>
          <w:b/>
          <w:lang w:val="sk-SK"/>
        </w:rPr>
        <w:t>O SKDP</w:t>
      </w:r>
    </w:p>
    <w:p w14:paraId="6D2C532D" w14:textId="7EC70DB4" w:rsidR="00BC54D6" w:rsidRPr="001B2492" w:rsidRDefault="00EA1084" w:rsidP="007D65B5">
      <w:pPr>
        <w:spacing w:after="0"/>
        <w:ind w:left="120"/>
        <w:jc w:val="both"/>
        <w:rPr>
          <w:rFonts w:cstheme="minorHAnsi"/>
          <w:lang w:val="sk-SK"/>
        </w:rPr>
      </w:pPr>
      <w:r w:rsidRPr="001B2492">
        <w:rPr>
          <w:rFonts w:cstheme="minorHAnsi"/>
          <w:lang w:val="sk-SK"/>
        </w:rPr>
        <w:t>Slovenská komora daňových poradcov (SKDP) združuje daňových poradcov a udržiava úroveň daňového poradenstva na Slovensku. Jej cieľom je podporovať všetkých členov komory v ich profesii a poskytovať im pravidelné odborné vzdelávanie počas celej kariéry. Podieľa sa na príprave legislatívy a snaží sa ovplyvniť jej výslednú podobu. Slovenská komora je členom medzinárodnej Európskej daňovej konfederácie (CFE - Confederation Fiscale Europeenne), ktorá združuje národné organizácie (komory).</w:t>
      </w:r>
    </w:p>
    <w:p w14:paraId="6C450DEA" w14:textId="77777777" w:rsidR="00FF0439" w:rsidRPr="001B2492" w:rsidRDefault="00FF0439" w:rsidP="00FF0439">
      <w:pPr>
        <w:pBdr>
          <w:bottom w:val="single" w:sz="4" w:space="1" w:color="auto"/>
        </w:pBdr>
        <w:spacing w:after="0"/>
        <w:jc w:val="both"/>
        <w:rPr>
          <w:rFonts w:cstheme="minorHAnsi"/>
          <w:lang w:val="sk-SK"/>
        </w:rPr>
      </w:pPr>
    </w:p>
    <w:p w14:paraId="4AEA6D81" w14:textId="77777777" w:rsidR="00FF0439" w:rsidRPr="001B2492" w:rsidRDefault="00FF0439" w:rsidP="00FF0439">
      <w:pPr>
        <w:spacing w:after="0" w:line="240" w:lineRule="auto"/>
        <w:jc w:val="both"/>
        <w:rPr>
          <w:sz w:val="18"/>
          <w:szCs w:val="18"/>
          <w:lang w:val="sk-SK"/>
        </w:rPr>
      </w:pPr>
    </w:p>
    <w:p w14:paraId="1A5C25C9" w14:textId="6367CDA8" w:rsidR="00FF0439" w:rsidRPr="001B2492" w:rsidRDefault="00FF0439" w:rsidP="00FF0439">
      <w:pPr>
        <w:spacing w:after="0" w:line="240" w:lineRule="auto"/>
        <w:jc w:val="both"/>
        <w:rPr>
          <w:b/>
          <w:bCs/>
          <w:lang w:val="sk-SK"/>
        </w:rPr>
      </w:pPr>
      <w:r w:rsidRPr="001B2492">
        <w:rPr>
          <w:b/>
          <w:bCs/>
          <w:lang w:val="sk-SK"/>
        </w:rPr>
        <w:t>V prípade otázok kontaktujte:</w:t>
      </w:r>
    </w:p>
    <w:p w14:paraId="37A03CE1" w14:textId="6206A21A" w:rsidR="006A5AFC" w:rsidRPr="001B2492" w:rsidRDefault="00255AC5" w:rsidP="00255AC5">
      <w:pPr>
        <w:tabs>
          <w:tab w:val="center" w:pos="4680"/>
        </w:tabs>
        <w:spacing w:after="0" w:line="240" w:lineRule="auto"/>
        <w:ind w:left="4962"/>
        <w:jc w:val="both"/>
        <w:rPr>
          <w:lang w:val="sk-SK"/>
        </w:rPr>
      </w:pPr>
      <w:r w:rsidRPr="001B2492">
        <w:rPr>
          <w:noProof/>
          <w:lang w:val="sk-SK"/>
        </w:rPr>
        <w:drawing>
          <wp:anchor distT="0" distB="0" distL="114300" distR="114300" simplePos="0" relativeHeight="251658240" behindDoc="1" locked="0" layoutInCell="1" allowOverlap="1" wp14:anchorId="43E2C453" wp14:editId="6F8C2FC4">
            <wp:simplePos x="0" y="0"/>
            <wp:positionH relativeFrom="column">
              <wp:posOffset>2665095</wp:posOffset>
            </wp:positionH>
            <wp:positionV relativeFrom="paragraph">
              <wp:posOffset>7620</wp:posOffset>
            </wp:positionV>
            <wp:extent cx="368935" cy="648335"/>
            <wp:effectExtent l="0" t="0" r="0" b="0"/>
            <wp:wrapTight wrapText="bothSides">
              <wp:wrapPolygon edited="0">
                <wp:start x="0" y="0"/>
                <wp:lineTo x="0" y="20944"/>
                <wp:lineTo x="20076" y="20944"/>
                <wp:lineTo x="20076"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935" cy="648335"/>
                    </a:xfrm>
                    <a:prstGeom prst="rect">
                      <a:avLst/>
                    </a:prstGeom>
                  </pic:spPr>
                </pic:pic>
              </a:graphicData>
            </a:graphic>
            <wp14:sizeRelH relativeFrom="margin">
              <wp14:pctWidth>0</wp14:pctWidth>
            </wp14:sizeRelH>
            <wp14:sizeRelV relativeFrom="margin">
              <wp14:pctHeight>0</wp14:pctHeight>
            </wp14:sizeRelV>
          </wp:anchor>
        </w:drawing>
      </w:r>
      <w:r w:rsidR="006A5AFC" w:rsidRPr="001B2492">
        <w:rPr>
          <w:lang w:val="sk-SK"/>
        </w:rPr>
        <w:t xml:space="preserve">Slovenská komora daňových poradcov </w:t>
      </w:r>
      <w:r w:rsidR="005C640D" w:rsidRPr="001B2492">
        <w:rPr>
          <w:lang w:val="sk-SK"/>
        </w:rPr>
        <w:tab/>
      </w:r>
    </w:p>
    <w:p w14:paraId="2230A20D" w14:textId="2F837AB1" w:rsidR="006A5AFC" w:rsidRPr="001B2492" w:rsidRDefault="00FF0439" w:rsidP="00255AC5">
      <w:pPr>
        <w:spacing w:after="0" w:line="240" w:lineRule="auto"/>
        <w:ind w:left="4962"/>
        <w:jc w:val="both"/>
        <w:rPr>
          <w:b/>
          <w:bCs/>
          <w:lang w:val="sk-SK"/>
        </w:rPr>
      </w:pPr>
      <w:r w:rsidRPr="001B2492">
        <w:rPr>
          <w:b/>
          <w:bCs/>
          <w:lang w:val="sk-SK"/>
        </w:rPr>
        <w:t>JUDr. Adriana Horváthová, tajomník</w:t>
      </w:r>
    </w:p>
    <w:p w14:paraId="2167B4DF" w14:textId="73A1D336" w:rsidR="00FF0439" w:rsidRPr="001B2492" w:rsidRDefault="00FF0439" w:rsidP="00255AC5">
      <w:pPr>
        <w:spacing w:after="0" w:line="240" w:lineRule="auto"/>
        <w:ind w:left="4962"/>
        <w:jc w:val="both"/>
        <w:rPr>
          <w:lang w:val="sk-SK"/>
        </w:rPr>
      </w:pPr>
      <w:r w:rsidRPr="001B2492">
        <w:rPr>
          <w:lang w:val="sk-SK"/>
        </w:rPr>
        <w:t xml:space="preserve">email: </w:t>
      </w:r>
      <w:r w:rsidRPr="001B2492">
        <w:rPr>
          <w:rFonts w:ascii="Calibri" w:hAnsi="Calibri" w:cs="Calibri"/>
          <w:lang w:val="sk-SK"/>
        </w:rPr>
        <w:t xml:space="preserve"> </w:t>
      </w:r>
      <w:hyperlink r:id="rId10" w:history="1">
        <w:r w:rsidRPr="001B2492">
          <w:rPr>
            <w:rStyle w:val="Hypertextovprepojenie"/>
            <w:color w:val="auto"/>
            <w:lang w:val="sk-SK"/>
          </w:rPr>
          <w:t>tlacove@skdp.sk</w:t>
        </w:r>
      </w:hyperlink>
      <w:r w:rsidRPr="001B2492">
        <w:rPr>
          <w:lang w:val="sk-SK"/>
        </w:rPr>
        <w:t>, tel: +421 908 169 879</w:t>
      </w:r>
    </w:p>
    <w:p w14:paraId="6F5DB51D" w14:textId="749FF717" w:rsidR="00BC54D6" w:rsidRPr="001B2492" w:rsidRDefault="00FF0439" w:rsidP="00267571">
      <w:pPr>
        <w:spacing w:after="0" w:line="240" w:lineRule="auto"/>
        <w:ind w:left="4962"/>
        <w:jc w:val="both"/>
        <w:rPr>
          <w:lang w:val="sk-SK"/>
        </w:rPr>
      </w:pPr>
      <w:r w:rsidRPr="001B2492">
        <w:rPr>
          <w:lang w:val="sk-SK"/>
        </w:rPr>
        <w:t xml:space="preserve">Trnavská cesta 74/A, 821 02 Bratislava </w:t>
      </w:r>
    </w:p>
    <w:sectPr w:rsidR="00BC54D6" w:rsidRPr="001B2492" w:rsidSect="00A37282">
      <w:headerReference w:type="even" r:id="rId11"/>
      <w:headerReference w:type="default" r:id="rId12"/>
      <w:footerReference w:type="even" r:id="rId13"/>
      <w:footerReference w:type="default" r:id="rId14"/>
      <w:headerReference w:type="first" r:id="rId15"/>
      <w:footerReference w:type="first" r:id="rId16"/>
      <w:pgSz w:w="12240" w:h="15840" w:code="1"/>
      <w:pgMar w:top="42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6AF8" w14:textId="77777777" w:rsidR="005B4B92" w:rsidRDefault="005B4B92" w:rsidP="003509AD">
      <w:pPr>
        <w:spacing w:after="0" w:line="240" w:lineRule="auto"/>
      </w:pPr>
      <w:r>
        <w:separator/>
      </w:r>
    </w:p>
  </w:endnote>
  <w:endnote w:type="continuationSeparator" w:id="0">
    <w:p w14:paraId="7ADDF370" w14:textId="77777777" w:rsidR="005B4B92" w:rsidRDefault="005B4B92" w:rsidP="0035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574D" w14:textId="77777777" w:rsidR="003509AD" w:rsidRDefault="003509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B121" w14:textId="77777777" w:rsidR="003509AD" w:rsidRDefault="003509A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73278" w14:textId="77777777" w:rsidR="003509AD" w:rsidRDefault="003509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D75F" w14:textId="77777777" w:rsidR="005B4B92" w:rsidRDefault="005B4B92" w:rsidP="003509AD">
      <w:pPr>
        <w:spacing w:after="0" w:line="240" w:lineRule="auto"/>
      </w:pPr>
      <w:r>
        <w:separator/>
      </w:r>
    </w:p>
  </w:footnote>
  <w:footnote w:type="continuationSeparator" w:id="0">
    <w:p w14:paraId="1F9442DB" w14:textId="77777777" w:rsidR="005B4B92" w:rsidRDefault="005B4B92" w:rsidP="0035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FA84" w14:textId="77777777" w:rsidR="003509AD" w:rsidRDefault="003509A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2CC5" w14:textId="77777777" w:rsidR="003509AD" w:rsidRDefault="003509A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920C" w14:textId="77777777" w:rsidR="003509AD" w:rsidRDefault="003509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BFD"/>
    <w:multiLevelType w:val="hybridMultilevel"/>
    <w:tmpl w:val="122466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1D365B"/>
    <w:multiLevelType w:val="hybridMultilevel"/>
    <w:tmpl w:val="11564F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170589"/>
    <w:multiLevelType w:val="hybridMultilevel"/>
    <w:tmpl w:val="14D0E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E023423"/>
    <w:multiLevelType w:val="hybridMultilevel"/>
    <w:tmpl w:val="A4F02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AF12A9"/>
    <w:multiLevelType w:val="hybridMultilevel"/>
    <w:tmpl w:val="463CC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F305D44"/>
    <w:multiLevelType w:val="hybridMultilevel"/>
    <w:tmpl w:val="75DE64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FED43C3"/>
    <w:multiLevelType w:val="hybridMultilevel"/>
    <w:tmpl w:val="AE4AE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0C129A8"/>
    <w:multiLevelType w:val="hybridMultilevel"/>
    <w:tmpl w:val="AF2A8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E2F5D66"/>
    <w:multiLevelType w:val="hybridMultilevel"/>
    <w:tmpl w:val="A15253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714F37"/>
    <w:multiLevelType w:val="hybridMultilevel"/>
    <w:tmpl w:val="650CFC6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A12589E"/>
    <w:multiLevelType w:val="hybridMultilevel"/>
    <w:tmpl w:val="F98E50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79311E"/>
    <w:multiLevelType w:val="hybridMultilevel"/>
    <w:tmpl w:val="2F845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45116717">
    <w:abstractNumId w:val="8"/>
  </w:num>
  <w:num w:numId="2" w16cid:durableId="1169059092">
    <w:abstractNumId w:val="9"/>
  </w:num>
  <w:num w:numId="3" w16cid:durableId="667683252">
    <w:abstractNumId w:val="5"/>
  </w:num>
  <w:num w:numId="4" w16cid:durableId="1813675748">
    <w:abstractNumId w:val="0"/>
  </w:num>
  <w:num w:numId="5" w16cid:durableId="1081174995">
    <w:abstractNumId w:val="3"/>
  </w:num>
  <w:num w:numId="6" w16cid:durableId="1527255624">
    <w:abstractNumId w:val="7"/>
  </w:num>
  <w:num w:numId="7" w16cid:durableId="2120759992">
    <w:abstractNumId w:val="10"/>
  </w:num>
  <w:num w:numId="8" w16cid:durableId="1017930783">
    <w:abstractNumId w:val="1"/>
  </w:num>
  <w:num w:numId="9" w16cid:durableId="444622111">
    <w:abstractNumId w:val="6"/>
  </w:num>
  <w:num w:numId="10" w16cid:durableId="953750002">
    <w:abstractNumId w:val="2"/>
  </w:num>
  <w:num w:numId="11" w16cid:durableId="1876771112">
    <w:abstractNumId w:val="11"/>
  </w:num>
  <w:num w:numId="12" w16cid:durableId="2049605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6"/>
    <w:rsid w:val="000614CE"/>
    <w:rsid w:val="0007701A"/>
    <w:rsid w:val="000B0D87"/>
    <w:rsid w:val="000D33F5"/>
    <w:rsid w:val="000F16C1"/>
    <w:rsid w:val="00105FF8"/>
    <w:rsid w:val="00134B97"/>
    <w:rsid w:val="001362E3"/>
    <w:rsid w:val="00165A6B"/>
    <w:rsid w:val="00182CFE"/>
    <w:rsid w:val="00192EC7"/>
    <w:rsid w:val="0019478B"/>
    <w:rsid w:val="001A0BD5"/>
    <w:rsid w:val="001B2492"/>
    <w:rsid w:val="00241A8A"/>
    <w:rsid w:val="00255AC5"/>
    <w:rsid w:val="00267571"/>
    <w:rsid w:val="002B54E8"/>
    <w:rsid w:val="002C6C72"/>
    <w:rsid w:val="002D564A"/>
    <w:rsid w:val="00335F63"/>
    <w:rsid w:val="00344E2D"/>
    <w:rsid w:val="003509AD"/>
    <w:rsid w:val="00387050"/>
    <w:rsid w:val="003F067A"/>
    <w:rsid w:val="00410A51"/>
    <w:rsid w:val="00423B84"/>
    <w:rsid w:val="004304AD"/>
    <w:rsid w:val="004437BA"/>
    <w:rsid w:val="00454C1D"/>
    <w:rsid w:val="004615F3"/>
    <w:rsid w:val="004655DE"/>
    <w:rsid w:val="004720E6"/>
    <w:rsid w:val="004C330A"/>
    <w:rsid w:val="004C758A"/>
    <w:rsid w:val="004D0B24"/>
    <w:rsid w:val="004D1522"/>
    <w:rsid w:val="00516F50"/>
    <w:rsid w:val="005249D9"/>
    <w:rsid w:val="0057448D"/>
    <w:rsid w:val="005B1D46"/>
    <w:rsid w:val="005B4B92"/>
    <w:rsid w:val="005C640D"/>
    <w:rsid w:val="005E7FA6"/>
    <w:rsid w:val="00617861"/>
    <w:rsid w:val="00626F39"/>
    <w:rsid w:val="00655DF7"/>
    <w:rsid w:val="00692028"/>
    <w:rsid w:val="00696961"/>
    <w:rsid w:val="006A0551"/>
    <w:rsid w:val="006A05AE"/>
    <w:rsid w:val="006A5AFC"/>
    <w:rsid w:val="006B10EB"/>
    <w:rsid w:val="006E6AB0"/>
    <w:rsid w:val="00701636"/>
    <w:rsid w:val="00712AB6"/>
    <w:rsid w:val="00721597"/>
    <w:rsid w:val="007276CB"/>
    <w:rsid w:val="0074299E"/>
    <w:rsid w:val="00770CCF"/>
    <w:rsid w:val="00773AD5"/>
    <w:rsid w:val="0078094E"/>
    <w:rsid w:val="00781A43"/>
    <w:rsid w:val="00790342"/>
    <w:rsid w:val="007906CF"/>
    <w:rsid w:val="00790FCE"/>
    <w:rsid w:val="007D1468"/>
    <w:rsid w:val="007D65B5"/>
    <w:rsid w:val="007F4662"/>
    <w:rsid w:val="008027FE"/>
    <w:rsid w:val="0080575B"/>
    <w:rsid w:val="00805E48"/>
    <w:rsid w:val="00807B72"/>
    <w:rsid w:val="00831161"/>
    <w:rsid w:val="00840BFE"/>
    <w:rsid w:val="00845F22"/>
    <w:rsid w:val="008D7DB7"/>
    <w:rsid w:val="009034BA"/>
    <w:rsid w:val="0091432A"/>
    <w:rsid w:val="00937CF7"/>
    <w:rsid w:val="009D741E"/>
    <w:rsid w:val="00A102AB"/>
    <w:rsid w:val="00A17082"/>
    <w:rsid w:val="00A37282"/>
    <w:rsid w:val="00A70D56"/>
    <w:rsid w:val="00B141A2"/>
    <w:rsid w:val="00B40D7B"/>
    <w:rsid w:val="00B60FF9"/>
    <w:rsid w:val="00BB3887"/>
    <w:rsid w:val="00BC4E33"/>
    <w:rsid w:val="00BC54D6"/>
    <w:rsid w:val="00BD56EC"/>
    <w:rsid w:val="00C40C6F"/>
    <w:rsid w:val="00C503C1"/>
    <w:rsid w:val="00C56CBD"/>
    <w:rsid w:val="00C776F6"/>
    <w:rsid w:val="00C83FBC"/>
    <w:rsid w:val="00C85469"/>
    <w:rsid w:val="00C87D51"/>
    <w:rsid w:val="00CB1B99"/>
    <w:rsid w:val="00CF56DB"/>
    <w:rsid w:val="00D02442"/>
    <w:rsid w:val="00D05807"/>
    <w:rsid w:val="00D1186D"/>
    <w:rsid w:val="00D14831"/>
    <w:rsid w:val="00D20412"/>
    <w:rsid w:val="00D440EB"/>
    <w:rsid w:val="00D46381"/>
    <w:rsid w:val="00D647FD"/>
    <w:rsid w:val="00DB2A01"/>
    <w:rsid w:val="00DC1F27"/>
    <w:rsid w:val="00DE5A65"/>
    <w:rsid w:val="00E10998"/>
    <w:rsid w:val="00E21C00"/>
    <w:rsid w:val="00E250B9"/>
    <w:rsid w:val="00E34354"/>
    <w:rsid w:val="00E42870"/>
    <w:rsid w:val="00E721C5"/>
    <w:rsid w:val="00E81CC8"/>
    <w:rsid w:val="00E9090B"/>
    <w:rsid w:val="00E91AFD"/>
    <w:rsid w:val="00E92A9C"/>
    <w:rsid w:val="00EA1084"/>
    <w:rsid w:val="00ED5C69"/>
    <w:rsid w:val="00F43642"/>
    <w:rsid w:val="00FB2D76"/>
    <w:rsid w:val="00FC469E"/>
    <w:rsid w:val="00FE0734"/>
    <w:rsid w:val="00FE10FA"/>
    <w:rsid w:val="00FF04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F083B"/>
  <w15:docId w15:val="{FFF9D0C1-13E7-9840-99B0-18D3AD29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FF9"/>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Zvraznencitcia">
    <w:name w:val="Intense Quote"/>
    <w:basedOn w:val="Normlny"/>
    <w:next w:val="Normlny"/>
    <w:link w:val="ZvraznencitciaChar"/>
    <w:uiPriority w:val="30"/>
    <w:qFormat/>
    <w:rsid w:val="00655DF7"/>
    <w:pPr>
      <w:pBdr>
        <w:top w:val="single" w:sz="4" w:space="10" w:color="4472C4" w:themeColor="accent1"/>
        <w:bottom w:val="single" w:sz="4" w:space="10" w:color="4472C4" w:themeColor="accent1"/>
      </w:pBdr>
      <w:spacing w:before="360" w:after="360" w:line="252" w:lineRule="auto"/>
      <w:ind w:left="864" w:right="864"/>
      <w:jc w:val="center"/>
    </w:pPr>
    <w:rPr>
      <w:i/>
      <w:iCs/>
      <w:color w:val="4472C4" w:themeColor="accent1"/>
      <w:lang w:val="cs-CZ"/>
    </w:rPr>
  </w:style>
  <w:style w:type="character" w:customStyle="1" w:styleId="ZvraznencitciaChar">
    <w:name w:val="Zvýraznená citácia Char"/>
    <w:basedOn w:val="Predvolenpsmoodseku"/>
    <w:link w:val="Zvraznencitcia"/>
    <w:uiPriority w:val="30"/>
    <w:rsid w:val="00655DF7"/>
    <w:rPr>
      <w:i/>
      <w:iCs/>
      <w:color w:val="4472C4" w:themeColor="accent1"/>
      <w:lang w:val="cs-CZ"/>
    </w:rPr>
  </w:style>
  <w:style w:type="paragraph" w:styleId="Pta">
    <w:name w:val="footer"/>
    <w:basedOn w:val="Normlny"/>
    <w:link w:val="PtaChar"/>
    <w:uiPriority w:val="99"/>
    <w:unhideWhenUsed/>
    <w:rsid w:val="003509AD"/>
    <w:pPr>
      <w:tabs>
        <w:tab w:val="center" w:pos="4513"/>
        <w:tab w:val="right" w:pos="9026"/>
      </w:tabs>
      <w:spacing w:after="0" w:line="240" w:lineRule="auto"/>
    </w:pPr>
  </w:style>
  <w:style w:type="character" w:customStyle="1" w:styleId="PtaChar">
    <w:name w:val="Päta Char"/>
    <w:basedOn w:val="Predvolenpsmoodseku"/>
    <w:link w:val="Pta"/>
    <w:uiPriority w:val="99"/>
    <w:rsid w:val="003509AD"/>
  </w:style>
  <w:style w:type="paragraph" w:styleId="Revzia">
    <w:name w:val="Revision"/>
    <w:hidden/>
    <w:uiPriority w:val="99"/>
    <w:semiHidden/>
    <w:rsid w:val="00D647FD"/>
    <w:pPr>
      <w:spacing w:after="0" w:line="240" w:lineRule="auto"/>
    </w:pPr>
  </w:style>
  <w:style w:type="paragraph" w:styleId="Odsekzoznamu">
    <w:name w:val="List Paragraph"/>
    <w:basedOn w:val="Normlny"/>
    <w:uiPriority w:val="99"/>
    <w:rsid w:val="00B60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90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lacove@skdp.s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SKDP Adriana Horváthová</dc:creator>
  <cp:lastModifiedBy>Tajomnik@skdp.sk</cp:lastModifiedBy>
  <cp:revision>4</cp:revision>
  <dcterms:created xsi:type="dcterms:W3CDTF">2024-09-27T07:02:00Z</dcterms:created>
  <dcterms:modified xsi:type="dcterms:W3CDTF">2024-09-27T07:03:00Z</dcterms:modified>
</cp:coreProperties>
</file>